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583E36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7F6813">
        <w:rPr>
          <w:rFonts w:ascii="Times New Roman" w:hAnsi="Times New Roman" w:cs="Times New Roman"/>
          <w:b/>
          <w:sz w:val="28"/>
        </w:rPr>
        <w:t xml:space="preserve">И УГЛЯ </w:t>
      </w:r>
      <w:r w:rsidRPr="007F6813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7F6813" w:rsidRDefault="00BA158D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1737D">
        <w:rPr>
          <w:rFonts w:ascii="Times New Roman" w:hAnsi="Times New Roman" w:cs="Times New Roman"/>
          <w:b/>
          <w:sz w:val="28"/>
        </w:rPr>
        <w:t>ЯНВАРЬ-ФЕВРАЛЬ</w:t>
      </w:r>
      <w:r w:rsidR="00E81659" w:rsidRPr="007F6813">
        <w:rPr>
          <w:rFonts w:ascii="Times New Roman" w:hAnsi="Times New Roman" w:cs="Times New Roman"/>
          <w:b/>
          <w:sz w:val="28"/>
        </w:rPr>
        <w:t xml:space="preserve"> </w:t>
      </w:r>
      <w:r w:rsidR="00D5619F">
        <w:rPr>
          <w:rFonts w:ascii="Times New Roman" w:hAnsi="Times New Roman" w:cs="Times New Roman"/>
          <w:b/>
          <w:sz w:val="28"/>
        </w:rPr>
        <w:t>2021</w:t>
      </w:r>
      <w:r w:rsidR="007943E5" w:rsidRPr="007F6813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6813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943E5" w:rsidRPr="007F6813" w:rsidRDefault="007943E5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7F6813" w:rsidRDefault="00984FBA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7F6813" w:rsidRDefault="000C3143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2A3A" w:rsidRPr="007F6813" w:rsidRDefault="00D5619F" w:rsidP="007F68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  <w:r w:rsidR="00F02413" w:rsidRPr="007F6813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>2021</w:t>
      </w:r>
      <w:r w:rsidR="00512A3A" w:rsidRPr="007F6813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7F6813" w:rsidRDefault="00545712" w:rsidP="007F6813">
          <w:pPr>
            <w:pStyle w:val="afb"/>
            <w:tabs>
              <w:tab w:val="left" w:pos="0"/>
            </w:tabs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7F681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10559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7F6813">
            <w:fldChar w:fldCharType="begin"/>
          </w:r>
          <w:r w:rsidR="00545712" w:rsidRPr="007F6813">
            <w:instrText xml:space="preserve"> TOC \o "1-3" \h \z \u </w:instrText>
          </w:r>
          <w:r w:rsidRPr="007F6813">
            <w:fldChar w:fldCharType="separate"/>
          </w:r>
          <w:hyperlink w:anchor="_Toc65590382" w:history="1">
            <w:r w:rsidR="00A10559" w:rsidRPr="00BC3362">
              <w:rPr>
                <w:rStyle w:val="aa"/>
                <w:b/>
              </w:rPr>
              <w:t xml:space="preserve">РАЗДЕЛ </w:t>
            </w:r>
            <w:r w:rsidR="00A10559" w:rsidRPr="00BC3362">
              <w:rPr>
                <w:rStyle w:val="aa"/>
                <w:b/>
                <w:lang w:val="en-US"/>
              </w:rPr>
              <w:t>I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_Toc65590382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3" w:history="1">
            <w:r w:rsidR="00A10559" w:rsidRPr="00BC3362">
              <w:rPr>
                <w:rStyle w:val="aa"/>
                <w:b/>
              </w:rPr>
              <w:t>1.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_Toc65590383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4" w:history="1">
            <w:r w:rsidR="00A10559" w:rsidRPr="00BC3362">
              <w:rPr>
                <w:rStyle w:val="aa"/>
                <w:i/>
              </w:rPr>
              <w:t>Производство электроэнергии по областям РК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_Toc65590384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5" w:history="1">
            <w:r w:rsidR="00A10559" w:rsidRPr="00BC3362">
              <w:rPr>
                <w:rStyle w:val="aa"/>
                <w:i/>
              </w:rPr>
              <w:t>Производство электроэнергии связанной генерацией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_Toc65590385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5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6" w:history="1">
            <w:r w:rsidR="00A10559" w:rsidRPr="00BC3362">
              <w:rPr>
                <w:rStyle w:val="aa"/>
                <w:b/>
              </w:rPr>
              <w:t>2.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Потребление электрической энергии в ЕЭС Казахстана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_Toc65590386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5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7" w:history="1">
            <w:r w:rsidR="00A10559" w:rsidRPr="00BC3362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_Toc65590387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5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8" w:history="1">
            <w:r w:rsidR="00A10559" w:rsidRPr="00BC3362">
              <w:rPr>
                <w:rStyle w:val="aa"/>
                <w:b/>
              </w:rPr>
              <w:t>3.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 xml:space="preserve">Итоги работы промышленности </w:t>
            </w:r>
            <w:r w:rsidR="00BA158D">
              <w:rPr>
                <w:rStyle w:val="aa"/>
                <w:b/>
              </w:rPr>
              <w:t xml:space="preserve">за </w:t>
            </w:r>
            <w:r w:rsidR="00BA158D" w:rsidRPr="00BA158D">
              <w:rPr>
                <w:rStyle w:val="aa"/>
                <w:b/>
              </w:rPr>
              <w:t>январь-февраль</w:t>
            </w:r>
            <w:r w:rsidR="00A10559" w:rsidRPr="00BC3362">
              <w:rPr>
                <w:rStyle w:val="aa"/>
                <w:b/>
              </w:rPr>
              <w:t xml:space="preserve"> 2021 года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_Toc65590388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6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89" w:history="1">
            <w:r w:rsidR="00A10559" w:rsidRPr="00BC3362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_Toc65590389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8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90" w:history="1">
            <w:r w:rsidR="00A10559" w:rsidRPr="00BC3362">
              <w:rPr>
                <w:rStyle w:val="aa"/>
                <w:b/>
              </w:rPr>
              <w:t>4.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Уголь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_Toc65590390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9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395" w:history="1">
            <w:r w:rsidR="00A10559" w:rsidRPr="00BC3362">
              <w:rPr>
                <w:rStyle w:val="aa"/>
                <w:b/>
              </w:rPr>
              <w:t>6.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Централизованные торги электроэнергией АО «КОРЭМ»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_Toc65590395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11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401" w:history="1">
            <w:r w:rsidR="00A10559" w:rsidRPr="00BC3362">
              <w:rPr>
                <w:rStyle w:val="aa"/>
                <w:b/>
              </w:rPr>
              <w:t>7.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Экспорт-импорт электрической энергии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_Toc65590401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12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402" w:history="1">
            <w:r w:rsidR="00A10559" w:rsidRPr="00BC3362">
              <w:rPr>
                <w:rStyle w:val="aa"/>
                <w:b/>
              </w:rPr>
              <w:t>РАЗДЕЛ II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_Toc65590402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403" w:history="1">
            <w:r w:rsidR="00A10559" w:rsidRPr="00BC3362">
              <w:rPr>
                <w:rStyle w:val="aa"/>
                <w:b/>
              </w:rPr>
              <w:t>8.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_Toc65590403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404" w:history="1">
            <w:r w:rsidR="00A10559" w:rsidRPr="00BC3362">
              <w:rPr>
                <w:rStyle w:val="aa"/>
                <w:b/>
              </w:rPr>
              <w:t>9.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_Toc65590404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14</w:t>
            </w:r>
            <w:r w:rsidR="00A10559">
              <w:rPr>
                <w:webHidden/>
              </w:rPr>
              <w:fldChar w:fldCharType="end"/>
            </w:r>
          </w:hyperlink>
        </w:p>
        <w:p w:rsidR="00A10559" w:rsidRDefault="00E62DD4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65590405" w:history="1">
            <w:r w:rsidR="00A10559" w:rsidRPr="00BC3362">
              <w:rPr>
                <w:rStyle w:val="aa"/>
                <w:b/>
              </w:rPr>
              <w:t>10.</w:t>
            </w:r>
            <w:r w:rsidR="00A10559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10559" w:rsidRPr="00BC3362">
              <w:rPr>
                <w:rStyle w:val="aa"/>
                <w:b/>
              </w:rPr>
              <w:t>Обзор СМИ в странах СНГ</w:t>
            </w:r>
            <w:r w:rsidR="00A10559">
              <w:rPr>
                <w:webHidden/>
              </w:rPr>
              <w:tab/>
            </w:r>
            <w:r w:rsidR="00A10559">
              <w:rPr>
                <w:webHidden/>
              </w:rPr>
              <w:fldChar w:fldCharType="begin"/>
            </w:r>
            <w:r w:rsidR="00A10559">
              <w:rPr>
                <w:webHidden/>
              </w:rPr>
              <w:instrText xml:space="preserve"> PAGEREF _Toc65590405 \h </w:instrText>
            </w:r>
            <w:r w:rsidR="00A10559">
              <w:rPr>
                <w:webHidden/>
              </w:rPr>
            </w:r>
            <w:r w:rsidR="00A10559">
              <w:rPr>
                <w:webHidden/>
              </w:rPr>
              <w:fldChar w:fldCharType="separate"/>
            </w:r>
            <w:r w:rsidR="00A10559">
              <w:rPr>
                <w:webHidden/>
              </w:rPr>
              <w:t>16</w:t>
            </w:r>
            <w:r w:rsidR="00A10559">
              <w:rPr>
                <w:webHidden/>
              </w:rPr>
              <w:fldChar w:fldCharType="end"/>
            </w:r>
          </w:hyperlink>
        </w:p>
        <w:p w:rsidR="00545712" w:rsidRPr="007F6813" w:rsidRDefault="00562751" w:rsidP="007F6813">
          <w:pPr>
            <w:tabs>
              <w:tab w:val="left" w:pos="0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7F6813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7F6813" w:rsidRDefault="00995E50" w:rsidP="000012BB">
      <w:pPr>
        <w:pStyle w:val="11"/>
        <w:rPr>
          <w:lang w:val="en-US"/>
        </w:rPr>
      </w:pPr>
    </w:p>
    <w:p w:rsidR="001D295E" w:rsidRPr="007F6813" w:rsidRDefault="001D295E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7F6813" w:rsidRDefault="00F47C61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C71038" w:rsidRPr="007F6813" w:rsidRDefault="00C71038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5246FD" w:rsidRPr="007F6813" w:rsidRDefault="005246FD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F6813">
        <w:rPr>
          <w:rFonts w:ascii="Times New Roman" w:hAnsi="Times New Roman" w:cs="Times New Roman"/>
        </w:rPr>
        <w:br w:type="page"/>
      </w:r>
    </w:p>
    <w:p w:rsidR="00CB6062" w:rsidRPr="007F6813" w:rsidRDefault="00B94F51" w:rsidP="007F6813">
      <w:pPr>
        <w:pStyle w:val="1"/>
        <w:tabs>
          <w:tab w:val="left" w:pos="0"/>
        </w:tabs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65590382"/>
      <w:r w:rsidRPr="007F6813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7F6813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7F6813" w:rsidRDefault="008A363F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7F6813" w:rsidRDefault="00541D3A" w:rsidP="007F681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65590383"/>
      <w:r w:rsidRPr="007F6813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7F6813" w:rsidRDefault="00F31222" w:rsidP="007F68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A158D" w:rsidRPr="0091737D" w:rsidRDefault="00BA158D" w:rsidP="00BA1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737D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январе-феврале 2021 года было выработано 20393,8 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электроэнергии, что на 2,6% больше аналогичного периода 2020 года. Снижение выработки наблюдалось лишь в Западной зоне ЕЭС Казахстана.</w:t>
      </w:r>
    </w:p>
    <w:p w:rsidR="00BA158D" w:rsidRPr="0091737D" w:rsidRDefault="00BA158D" w:rsidP="00BA1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BA158D" w:rsidRPr="0091737D" w:rsidTr="00DB08D8">
        <w:trPr>
          <w:trHeight w:val="241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BA158D" w:rsidRPr="0091737D" w:rsidTr="00DB08D8">
        <w:trPr>
          <w:trHeight w:val="75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58D" w:rsidRPr="0091737D" w:rsidTr="00DB08D8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19868,4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20393,8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16503,0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6,7%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-9,0%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74,9%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74,5%</w:t>
            </w:r>
          </w:p>
        </w:tc>
      </w:tr>
      <w:tr w:rsidR="00BA158D" w:rsidRPr="0091737D" w:rsidTr="00DB08D8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133,3%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15155,6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3,4%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-3,1%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-4,4%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90,7%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92,3%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133,3%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3,1%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-18,7%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107,5%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66,6%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-1,2%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-11,7%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10,5%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22,2%</w:t>
            </w:r>
          </w:p>
        </w:tc>
      </w:tr>
      <w:tr w:rsidR="00BA158D" w:rsidRPr="0091737D" w:rsidTr="00DB08D8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0,0%</w:t>
            </w:r>
          </w:p>
        </w:tc>
      </w:tr>
    </w:tbl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10196463"/>
      <w:r w:rsidRPr="0091737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 РК</w:t>
      </w:r>
      <w:bookmarkEnd w:id="2"/>
    </w:p>
    <w:p w:rsidR="00BA158D" w:rsidRPr="0091737D" w:rsidRDefault="00BA158D" w:rsidP="00BA1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1737D">
        <w:rPr>
          <w:rFonts w:ascii="Times New Roman" w:hAnsi="Times New Roman" w:cs="Times New Roman"/>
          <w:sz w:val="28"/>
        </w:rPr>
        <w:t xml:space="preserve">В январе-феврале 2021 года по сравнению с аналогичным периодом 2020 года производство электроэнергии значительно увеличилось (рост 15% и выше) в </w:t>
      </w:r>
      <w:proofErr w:type="spellStart"/>
      <w:r w:rsidRPr="0091737D">
        <w:rPr>
          <w:rFonts w:ascii="Times New Roman" w:hAnsi="Times New Roman" w:cs="Times New Roman"/>
          <w:sz w:val="28"/>
        </w:rPr>
        <w:t>Жамбылской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1737D">
        <w:rPr>
          <w:rFonts w:ascii="Times New Roman" w:hAnsi="Times New Roman" w:cs="Times New Roman"/>
          <w:sz w:val="28"/>
        </w:rPr>
        <w:t>Кызылординской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областях. В то же время, снижение производства электроэнергии наблюдалось в Актюбинской, </w:t>
      </w:r>
      <w:proofErr w:type="spellStart"/>
      <w:r w:rsidRPr="0091737D">
        <w:rPr>
          <w:rFonts w:ascii="Times New Roman" w:hAnsi="Times New Roman" w:cs="Times New Roman"/>
          <w:sz w:val="28"/>
        </w:rPr>
        <w:t>Алматинской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, Карагандинской, </w:t>
      </w:r>
      <w:proofErr w:type="spellStart"/>
      <w:r w:rsidRPr="0091737D">
        <w:rPr>
          <w:rFonts w:ascii="Times New Roman" w:hAnsi="Times New Roman" w:cs="Times New Roman"/>
          <w:sz w:val="28"/>
        </w:rPr>
        <w:t>Мангистауской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, Северо-Казахстанской и Восточно-Казахстанской областях. </w:t>
      </w:r>
    </w:p>
    <w:p w:rsidR="00BA158D" w:rsidRPr="0091737D" w:rsidRDefault="00BA158D" w:rsidP="00BA158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BA158D" w:rsidRPr="0091737D" w:rsidTr="00DB08D8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BA158D" w:rsidRPr="0091737D" w:rsidTr="00DB08D8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915,2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BA158D" w:rsidRPr="0091737D" w:rsidTr="00DB08D8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737,2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711,8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-3,4%</w:t>
            </w:r>
          </w:p>
        </w:tc>
      </w:tr>
      <w:tr w:rsidR="00BA158D" w:rsidRPr="0091737D" w:rsidTr="00DB08D8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1 360,4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1 301,0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-4,4%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1 096,2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1 152,2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1 508,6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1 438,3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473,3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419,6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425,1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2 890,6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2 785,4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219,1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221,4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1,0%</w:t>
            </w:r>
          </w:p>
        </w:tc>
      </w:tr>
      <w:tr w:rsidR="00BA158D" w:rsidRPr="0091737D" w:rsidTr="00DB08D8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101,7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120,5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18,5%</w:t>
            </w:r>
          </w:p>
        </w:tc>
      </w:tr>
      <w:tr w:rsidR="00BA158D" w:rsidRPr="0091737D" w:rsidTr="00DB08D8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955,8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864,7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-9,5%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8 231,2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8 936,6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653,7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623,8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-4,6%</w:t>
            </w:r>
          </w:p>
        </w:tc>
      </w:tr>
      <w:tr w:rsidR="00BA158D" w:rsidRPr="0091737D" w:rsidTr="00DB08D8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305,8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337,2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10,3%</w:t>
            </w:r>
          </w:p>
        </w:tc>
      </w:tr>
      <w:tr w:rsidR="00BA158D" w:rsidRPr="0091737D" w:rsidTr="00DB08D8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2,6%</w:t>
            </w:r>
          </w:p>
        </w:tc>
      </w:tr>
    </w:tbl>
    <w:p w:rsidR="00D309A9" w:rsidRPr="007F6813" w:rsidRDefault="00D309A9" w:rsidP="007F6813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A158D" w:rsidRPr="0091737D" w:rsidRDefault="00BA158D" w:rsidP="00BA1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bookmarkStart w:id="3" w:name="_Toc507606020"/>
      <w:r w:rsidRPr="0091737D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91737D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91737D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» за январь-февраль 2021 года </w:t>
      </w:r>
      <w:r w:rsidRPr="0091737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91737D">
        <w:rPr>
          <w:rFonts w:ascii="Times New Roman" w:hAnsi="Times New Roman" w:cs="Times New Roman"/>
          <w:bCs/>
          <w:sz w:val="28"/>
          <w:szCs w:val="28"/>
          <w:lang w:val="kk-KZ"/>
        </w:rPr>
        <w:t>6 799,2</w:t>
      </w:r>
      <w:r w:rsidRPr="00917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737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или увеличение на 12,7% в сравнении с показателями аналогичного периода 2020 года.</w:t>
      </w:r>
    </w:p>
    <w:p w:rsidR="00BA158D" w:rsidRPr="0091737D" w:rsidRDefault="00BA158D" w:rsidP="00BA158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0"/>
        <w:gridCol w:w="2976"/>
        <w:gridCol w:w="1176"/>
        <w:gridCol w:w="1105"/>
        <w:gridCol w:w="1176"/>
        <w:gridCol w:w="1105"/>
        <w:gridCol w:w="1134"/>
        <w:gridCol w:w="968"/>
      </w:tblGrid>
      <w:tr w:rsidR="00BA158D" w:rsidRPr="0091737D" w:rsidTr="00DB08D8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2020г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2021г 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2021/2020гг</w:t>
            </w:r>
          </w:p>
        </w:tc>
      </w:tr>
      <w:tr w:rsidR="00BA158D" w:rsidRPr="0091737D" w:rsidTr="00DB08D8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Январь-февраль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 xml:space="preserve">млн. </w:t>
            </w:r>
            <w:proofErr w:type="spellStart"/>
            <w:r w:rsidRPr="0091737D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A158D" w:rsidRPr="0091737D" w:rsidTr="00DB08D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6 030,6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30,4%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6 799,2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33,3%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768,6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12,7%</w:t>
            </w:r>
          </w:p>
        </w:tc>
      </w:tr>
      <w:tr w:rsidR="00BA158D" w:rsidRPr="0091737D" w:rsidTr="00DB08D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1 155,3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5,8%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1125,2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-30,1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-2,6%</w:t>
            </w:r>
          </w:p>
        </w:tc>
      </w:tr>
      <w:tr w:rsidR="00BA158D" w:rsidRPr="0091737D" w:rsidTr="00DB08D8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3 975,6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20,0%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4197,2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221,6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5,6%</w:t>
            </w:r>
          </w:p>
        </w:tc>
      </w:tr>
      <w:tr w:rsidR="00BA158D" w:rsidRPr="0091737D" w:rsidTr="00DB08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637,6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3,2%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1245,2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607,6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95,3%</w:t>
            </w:r>
          </w:p>
        </w:tc>
      </w:tr>
      <w:tr w:rsidR="00BA158D" w:rsidRPr="0091737D" w:rsidTr="00DB08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109,3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DD538F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D538F">
              <w:rPr>
                <w:rFonts w:ascii="Times New Roman" w:hAnsi="Times New Roman" w:cs="Times New Roman"/>
                <w:bCs/>
              </w:rPr>
              <w:t>125,6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14,9%</w:t>
            </w:r>
          </w:p>
        </w:tc>
      </w:tr>
      <w:tr w:rsidR="00BA158D" w:rsidRPr="0091737D" w:rsidTr="00DB08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118,2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DD538F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D538F">
              <w:rPr>
                <w:rFonts w:ascii="Times New Roman" w:hAnsi="Times New Roman" w:cs="Times New Roman"/>
                <w:bCs/>
              </w:rPr>
              <w:t>72,3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-45,9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-38,8%</w:t>
            </w:r>
          </w:p>
        </w:tc>
      </w:tr>
      <w:tr w:rsidR="00BA158D" w:rsidRPr="0091737D" w:rsidTr="00DB08D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0,002%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2,19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539,6%</w:t>
            </w:r>
          </w:p>
        </w:tc>
      </w:tr>
      <w:tr w:rsidR="00BA158D" w:rsidRPr="0091737D" w:rsidTr="00DB08D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-3,0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-8,8%</w:t>
            </w:r>
          </w:p>
        </w:tc>
      </w:tr>
    </w:tbl>
    <w:p w:rsidR="00E72279" w:rsidRPr="00E72279" w:rsidRDefault="00E72279" w:rsidP="00E72279"/>
    <w:p w:rsidR="003409A4" w:rsidRPr="00FA3E8D" w:rsidRDefault="003409A4" w:rsidP="003409A4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65590386"/>
      <w:r w:rsidRPr="00FA3E8D">
        <w:rPr>
          <w:rFonts w:ascii="Times New Roman" w:hAnsi="Times New Roman" w:cs="Times New Roman"/>
          <w:b/>
          <w:color w:val="auto"/>
          <w:sz w:val="28"/>
          <w:szCs w:val="28"/>
        </w:rPr>
        <w:t>Потребление электрической энергии в ЕЭС Казахстана</w:t>
      </w:r>
      <w:bookmarkEnd w:id="3"/>
      <w:bookmarkEnd w:id="4"/>
    </w:p>
    <w:p w:rsidR="003409A4" w:rsidRPr="00C82DFF" w:rsidRDefault="003409A4" w:rsidP="003409A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409A4" w:rsidRPr="00415113" w:rsidRDefault="003409A4" w:rsidP="003409A4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07606021"/>
      <w:bookmarkStart w:id="6" w:name="_Toc65590387"/>
      <w:r w:rsidRPr="00415113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5"/>
      <w:bookmarkEnd w:id="6"/>
    </w:p>
    <w:p w:rsidR="00BA158D" w:rsidRPr="0091737D" w:rsidRDefault="00BA158D" w:rsidP="00BA15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7" w:name="_Toc510196468"/>
      <w:r w:rsidRPr="0091737D">
        <w:rPr>
          <w:rFonts w:ascii="Times New Roman" w:hAnsi="Times New Roman" w:cs="Times New Roman"/>
          <w:sz w:val="28"/>
        </w:rPr>
        <w:t>По данным Системного оператора, в январе-феврале 2021 года наблюдался рост в динамике потребления электрической энергии республики в сравнении с показателями января-февраля 2020 года. Так, увеличение в северной зоне составила 3%, в южной зоне - 2%, а в западной зоне республики потребление снизилось на 2%.</w:t>
      </w:r>
    </w:p>
    <w:p w:rsidR="00BA158D" w:rsidRPr="0091737D" w:rsidRDefault="00BA158D" w:rsidP="00BA158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91737D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BA158D" w:rsidRPr="0091737D" w:rsidTr="00DB08D8">
        <w:trPr>
          <w:trHeight w:val="10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фев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20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янв</w:t>
            </w:r>
            <w:proofErr w:type="spellEnd"/>
            <w:proofErr w:type="gram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.-</w:t>
            </w:r>
            <w:proofErr w:type="gram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фев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 20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г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20 041,1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13 231,4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4 366,1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1 698,7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3 430,1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1 971,5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864,4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3 717,1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1 104,1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898,9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1 203,5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2 260,9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A158D" w:rsidRPr="0091737D" w:rsidTr="00DB08D8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4%</w:t>
            </w:r>
          </w:p>
        </w:tc>
      </w:tr>
    </w:tbl>
    <w:p w:rsidR="00BA158D" w:rsidRPr="0091737D" w:rsidRDefault="00BA158D" w:rsidP="00BA158D">
      <w:pPr>
        <w:pStyle w:val="a3"/>
        <w:spacing w:after="0" w:line="240" w:lineRule="auto"/>
        <w:ind w:left="8223"/>
        <w:jc w:val="both"/>
        <w:rPr>
          <w:rFonts w:ascii="Times New Roman" w:hAnsi="Times New Roman" w:cs="Times New Roman"/>
          <w:sz w:val="28"/>
        </w:rPr>
      </w:pPr>
    </w:p>
    <w:bookmarkEnd w:id="7"/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91737D">
        <w:rPr>
          <w:rFonts w:ascii="Times New Roman" w:hAnsi="Times New Roman" w:cs="Times New Roman"/>
          <w:b/>
          <w:color w:val="auto"/>
          <w:sz w:val="28"/>
        </w:rPr>
        <w:t xml:space="preserve">Итоги работы промышленности в январе-феврале 2021 года </w:t>
      </w:r>
    </w:p>
    <w:p w:rsidR="00BA158D" w:rsidRPr="0091737D" w:rsidRDefault="00BA158D" w:rsidP="00BA158D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91737D">
        <w:rPr>
          <w:i/>
          <w:szCs w:val="22"/>
        </w:rPr>
        <w:t>(экспресс-информация Бюро национальной статистики АСПР РК)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январе-феврале 2021г. по сравнению с январем-февралем 2020 года индекс промышленного производства составил 98,1%. Увеличение объемов производства зафиксировано в 11 регионах республики, снижение наблюдалось 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gram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, Карагандинской,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,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и Туркестанской областях.</w:t>
      </w:r>
    </w:p>
    <w:p w:rsidR="00BA158D" w:rsidRPr="0091737D" w:rsidRDefault="00BA158D" w:rsidP="00BA158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91737D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BA158D" w:rsidRPr="0091737D" w:rsidRDefault="00BA158D" w:rsidP="00BA158D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91737D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BA158D" w:rsidRPr="0091737D" w:rsidRDefault="00BA158D" w:rsidP="00BA158D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91737D">
        <w:rPr>
          <w:rFonts w:ascii="Times New Roman" w:hAnsi="Times New Roman"/>
          <w:noProof/>
        </w:rPr>
        <w:drawing>
          <wp:inline distT="0" distB="0" distL="0" distR="0" wp14:anchorId="5E710CE7" wp14:editId="3208D4F5">
            <wp:extent cx="5891916" cy="27432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городе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Нур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-Султан ИПП составил 119,3%, в основном за счет роста производства товарного бетона, аффинированного золота, выпуска железнодорожных локомотивов.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г. Алматы за счет увеличения роста производства строительных сборных металлоконструкций и автобусов ИПП составил 117,4%.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114,3% за счет увеличения выпуска табачной продукции, производства электрических аккумуляторов.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городе Шымкент за счет увеличения производства продуктов нефтепереработки ИПП составил 112,1%.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за счет увеличения роста производства продуктов питания, а также труб, фитингов из пластмасс ИПП составил 109,7%.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увеличения производства пестицидов, выпуска комбайнов и тракторов ИПП составил 109,7%.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Восточно-Казахстанской области ИПП составил 109% за счет увеличения добычи золотосодержащих руд и концентратов, производства аффинированного золота.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ИПП составил 107,2% за счет увеличения добычи железорудных и медных концентратов, производства золота в сплаве Доре, легковых автомобилей.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Актюбинской области ИПП составил 105,9% за счет роста производства феррохрома </w:t>
      </w:r>
      <w:proofErr w:type="gram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и  предоставления</w:t>
      </w:r>
      <w:proofErr w:type="gram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услуг в горнодобывающей промышленности.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роста добычи фосфатного сырья, производства сахара,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ферросиликомарганца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ИПП составил 105,6%.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Павлодарской области ИПП составил 101,6% за счет роста производства бензина, дизельного топлива, топочного мазута, полимеров </w:t>
      </w:r>
      <w:proofErr w:type="gram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пропилена  и</w:t>
      </w:r>
      <w:proofErr w:type="gram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переработки вторичного металлического сырья.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снижение ИПП обусловлено сокращением добычи угля, медных и цинковых концентратов, производства черновой меди (98,9%).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В Туркестанской области за счет снижения добычи урановых и ториевых руд ИПП составил 97%.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gram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ИПП составил 94,7% за счет снижения добычи газового конденсата, производства труб, профилей из стали.</w:t>
      </w: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(83,1%),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(98,3%), </w:t>
      </w:r>
      <w:proofErr w:type="spellStart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 (93%) областях ИПП снизился в основном за счет сокращения добычи сырой нефти.</w:t>
      </w:r>
    </w:p>
    <w:p w:rsidR="00BA158D" w:rsidRPr="0091737D" w:rsidRDefault="00BA158D" w:rsidP="00BA158D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7F6813" w:rsidRDefault="00BD4000" w:rsidP="007F6813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7F6813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7F6813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7F6813" w:rsidRDefault="00BC7CB8" w:rsidP="007F6813">
      <w:pPr>
        <w:pStyle w:val="OsnTxt"/>
        <w:tabs>
          <w:tab w:val="left" w:pos="0"/>
        </w:tabs>
        <w:spacing w:line="240" w:lineRule="auto"/>
        <w:ind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7F6813" w:rsidRDefault="00070D22" w:rsidP="007F6813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10196469"/>
      <w:bookmarkStart w:id="9" w:name="_Toc65590389"/>
      <w:bookmarkStart w:id="10" w:name="_Toc2249075"/>
      <w:r w:rsidRPr="007F6813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8"/>
      <w:bookmarkEnd w:id="9"/>
    </w:p>
    <w:bookmarkEnd w:id="10"/>
    <w:p w:rsidR="00B601C1" w:rsidRPr="007F6813" w:rsidRDefault="00B601C1" w:rsidP="007F6813">
      <w:pPr>
        <w:pStyle w:val="OsnTxt"/>
        <w:tabs>
          <w:tab w:val="left" w:pos="0"/>
        </w:tabs>
        <w:spacing w:line="240" w:lineRule="auto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BA158D" w:rsidRPr="0091737D" w:rsidRDefault="00BA158D" w:rsidP="00BA158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91737D">
        <w:rPr>
          <w:rFonts w:ascii="Times New Roman" w:eastAsiaTheme="minorHAnsi" w:hAnsi="Times New Roman"/>
          <w:sz w:val="28"/>
          <w:szCs w:val="22"/>
          <w:lang w:eastAsia="en-US"/>
        </w:rPr>
        <w:t xml:space="preserve">За январь-февраль 2021 года по отношению к аналогичному периоду 2020 года потребление электроэнергии по крупным потребителям снизилось на 1,3%. </w:t>
      </w:r>
    </w:p>
    <w:p w:rsidR="00BA158D" w:rsidRPr="0091737D" w:rsidRDefault="00BA158D" w:rsidP="00BA158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91737D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BA158D" w:rsidRPr="0091737D" w:rsidTr="00DB08D8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</w:tr>
      <w:tr w:rsidR="00BA158D" w:rsidRPr="0091737D" w:rsidTr="00DB08D8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652,7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633,6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968,3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906,2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-6%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197,4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209,2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477,1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481,1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321,7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284,0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-12%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219,1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516,9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539,2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31,2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272,6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219,2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69,1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121%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155,9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-54%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310,0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155,8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-3%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626,5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624,4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243,2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273,8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56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940,4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1 022,6 </w:t>
            </w:r>
          </w:p>
        </w:tc>
        <w:tc>
          <w:tcPr>
            <w:tcW w:w="1087" w:type="dxa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A158D" w:rsidRPr="0091737D" w:rsidTr="00DB08D8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6 184,4</w:t>
            </w:r>
          </w:p>
        </w:tc>
        <w:tc>
          <w:tcPr>
            <w:tcW w:w="108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6 102,9</w:t>
            </w:r>
          </w:p>
        </w:tc>
        <w:tc>
          <w:tcPr>
            <w:tcW w:w="1087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-1,3%</w:t>
            </w:r>
          </w:p>
        </w:tc>
      </w:tr>
    </w:tbl>
    <w:p w:rsidR="007F6813" w:rsidRDefault="007F6813" w:rsidP="007F681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56657" w:rsidRDefault="007F6813" w:rsidP="007F681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6813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7F6813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1320"/>
        <w:gridCol w:w="1231"/>
        <w:gridCol w:w="1520"/>
        <w:gridCol w:w="1599"/>
      </w:tblGrid>
      <w:tr w:rsidR="00BA158D" w:rsidRPr="0091737D" w:rsidTr="00DB08D8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Январь-февраль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Отклонение, млн.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</w:tr>
      <w:tr w:rsidR="00BA158D" w:rsidRPr="0091737D" w:rsidTr="00DB08D8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58D" w:rsidRPr="0091737D" w:rsidTr="00DB08D8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  <w:color w:val="000000"/>
              </w:rPr>
              <w:t>1399,98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  <w:color w:val="000000"/>
              </w:rPr>
              <w:t>1 468,3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  <w:color w:val="000000"/>
              </w:rPr>
              <w:t>68,4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  <w:color w:val="000000"/>
              </w:rPr>
              <w:t>4,9%</w:t>
            </w:r>
          </w:p>
        </w:tc>
      </w:tr>
      <w:tr w:rsidR="00BA158D" w:rsidRPr="0091737D" w:rsidTr="00DB08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«Богатырь-Комир»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color w:val="000000"/>
              </w:rPr>
              <w:t>33,36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22,4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737D">
              <w:rPr>
                <w:rFonts w:ascii="Times New Roman" w:hAnsi="Times New Roman" w:cs="Times New Roman"/>
                <w:bCs/>
                <w:color w:val="000000"/>
              </w:rPr>
              <w:t>67,3%</w:t>
            </w:r>
          </w:p>
        </w:tc>
      </w:tr>
      <w:tr w:rsidR="00BA158D" w:rsidRPr="0091737D" w:rsidTr="00DB08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АО «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АлатауЖарык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Компаниясы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bCs/>
                <w:color w:val="000000"/>
              </w:rPr>
              <w:t>198,51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color w:val="000000"/>
              </w:rPr>
              <w:t>199,4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737D">
              <w:rPr>
                <w:rFonts w:ascii="Times New Roman" w:hAnsi="Times New Roman" w:cs="Times New Roman"/>
                <w:bCs/>
                <w:color w:val="000000"/>
              </w:rPr>
              <w:t>0,5%</w:t>
            </w:r>
          </w:p>
        </w:tc>
      </w:tr>
      <w:tr w:rsidR="00BA158D" w:rsidRPr="0091737D" w:rsidTr="00DB08D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ТОО «АлматыЭнергоСбыт»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bCs/>
                <w:color w:val="000000"/>
              </w:rPr>
              <w:t>1168,11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color w:val="000000"/>
              </w:rPr>
              <w:t>1 213,1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1737D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45,0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1737D">
              <w:rPr>
                <w:rFonts w:ascii="Times New Roman" w:hAnsi="Times New Roman" w:cs="Times New Roman"/>
                <w:bCs/>
                <w:color w:val="000000"/>
              </w:rPr>
              <w:t>3,9%</w:t>
            </w:r>
          </w:p>
        </w:tc>
      </w:tr>
    </w:tbl>
    <w:p w:rsidR="00BA158D" w:rsidRDefault="00BA158D" w:rsidP="007F681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</w:rPr>
      </w:pPr>
    </w:p>
    <w:p w:rsidR="003B36BC" w:rsidRPr="007F6813" w:rsidRDefault="00A32670" w:rsidP="007F681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1" w:name="_Toc65590390"/>
      <w:r w:rsidRPr="007F6813">
        <w:rPr>
          <w:rFonts w:ascii="Times New Roman" w:hAnsi="Times New Roman" w:cs="Times New Roman"/>
          <w:b/>
          <w:color w:val="auto"/>
        </w:rPr>
        <w:t>Уголь</w:t>
      </w:r>
      <w:bookmarkEnd w:id="11"/>
    </w:p>
    <w:p w:rsidR="00BC7CB8" w:rsidRPr="007F6813" w:rsidRDefault="00BC7CB8" w:rsidP="007F6813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550F2" w:rsidRPr="007F6813" w:rsidRDefault="004550F2" w:rsidP="007F6813">
      <w:pPr>
        <w:pStyle w:val="1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10196472"/>
      <w:bookmarkStart w:id="13" w:name="_Toc65590391"/>
      <w:r w:rsidRPr="007F6813">
        <w:rPr>
          <w:rFonts w:ascii="Times New Roman" w:hAnsi="Times New Roman" w:cs="Times New Roman"/>
          <w:i/>
          <w:color w:val="auto"/>
          <w:sz w:val="28"/>
        </w:rPr>
        <w:t>Добыча энергетического угля в Казахстане</w:t>
      </w:r>
      <w:bookmarkEnd w:id="12"/>
      <w:bookmarkEnd w:id="13"/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По информации Бюро национальной статистики, в Казахстане в январе-феврале 2021 года добыто 18 761,2 тыс. тонн каменного угля, что больше на 1%, чем за аналогичный период 2020 года (18 649,7 тыс. тонн).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91737D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A158D" w:rsidRPr="0091737D" w:rsidTr="00DB08D8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Январь-февраль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A158D" w:rsidRPr="0091737D" w:rsidTr="00DB08D8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A158D" w:rsidRPr="0091737D" w:rsidRDefault="00BA158D" w:rsidP="00DB0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A158D" w:rsidRPr="0091737D" w:rsidRDefault="00BA158D" w:rsidP="00DB0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8D" w:rsidRPr="0091737D" w:rsidTr="00DB08D8">
        <w:trPr>
          <w:trHeight w:val="333"/>
        </w:trPr>
        <w:tc>
          <w:tcPr>
            <w:tcW w:w="56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12006,7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11879,2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BA158D" w:rsidRPr="0091737D" w:rsidTr="00DB08D8">
        <w:trPr>
          <w:trHeight w:val="333"/>
        </w:trPr>
        <w:tc>
          <w:tcPr>
            <w:tcW w:w="56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5407,9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5309,2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BA158D" w:rsidRPr="0091737D" w:rsidTr="00DB08D8">
        <w:trPr>
          <w:trHeight w:val="333"/>
        </w:trPr>
        <w:tc>
          <w:tcPr>
            <w:tcW w:w="56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1214,8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1528,1</w:t>
            </w:r>
          </w:p>
        </w:tc>
        <w:tc>
          <w:tcPr>
            <w:tcW w:w="1938" w:type="dxa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126%</w:t>
            </w:r>
          </w:p>
        </w:tc>
      </w:tr>
      <w:tr w:rsidR="00BA158D" w:rsidRPr="0091737D" w:rsidTr="00DB08D8">
        <w:trPr>
          <w:trHeight w:val="333"/>
        </w:trPr>
        <w:tc>
          <w:tcPr>
            <w:tcW w:w="566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18649,7</w:t>
            </w:r>
          </w:p>
        </w:tc>
        <w:tc>
          <w:tcPr>
            <w:tcW w:w="1938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18761,2</w:t>
            </w:r>
          </w:p>
        </w:tc>
        <w:tc>
          <w:tcPr>
            <w:tcW w:w="1938" w:type="dxa"/>
            <w:vAlign w:val="center"/>
          </w:tcPr>
          <w:p w:rsidR="00BA158D" w:rsidRPr="0091737D" w:rsidRDefault="00BA158D" w:rsidP="00DB08D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101%</w:t>
            </w:r>
          </w:p>
        </w:tc>
      </w:tr>
    </w:tbl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91737D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91737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i/>
          <w:color w:val="auto"/>
          <w:sz w:val="28"/>
        </w:rPr>
        <w:t>»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В январе-феврале 2021 года ТОО «Богатырь Комир» добыто 7 768 тыс. тонн, что на 3,3% меньше, чем за соответствующий период 2020 года (8 032 тыс. тонн).</w:t>
      </w:r>
    </w:p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A158D" w:rsidRPr="0091737D" w:rsidRDefault="00BA158D" w:rsidP="00BA158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510196474"/>
      <w:r w:rsidRPr="0091737D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91737D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i/>
          <w:color w:val="auto"/>
          <w:sz w:val="28"/>
        </w:rPr>
        <w:t>»</w:t>
      </w:r>
      <w:bookmarkEnd w:id="14"/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 xml:space="preserve">В январе-феврале 2021 года реализовано 7 618 тыс. тонн, в </w:t>
      </w:r>
      <w:proofErr w:type="spellStart"/>
      <w:r w:rsidRPr="009173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>.: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- на внутренний рынок РК 7 360 тыс. тонн, что на 15,4% больше, чем за соответствующий период 2020 года (6 377 тыс. тонн);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- на экспорт (РФ) – 259 тыс. тонн, что на 83,8% меньше, чем за соответствующий период 2020 года (1 599 тыс. тонн).</w:t>
      </w:r>
    </w:p>
    <w:p w:rsidR="00D618E9" w:rsidRDefault="00D618E9" w:rsidP="00D618E9">
      <w:pPr>
        <w:pStyle w:val="a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309A9" w:rsidRPr="007F6813" w:rsidRDefault="00D309A9" w:rsidP="00D618E9">
      <w:pPr>
        <w:pStyle w:val="a3"/>
        <w:tabs>
          <w:tab w:val="left" w:pos="0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7F6813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D309A9" w:rsidRPr="007F6813" w:rsidTr="00BD7175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309A9" w:rsidRPr="007F6813" w:rsidRDefault="00D309A9" w:rsidP="007F681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D309A9" w:rsidRPr="007F6813" w:rsidRDefault="00D309A9" w:rsidP="007F681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D309A9" w:rsidRPr="007F6813" w:rsidRDefault="00D309A9" w:rsidP="007F681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D309A9" w:rsidRPr="007F6813" w:rsidRDefault="00D309A9" w:rsidP="007F681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7F6813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9A9" w:rsidRPr="007F6813" w:rsidRDefault="00D309A9" w:rsidP="0040538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0538E">
              <w:rPr>
                <w:rFonts w:ascii="Times New Roman" w:hAnsi="Times New Roman" w:cs="Times New Roman"/>
                <w:b/>
                <w:sz w:val="24"/>
                <w:szCs w:val="24"/>
              </w:rPr>
              <w:t>1/2020</w:t>
            </w: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</w:p>
        </w:tc>
      </w:tr>
      <w:tr w:rsidR="0040538E" w:rsidRPr="007F6813" w:rsidTr="00BD7175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40538E" w:rsidRPr="007F6813" w:rsidRDefault="0040538E" w:rsidP="0040538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40538E" w:rsidRPr="007F6813" w:rsidRDefault="0040538E" w:rsidP="0040538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40538E" w:rsidRPr="004223B1" w:rsidRDefault="00BA158D" w:rsidP="00405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  <w:r w:rsidR="0040538E" w:rsidRPr="0042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40538E" w:rsidRPr="004223B1" w:rsidRDefault="00BA158D" w:rsidP="004053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  <w:r w:rsidR="0040538E" w:rsidRPr="00422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40538E" w:rsidRPr="007F6813" w:rsidRDefault="0040538E" w:rsidP="0040538E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58D" w:rsidRPr="007F6813" w:rsidTr="00A3310F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A158D" w:rsidRPr="007F6813" w:rsidRDefault="00BA158D" w:rsidP="00BA158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6 377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7 360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115,4%</w:t>
            </w:r>
          </w:p>
        </w:tc>
      </w:tr>
      <w:tr w:rsidR="00BA158D" w:rsidRPr="007F6813" w:rsidTr="00853D0D">
        <w:trPr>
          <w:trHeight w:val="315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BA158D" w:rsidRPr="007F6813" w:rsidRDefault="00BA158D" w:rsidP="00BA158D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1 599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A158D" w:rsidRPr="0091737D" w:rsidRDefault="00BA158D" w:rsidP="00BA15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sz w:val="24"/>
                <w:szCs w:val="24"/>
              </w:rPr>
              <w:t>16,2%</w:t>
            </w:r>
          </w:p>
        </w:tc>
      </w:tr>
    </w:tbl>
    <w:p w:rsidR="00BA158D" w:rsidRPr="0091737D" w:rsidRDefault="00BA158D" w:rsidP="00BA158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31296322"/>
      <w:r w:rsidRPr="0091737D">
        <w:rPr>
          <w:rFonts w:ascii="Times New Roman" w:hAnsi="Times New Roman" w:cs="Times New Roman"/>
          <w:sz w:val="28"/>
          <w:szCs w:val="28"/>
        </w:rPr>
        <w:t xml:space="preserve">По показателям за январь-февраль 2021 года по сравнению с аналогичным периодом 2020 года в Обществе наблюдается снижение реализации угля на 4,5%. </w:t>
      </w:r>
    </w:p>
    <w:p w:rsidR="00BA158D" w:rsidRPr="0091737D" w:rsidRDefault="00BA158D" w:rsidP="00BA158D">
      <w:pPr>
        <w:spacing w:after="0" w:line="240" w:lineRule="auto"/>
        <w:rPr>
          <w:rFonts w:ascii="Times New Roman" w:hAnsi="Times New Roman" w:cs="Times New Roman"/>
        </w:rPr>
      </w:pPr>
    </w:p>
    <w:p w:rsidR="00BA158D" w:rsidRPr="0091737D" w:rsidRDefault="00BA158D" w:rsidP="00BA158D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6" w:name="_Toc503289885"/>
      <w:bookmarkStart w:id="17" w:name="_Toc65566415"/>
      <w:r w:rsidRPr="0091737D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6"/>
      <w:bookmarkEnd w:id="17"/>
    </w:p>
    <w:p w:rsidR="00BA158D" w:rsidRPr="0091737D" w:rsidRDefault="00BA158D" w:rsidP="00BA1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A158D" w:rsidRPr="0091737D" w:rsidRDefault="00BA158D" w:rsidP="00BA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737D">
        <w:rPr>
          <w:rFonts w:ascii="Times New Roman" w:hAnsi="Times New Roman" w:cs="Times New Roman"/>
          <w:sz w:val="28"/>
        </w:rPr>
        <w:t xml:space="preserve">По данным системного оператора объем производства электроэнергии объектами по использованию ВИЭ (СЭС, ВЭС, БГС, малые ГЭС) РК за январь-февраль 2021 года составил 492,7 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. В сравнении с январем-февралем 2020 года (368,1 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>) прирост составил 133,8%.</w:t>
      </w:r>
    </w:p>
    <w:p w:rsidR="00BA158D" w:rsidRPr="0091737D" w:rsidRDefault="00BA158D" w:rsidP="00BA158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91737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067"/>
        <w:gridCol w:w="1196"/>
        <w:gridCol w:w="996"/>
        <w:gridCol w:w="1196"/>
        <w:gridCol w:w="989"/>
        <w:gridCol w:w="1041"/>
        <w:gridCol w:w="996"/>
      </w:tblGrid>
      <w:tr w:rsidR="00BA158D" w:rsidRPr="0091737D" w:rsidTr="00DB08D8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0г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1/2020гг,</w:t>
            </w:r>
          </w:p>
        </w:tc>
      </w:tr>
      <w:tr w:rsidR="00BA158D" w:rsidRPr="0091737D" w:rsidTr="00DB08D8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20393,8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19868,3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102,6%</w:t>
            </w:r>
          </w:p>
        </w:tc>
      </w:tr>
      <w:tr w:rsidR="00BA158D" w:rsidRPr="0091737D" w:rsidTr="00DB08D8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492,7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368,1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124,6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133,8%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42,7%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119,3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32,4%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176,3%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46,1%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149,7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40,7%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77,3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151,6%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99,1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26,9%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55,9%</w:t>
            </w:r>
          </w:p>
        </w:tc>
      </w:tr>
      <w:tr w:rsidR="00BA158D" w:rsidRPr="0091737D" w:rsidTr="00DB08D8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ВИЭ в РК, в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492,7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2,4%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368,1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124,6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133,8%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150,8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30,6%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38,0%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107,7%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274,2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55,7%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156,8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42,6%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117,4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174,9%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67,0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13,6%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71,0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19,3%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-4,0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94,4%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233,3%</w:t>
            </w:r>
          </w:p>
        </w:tc>
      </w:tr>
    </w:tbl>
    <w:p w:rsidR="00BA158D" w:rsidRPr="0091737D" w:rsidRDefault="00BA158D" w:rsidP="00BA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A158D" w:rsidRPr="0091737D" w:rsidRDefault="00BA158D" w:rsidP="00BA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737D">
        <w:rPr>
          <w:rFonts w:ascii="Times New Roman" w:hAnsi="Times New Roman" w:cs="Times New Roman"/>
          <w:sz w:val="28"/>
        </w:rPr>
        <w:t>В январе-феврале 2021г. наблюдается повышение производства электроэнергии ВЭС и СЭС по сравнению с аналогичным периодом 2020г.</w:t>
      </w:r>
    </w:p>
    <w:p w:rsidR="00BA158D" w:rsidRPr="0091737D" w:rsidRDefault="00BA158D" w:rsidP="00BA15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91737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60"/>
        <w:gridCol w:w="3481"/>
        <w:gridCol w:w="1191"/>
        <w:gridCol w:w="1033"/>
        <w:gridCol w:w="1194"/>
        <w:gridCol w:w="996"/>
        <w:gridCol w:w="915"/>
        <w:gridCol w:w="1014"/>
      </w:tblGrid>
      <w:tr w:rsidR="00BA158D" w:rsidRPr="0091737D" w:rsidTr="00DB08D8">
        <w:trPr>
          <w:trHeight w:val="285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2021/2020гг,</w:t>
            </w:r>
          </w:p>
        </w:tc>
      </w:tr>
      <w:tr w:rsidR="00BA158D" w:rsidRPr="0091737D" w:rsidTr="00DB08D8">
        <w:trPr>
          <w:trHeight w:val="57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</w:t>
            </w:r>
            <w:proofErr w:type="spellStart"/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Производство э/э в ЕЭС РК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20393,8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19868,3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525,5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102,6%</w:t>
            </w:r>
          </w:p>
        </w:tc>
      </w:tr>
      <w:tr w:rsidR="00BA158D" w:rsidRPr="0091737D" w:rsidTr="00DB08D8">
        <w:trPr>
          <w:trHeight w:val="7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1695,0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8,3%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1263,8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6,4%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431,2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134,1%</w:t>
            </w:r>
          </w:p>
        </w:tc>
      </w:tr>
      <w:tr w:rsidR="00BA158D" w:rsidRPr="0091737D" w:rsidTr="00DB08D8">
        <w:trPr>
          <w:trHeight w:val="70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58D" w:rsidRPr="0091737D" w:rsidRDefault="00BA158D" w:rsidP="00DB08D8">
            <w:pPr>
              <w:spacing w:after="0" w:line="240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sz w:val="24"/>
                <w:szCs w:val="24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492,7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2,4%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368,1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124,6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8D" w:rsidRPr="0091737D" w:rsidRDefault="00BA158D" w:rsidP="00DB08D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133,8%</w:t>
            </w:r>
          </w:p>
        </w:tc>
      </w:tr>
    </w:tbl>
    <w:p w:rsidR="00BA158D" w:rsidRPr="0091737D" w:rsidRDefault="00BA158D" w:rsidP="00BA158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A158D" w:rsidRPr="0091737D" w:rsidRDefault="00BA158D" w:rsidP="00BA158D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</w:rPr>
      </w:pPr>
      <w:r w:rsidRPr="0091737D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91737D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» (СЭС, ВЭС, малые ГЭС) за январь-февраль 2021 года </w:t>
      </w:r>
      <w:r w:rsidRPr="0091737D">
        <w:rPr>
          <w:rFonts w:ascii="Times New Roman" w:hAnsi="Times New Roman" w:cs="Times New Roman"/>
          <w:sz w:val="28"/>
          <w:szCs w:val="28"/>
        </w:rPr>
        <w:t xml:space="preserve">составила 51,2 </w:t>
      </w:r>
      <w:r w:rsidRPr="0091737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 xml:space="preserve"> или 10,4% от общего объема вырабатываемой объектами ВИЭ электроэнергии, что по сравнению с аналогичным периодом 2020 года ниже на 0,9</w:t>
      </w:r>
      <w:r w:rsidRPr="0091737D">
        <w:rPr>
          <w:rFonts w:ascii="Times New Roman" w:hAnsi="Times New Roman" w:cs="Times New Roman"/>
          <w:sz w:val="28"/>
          <w:szCs w:val="28"/>
        </w:rPr>
        <w:t>%</w:t>
      </w:r>
      <w:r w:rsidRPr="0091737D">
        <w:rPr>
          <w:rFonts w:ascii="Times New Roman" w:hAnsi="Times New Roman" w:cs="Times New Roman"/>
          <w:sz w:val="28"/>
        </w:rPr>
        <w:t xml:space="preserve"> (за январь-февраль 2020 г. выработка ВИЭ </w:t>
      </w:r>
      <w:r w:rsidRPr="0091737D">
        <w:rPr>
          <w:rFonts w:ascii="Times New Roman" w:hAnsi="Times New Roman" w:cs="Times New Roman"/>
          <w:sz w:val="28"/>
          <w:szCs w:val="28"/>
        </w:rPr>
        <w:t xml:space="preserve">Общества составила 56,2 </w:t>
      </w:r>
      <w:r w:rsidRPr="0091737D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</w:rPr>
        <w:t>, а доля ВИЭ Общества 15,3%).</w:t>
      </w:r>
    </w:p>
    <w:p w:rsidR="00BA158D" w:rsidRPr="0091737D" w:rsidRDefault="00BA158D" w:rsidP="00BA158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1737D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91737D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3101"/>
        <w:gridCol w:w="1418"/>
        <w:gridCol w:w="992"/>
        <w:gridCol w:w="995"/>
        <w:gridCol w:w="992"/>
        <w:gridCol w:w="990"/>
        <w:gridCol w:w="992"/>
      </w:tblGrid>
      <w:tr w:rsidR="00BA158D" w:rsidRPr="0091737D" w:rsidTr="00DB08D8">
        <w:trPr>
          <w:trHeight w:val="55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2021/2020гг,</w:t>
            </w:r>
          </w:p>
        </w:tc>
      </w:tr>
      <w:tr w:rsidR="00BA158D" w:rsidRPr="0091737D" w:rsidTr="00DB08D8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Янв.-фев.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 РК,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Янв.-фев.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в РК, 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A158D" w:rsidRPr="0091737D" w:rsidTr="00DB08D8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АО «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«чистой» электроэнергии (ВИЭ без учета Крупных ГЭС) в </w:t>
            </w:r>
            <w:proofErr w:type="spellStart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10,4%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15,3%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0,9%</w:t>
            </w:r>
          </w:p>
        </w:tc>
      </w:tr>
      <w:tr w:rsidR="00BA158D" w:rsidRPr="0091737D" w:rsidTr="001E697B">
        <w:trPr>
          <w:trHeight w:val="54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АО «АлЭС» Каскад малых ГЭС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0,9%</w:t>
            </w:r>
          </w:p>
        </w:tc>
      </w:tr>
      <w:tr w:rsidR="00BA158D" w:rsidRPr="0091737D" w:rsidTr="00DB08D8">
        <w:trPr>
          <w:trHeight w:val="34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ind w:right="171"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«Samruk-Green Energy» (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2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МВт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4%</w:t>
            </w:r>
          </w:p>
        </w:tc>
      </w:tr>
      <w:tr w:rsidR="00BA158D" w:rsidRPr="0091737D" w:rsidTr="00DB08D8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ind w:right="171"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«Samruk-Green Energy» (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5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МВт</w:t>
            </w: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%</w:t>
            </w:r>
          </w:p>
        </w:tc>
      </w:tr>
      <w:tr w:rsidR="00BA158D" w:rsidRPr="0091737D" w:rsidTr="00DB08D8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ind w:right="171" w:firstLineChars="100" w:firstLine="24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73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ТОО «Первая ветровая электрическая станция» ВЭС 45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6,3%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  <w:i/>
                <w:iCs/>
              </w:rPr>
              <w:t>9,3%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1737D">
              <w:rPr>
                <w:rFonts w:ascii="Times New Roman" w:hAnsi="Times New Roman" w:cs="Times New Roman"/>
              </w:rPr>
              <w:t>0,9%</w:t>
            </w:r>
          </w:p>
        </w:tc>
      </w:tr>
    </w:tbl>
    <w:p w:rsidR="00BA158D" w:rsidRPr="0091737D" w:rsidRDefault="00BA158D" w:rsidP="00BA1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F6813" w:rsidRPr="007F6813" w:rsidRDefault="007F6813" w:rsidP="007F681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1248FB" w:rsidRPr="007F6813" w:rsidRDefault="001248FB" w:rsidP="007F681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8" w:name="_Toc65590395"/>
      <w:r w:rsidRPr="007F6813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15"/>
      <w:bookmarkEnd w:id="18"/>
    </w:p>
    <w:p w:rsidR="001248FB" w:rsidRPr="007F6813" w:rsidRDefault="001248FB" w:rsidP="007F6813">
      <w:pPr>
        <w:pStyle w:val="ab"/>
        <w:tabs>
          <w:tab w:val="left" w:pos="0"/>
        </w:tabs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7F6813">
        <w:rPr>
          <w:i/>
          <w:szCs w:val="22"/>
        </w:rPr>
        <w:t>(информация АО «КОРЭМ»)</w:t>
      </w:r>
    </w:p>
    <w:p w:rsidR="0021630F" w:rsidRPr="004223B1" w:rsidRDefault="0021630F" w:rsidP="0021630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9" w:name="_Toc510196477"/>
      <w:bookmarkStart w:id="20" w:name="_Toc65566417"/>
      <w:bookmarkStart w:id="21" w:name="_Toc65590396"/>
      <w:r w:rsidRPr="004223B1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9"/>
      <w:bookmarkEnd w:id="20"/>
      <w:bookmarkEnd w:id="21"/>
    </w:p>
    <w:p w:rsidR="00BA158D" w:rsidRPr="0091737D" w:rsidRDefault="00BA158D" w:rsidP="00BA15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централизованных торгов электроэнергией в феврале 2021 года были заключены 124 сделки объеме 73 176 тыс. кВт*ч на общую сумму 589 632,2 тыс. тенге по спот-торгам в режиме «за день вперед», минимальная цена составила – 6,7 </w:t>
      </w:r>
      <w:proofErr w:type="spellStart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цена – 8,2 </w:t>
      </w:r>
      <w:proofErr w:type="spellStart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 Сделок по спот-торгам «в течение операционных суток» и торгов на среднесрочный и долгосрочный периоды не было.</w:t>
      </w:r>
    </w:p>
    <w:p w:rsidR="00BA158D" w:rsidRPr="0091737D" w:rsidRDefault="00BA158D" w:rsidP="00BA15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аналогичный период 2020 года общий объем централизованных торгов составил 50 071 тыс. кВт*ч. В таблице ниже приведена динамика цен сделок, заключенных на централизованных торгах в феврале 2020-2021 год.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BA158D" w:rsidRPr="0091737D" w:rsidRDefault="00BA158D" w:rsidP="00BA158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>в феврале 2020-2021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BA158D" w:rsidRPr="0091737D" w:rsidTr="00DB08D8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BA158D" w:rsidRPr="0091737D" w:rsidTr="00DB08D8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7D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BA158D" w:rsidRPr="0091737D" w:rsidTr="00DB08D8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8D" w:rsidRPr="0091737D" w:rsidRDefault="00BA158D" w:rsidP="00DB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917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BA158D" w:rsidRPr="0091737D" w:rsidTr="00DB08D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4,501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A158D" w:rsidRPr="0091737D" w:rsidTr="00DB08D8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A158D" w:rsidRPr="0091737D" w:rsidRDefault="00BA158D" w:rsidP="00DB08D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91737D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BA158D" w:rsidRPr="0091737D" w:rsidRDefault="00BA158D" w:rsidP="00BA158D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bookmarkStart w:id="22" w:name="_Toc510196478"/>
    </w:p>
    <w:p w:rsidR="00BA158D" w:rsidRPr="0091737D" w:rsidRDefault="00BA158D" w:rsidP="00BA158D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91737D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22"/>
    </w:p>
    <w:p w:rsidR="00BA158D" w:rsidRPr="0091737D" w:rsidRDefault="00BA158D" w:rsidP="00BA15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феврале 2021 года были заключены 124 сделки в объеме 73 176 тыс. кВт*ч, минимальная клиринговая цена на спот-торгах в режиме «за день вперед» составила – 6,7 </w:t>
      </w:r>
      <w:proofErr w:type="spellStart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8,2 </w:t>
      </w:r>
      <w:proofErr w:type="spellStart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BA158D" w:rsidRPr="0091737D" w:rsidRDefault="00BA158D" w:rsidP="00BA15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ниже представлены итоговые результаты спот-торгов в режиме «за день вперед» за февраль 2021 года.</w:t>
      </w:r>
    </w:p>
    <w:p w:rsidR="00BA158D" w:rsidRPr="0091737D" w:rsidRDefault="00BA158D" w:rsidP="00BA158D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EF0C69" wp14:editId="54BBE120">
            <wp:extent cx="6301105" cy="5964464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96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510196479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Из таблицы видно, что суммарный объем спроса составил 111 480 тыс. кВт*ч., при этом суммарный объем предложения составил 73 176 тыс. кВт*ч, Неудовлетворенный объем спроса в феврале 2021 года составил 39 168 тыс. кВт*ч, а неудовлетворенный объем предложения 0 </w:t>
      </w:r>
      <w:proofErr w:type="spellStart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тыс.кВт</w:t>
      </w:r>
      <w:proofErr w:type="spellEnd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*ч. В процессе спот-торгов в торговую систему всего было принято заявок в количестве - 409, из них 332 заявки от покупателей и 77 заявок от продавцов. </w:t>
      </w: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91737D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  <w:bookmarkEnd w:id="23"/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510196480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итогам проведенных торгов в феврале 2021 года сделок заключено не было. По итогам проведенных торгов в феврале 2020 года сделок также заключено не было.  </w:t>
      </w: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91737D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24"/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феврале 2021 года и за аналогичный период 2020 года по итогам торгов на средне- и долгосрочный периоды сделок заключено не было.</w:t>
      </w: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 аналогичный период 2019 года по торгам электроэнергией на средне- и долгосрочный периоды - была заключена 1 сделка объемом 336 тыс. кВт*ч на общую сумму 1935,36 тыс. тенге. Минимальная и максимальная цена по данному виду централизованных торгов составила 5,76 </w:t>
      </w:r>
      <w:proofErr w:type="spellStart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тг</w:t>
      </w:r>
      <w:proofErr w:type="spellEnd"/>
      <w:r w:rsidRPr="009173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/кВт*ч (без НДС).</w:t>
      </w:r>
    </w:p>
    <w:p w:rsidR="001338ED" w:rsidRPr="007F6813" w:rsidRDefault="001338ED" w:rsidP="007F681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ED" w:rsidRPr="007F6813" w:rsidRDefault="001338ED" w:rsidP="007F6813">
      <w:pPr>
        <w:pStyle w:val="1"/>
        <w:numPr>
          <w:ilvl w:val="0"/>
          <w:numId w:val="1"/>
        </w:numPr>
        <w:tabs>
          <w:tab w:val="left" w:pos="426"/>
        </w:tabs>
        <w:spacing w:before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25" w:name="_Toc52533539"/>
      <w:bookmarkStart w:id="26" w:name="_Toc65590401"/>
      <w:r w:rsidRPr="007F6813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25"/>
      <w:bookmarkEnd w:id="26"/>
    </w:p>
    <w:p w:rsidR="001338ED" w:rsidRPr="007F6813" w:rsidRDefault="001338ED" w:rsidP="007F68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37D">
        <w:rPr>
          <w:rFonts w:ascii="Times New Roman" w:hAnsi="Times New Roman" w:cs="Times New Roman"/>
          <w:sz w:val="28"/>
          <w:szCs w:val="28"/>
        </w:rPr>
        <w:t xml:space="preserve">В целях балансирования производства-потребления электроэнергии в январе-феврале 2021 года экспорт в РФ составил 230,49 млн. </w:t>
      </w:r>
      <w:proofErr w:type="spellStart"/>
      <w:r w:rsidRPr="0091737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 xml:space="preserve">, импорт из РФ – 249,92 млн. </w:t>
      </w:r>
      <w:proofErr w:type="spellStart"/>
      <w:r w:rsidRPr="0091737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>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1737D">
        <w:rPr>
          <w:rFonts w:ascii="Times New Roman" w:hAnsi="Times New Roman" w:cs="Times New Roman"/>
          <w:sz w:val="28"/>
          <w:szCs w:val="28"/>
        </w:rPr>
        <w:t>Экскпорт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 xml:space="preserve"> АО «</w:t>
      </w:r>
      <w:r w:rsidRPr="0091737D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91737D">
        <w:rPr>
          <w:rFonts w:ascii="Times New Roman" w:hAnsi="Times New Roman" w:cs="Times New Roman"/>
          <w:sz w:val="28"/>
          <w:szCs w:val="28"/>
        </w:rPr>
        <w:t xml:space="preserve">» – 223,11 млн. </w:t>
      </w:r>
      <w:proofErr w:type="spellStart"/>
      <w:r w:rsidRPr="0091737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 xml:space="preserve">, импорт электроэнергии из РФ за отчетный период в объеме 20618 млн. </w:t>
      </w:r>
      <w:proofErr w:type="spellStart"/>
      <w:r w:rsidRPr="0091737D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91737D">
        <w:rPr>
          <w:rFonts w:ascii="Times New Roman" w:hAnsi="Times New Roman" w:cs="Times New Roman"/>
          <w:sz w:val="28"/>
          <w:szCs w:val="28"/>
        </w:rPr>
        <w:t>.</w:t>
      </w:r>
    </w:p>
    <w:p w:rsidR="00741F18" w:rsidRPr="007F6813" w:rsidRDefault="00741F18" w:rsidP="007F6813">
      <w:pPr>
        <w:tabs>
          <w:tab w:val="left" w:pos="0"/>
        </w:tabs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7F6813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7F6813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A81FE3" w:rsidRPr="007F6813" w:rsidTr="00E644FC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E3" w:rsidRPr="007F6813" w:rsidRDefault="00A81FE3" w:rsidP="00A81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81FE3" w:rsidRPr="00395B2D" w:rsidRDefault="00A81FE3" w:rsidP="0021630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Январь-февраль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FE3" w:rsidRPr="00395B2D" w:rsidRDefault="00A81FE3" w:rsidP="0021630F">
            <w:pPr>
              <w:spacing w:after="0" w:line="240" w:lineRule="auto"/>
              <w:ind w:left="-119" w:right="-13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BA158D" w:rsidRPr="009173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Январь-февраль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FE3" w:rsidRPr="007F6813" w:rsidRDefault="00A81FE3" w:rsidP="00A81F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  <w:r w:rsidR="0021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2021/2020</w:t>
            </w: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</w:p>
        </w:tc>
      </w:tr>
      <w:tr w:rsidR="00A81FE3" w:rsidRPr="007F6813" w:rsidTr="00E644FC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E3" w:rsidRPr="007F6813" w:rsidRDefault="00A81FE3" w:rsidP="00A81F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1FE3" w:rsidRPr="007F6813" w:rsidRDefault="00A81FE3" w:rsidP="00A81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FE3" w:rsidRPr="007F6813" w:rsidRDefault="00A81FE3" w:rsidP="00A81F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FE3" w:rsidRPr="007F6813" w:rsidRDefault="00A81FE3" w:rsidP="00A81FE3">
            <w:pPr>
              <w:tabs>
                <w:tab w:val="left" w:pos="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1FE3" w:rsidRPr="007F6813" w:rsidRDefault="00A81FE3" w:rsidP="00A81F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B2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-52,8%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-516,05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-602,63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-86,57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17%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-169,74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-230,49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36%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-346,31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-372,14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7%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201,82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249,92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48,11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24%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199,17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249,92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50,75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25%</w:t>
            </w:r>
          </w:p>
        </w:tc>
      </w:tr>
      <w:tr w:rsidR="00BA158D" w:rsidRPr="007F6813" w:rsidTr="00E644FC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2,65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-100%</w:t>
            </w:r>
          </w:p>
        </w:tc>
      </w:tr>
      <w:tr w:rsidR="00BA158D" w:rsidRPr="007F6813" w:rsidTr="00E644FC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158D" w:rsidRPr="007F6813" w:rsidRDefault="00BA158D" w:rsidP="00BA158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7F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-314,23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37D">
              <w:rPr>
                <w:rFonts w:ascii="Times New Roman" w:hAnsi="Times New Roman" w:cs="Times New Roman"/>
                <w:b/>
                <w:bCs/>
              </w:rPr>
              <w:t>-352,70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-38,47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8D" w:rsidRPr="0091737D" w:rsidRDefault="00BA158D" w:rsidP="00BA1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37D">
              <w:rPr>
                <w:rFonts w:ascii="Times New Roman" w:hAnsi="Times New Roman" w:cs="Times New Roman"/>
              </w:rPr>
              <w:t>12%</w:t>
            </w:r>
          </w:p>
        </w:tc>
      </w:tr>
    </w:tbl>
    <w:p w:rsidR="00776138" w:rsidRPr="007F6813" w:rsidRDefault="00776138" w:rsidP="007F6813">
      <w:pPr>
        <w:tabs>
          <w:tab w:val="left" w:pos="0"/>
        </w:tabs>
        <w:spacing w:after="0" w:line="240" w:lineRule="auto"/>
        <w:ind w:left="283"/>
        <w:rPr>
          <w:rFonts w:ascii="Times New Roman" w:hAnsi="Times New Roman" w:cs="Times New Roman"/>
          <w:sz w:val="24"/>
        </w:rPr>
      </w:pPr>
    </w:p>
    <w:p w:rsidR="00882305" w:rsidRPr="007F6813" w:rsidRDefault="00882305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F6813">
        <w:rPr>
          <w:rFonts w:ascii="Times New Roman" w:hAnsi="Times New Roman" w:cs="Times New Roman"/>
        </w:rPr>
        <w:br w:type="page"/>
      </w:r>
    </w:p>
    <w:p w:rsidR="008647BB" w:rsidRPr="007F6813" w:rsidRDefault="00B94F51" w:rsidP="007F6813">
      <w:pPr>
        <w:pStyle w:val="1"/>
        <w:tabs>
          <w:tab w:val="left" w:pos="0"/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7" w:name="_Toc65590402"/>
      <w:r w:rsidRPr="007F6813">
        <w:rPr>
          <w:rFonts w:ascii="Times New Roman" w:hAnsi="Times New Roman" w:cs="Times New Roman"/>
          <w:b/>
          <w:color w:val="auto"/>
        </w:rPr>
        <w:t>РАЗДЕЛ II</w:t>
      </w:r>
      <w:bookmarkEnd w:id="27"/>
    </w:p>
    <w:p w:rsidR="004550F2" w:rsidRPr="007F6813" w:rsidRDefault="004550F2" w:rsidP="007F681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387115" w:rsidRPr="007F6813" w:rsidRDefault="00387115" w:rsidP="007F681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8" w:name="_Toc65590403"/>
      <w:r w:rsidRPr="007F6813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7F6813">
        <w:rPr>
          <w:rFonts w:ascii="Times New Roman" w:hAnsi="Times New Roman" w:cs="Times New Roman"/>
          <w:b/>
          <w:color w:val="auto"/>
        </w:rPr>
        <w:t>я</w:t>
      </w:r>
      <w:r w:rsidRPr="007F6813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8"/>
    </w:p>
    <w:p w:rsidR="00C82DFF" w:rsidRPr="007F6813" w:rsidRDefault="00C82DFF" w:rsidP="007F68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4F55A3" w:rsidRPr="007F6813" w:rsidRDefault="004F55A3" w:rsidP="007F6813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электроэнергетический рынок Евразийского экономического союза планируется сформировать путем интеграции национальных рынков электроэнергии </w:t>
      </w:r>
      <w:r w:rsidRPr="007F68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Армении, Белоруссии, Казахстана, Кыргызстана и России.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Государства-члены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государств-членов.</w:t>
      </w:r>
    </w:p>
    <w:p w:rsidR="004F55A3" w:rsidRPr="007F6813" w:rsidRDefault="004F55A3" w:rsidP="007F6813">
      <w:pPr>
        <w:pBdr>
          <w:bottom w:val="single" w:sz="4" w:space="0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будет соблюден баланс экономических интересов производителей и потребителей электрической энергии, а также других субъектов ОЭР ЕАЭС.</w:t>
      </w:r>
    </w:p>
    <w:p w:rsidR="004F55A3" w:rsidRPr="007F6813" w:rsidRDefault="004F55A3" w:rsidP="007F6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29 мая 2019 года в рамках празднования пятилетия подписания Договора</w:t>
      </w:r>
      <w:r w:rsidRPr="007F6813">
        <w:rPr>
          <w:rFonts w:ascii="Times New Roman" w:hAnsi="Times New Roman" w:cs="Times New Roman"/>
        </w:rPr>
        <w:t xml:space="preserve"> </w:t>
      </w: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p w:rsidR="004F55A3" w:rsidRPr="007F6813" w:rsidRDefault="004F55A3" w:rsidP="007F6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7F6813">
        <w:rPr>
          <w:rFonts w:ascii="Times New Roman" w:eastAsia="Calibri" w:hAnsi="Times New Roman" w:cs="Times New Roman"/>
          <w:sz w:val="28"/>
          <w:szCs w:val="28"/>
          <w:lang w:eastAsia="ru-RU"/>
        </w:rPr>
        <w:t>20 декабря 2019 года Высшим советом принято Решение № 31 «О плане мероприятий, направленных на формирование общего электроэнергетического рынка Евразийского экономического союза», устанавливающего в том числе сроки утверждения и вступления в силу правил функционирования общего электроэнергетического рынка Союза, а также других актов, предусмотренных указанным Протоколом.</w:t>
      </w:r>
    </w:p>
    <w:p w:rsidR="004F55A3" w:rsidRPr="007F6813" w:rsidRDefault="004F55A3" w:rsidP="007F6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В настоящее время государствами-членами ЕАЭС проводится работа по разработке и согласованию правил функционирования ОЭР ЕАЭС.</w:t>
      </w:r>
    </w:p>
    <w:p w:rsidR="00BA158D" w:rsidRPr="00B6083A" w:rsidRDefault="00EA70B1" w:rsidP="00BA15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highlight w:val="yellow"/>
        </w:rPr>
      </w:pPr>
      <w:r w:rsidRPr="00EA70B1">
        <w:rPr>
          <w:rFonts w:ascii="Times New Roman" w:hAnsi="Times New Roman" w:cs="Times New Roman"/>
          <w:sz w:val="28"/>
        </w:rPr>
        <w:t xml:space="preserve">В 2021 году проведены одно заседание Консультативного комитета по электроэнергетике при Коллегии ЕЭК (далее – Консультативный комитет) </w:t>
      </w:r>
      <w:r w:rsidRPr="00EA70B1">
        <w:rPr>
          <w:rFonts w:ascii="Times New Roman" w:hAnsi="Times New Roman" w:cs="Times New Roman"/>
          <w:sz w:val="28"/>
        </w:rPr>
        <w:br/>
        <w:t>(14-е заседание, 21 января 2021 года) и одно заседание Подкомитета по формированию ОЭР ЕАЭС Консультативного комитета по электроэнергетике при Коллегии ЕЭК (далее – Подкомитет) (56-е заседание 14 января</w:t>
      </w:r>
      <w:r w:rsidR="00BA158D" w:rsidRPr="00BA158D">
        <w:rPr>
          <w:rFonts w:ascii="Times New Roman" w:hAnsi="Times New Roman" w:cs="Times New Roman"/>
          <w:sz w:val="28"/>
        </w:rPr>
        <w:t xml:space="preserve">, </w:t>
      </w:r>
      <w:bookmarkStart w:id="29" w:name="_GoBack"/>
      <w:r w:rsidR="00BA158D" w:rsidRPr="00BA158D">
        <w:rPr>
          <w:rFonts w:ascii="Times New Roman" w:hAnsi="Times New Roman" w:cs="Times New Roman"/>
          <w:sz w:val="28"/>
        </w:rPr>
        <w:t xml:space="preserve">57-е заседание 5 февраля, 58-е заседание 25-26 февраля). </w:t>
      </w:r>
    </w:p>
    <w:bookmarkEnd w:id="29"/>
    <w:p w:rsidR="00EA70B1" w:rsidRPr="00EA70B1" w:rsidRDefault="00EA70B1" w:rsidP="00EA70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EA70B1" w:rsidRPr="007F6813" w:rsidRDefault="00EA70B1" w:rsidP="00EA70B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70B1">
        <w:rPr>
          <w:rFonts w:ascii="Times New Roman" w:hAnsi="Times New Roman" w:cs="Times New Roman"/>
          <w:sz w:val="28"/>
        </w:rPr>
        <w:t>Работа по формированию общего электроэнергетического рынка Евразийского экономического союза продолжается.</w:t>
      </w:r>
      <w:r w:rsidRPr="007F6813">
        <w:rPr>
          <w:rFonts w:ascii="Times New Roman" w:hAnsi="Times New Roman" w:cs="Times New Roman"/>
          <w:sz w:val="28"/>
        </w:rPr>
        <w:t xml:space="preserve"> </w:t>
      </w:r>
    </w:p>
    <w:p w:rsidR="00E37727" w:rsidRPr="007F6813" w:rsidRDefault="00E37727" w:rsidP="007F68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7F6813" w:rsidRDefault="006432D5" w:rsidP="007F681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7F6813" w:rsidRDefault="00387115" w:rsidP="007F6813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0" w:name="_Toc65590404"/>
      <w:r w:rsidRPr="007F6813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7F6813">
        <w:rPr>
          <w:rFonts w:ascii="Times New Roman" w:hAnsi="Times New Roman" w:cs="Times New Roman"/>
          <w:b/>
          <w:color w:val="auto"/>
        </w:rPr>
        <w:t>Э</w:t>
      </w:r>
      <w:r w:rsidRPr="007F6813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30"/>
    </w:p>
    <w:p w:rsidR="00387115" w:rsidRPr="007F6813" w:rsidRDefault="00387115" w:rsidP="007F68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7F6813" w:rsidRDefault="006B1F89" w:rsidP="007F681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С 1992 года проведено 5</w:t>
      </w:r>
      <w:r w:rsidR="00CE4C8F" w:rsidRPr="007F6813">
        <w:rPr>
          <w:rFonts w:ascii="Times New Roman" w:hAnsi="Times New Roman" w:cs="Times New Roman"/>
          <w:sz w:val="28"/>
        </w:rPr>
        <w:t>5</w:t>
      </w:r>
      <w:r w:rsidRPr="007F6813">
        <w:rPr>
          <w:rFonts w:ascii="Times New Roman" w:hAnsi="Times New Roman" w:cs="Times New Roman"/>
          <w:sz w:val="28"/>
        </w:rPr>
        <w:t xml:space="preserve"> заседани</w:t>
      </w:r>
      <w:r w:rsidR="00CE4C8F" w:rsidRPr="007F6813">
        <w:rPr>
          <w:rFonts w:ascii="Times New Roman" w:hAnsi="Times New Roman" w:cs="Times New Roman"/>
          <w:sz w:val="28"/>
        </w:rPr>
        <w:t>й</w:t>
      </w:r>
      <w:r w:rsidR="0007078E" w:rsidRPr="007F6813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7F6813" w:rsidRDefault="0007078E" w:rsidP="007F681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F6813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7F6813">
        <w:rPr>
          <w:rFonts w:ascii="Times New Roman" w:hAnsi="Times New Roman" w:cs="Times New Roman"/>
          <w:sz w:val="28"/>
        </w:rPr>
        <w:t>.</w:t>
      </w:r>
    </w:p>
    <w:p w:rsidR="006C3EF7" w:rsidRPr="007F6813" w:rsidRDefault="006C3EF7" w:rsidP="007F681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7F6813" w:rsidTr="006C3EF7">
        <w:trPr>
          <w:trHeight w:val="845"/>
        </w:trPr>
        <w:tc>
          <w:tcPr>
            <w:tcW w:w="217" w:type="pct"/>
            <w:vAlign w:val="center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7F6813" w:rsidTr="006C3EF7">
        <w:trPr>
          <w:trHeight w:val="1560"/>
        </w:trPr>
        <w:tc>
          <w:tcPr>
            <w:tcW w:w="217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7F6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7F6813" w:rsidRDefault="006C3EF7" w:rsidP="007F6813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F6813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7F6813" w:rsidRDefault="006C3EF7" w:rsidP="007F6813">
            <w:pPr>
              <w:pStyle w:val="ae"/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7F6813" w:rsidTr="006C3EF7">
        <w:trPr>
          <w:trHeight w:val="560"/>
        </w:trPr>
        <w:tc>
          <w:tcPr>
            <w:tcW w:w="217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7F6813" w:rsidTr="006C3EF7">
        <w:trPr>
          <w:trHeight w:val="2088"/>
        </w:trPr>
        <w:tc>
          <w:tcPr>
            <w:tcW w:w="217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7F6813" w:rsidTr="006C3EF7">
        <w:trPr>
          <w:trHeight w:val="1410"/>
        </w:trPr>
        <w:tc>
          <w:tcPr>
            <w:tcW w:w="217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7F6813" w:rsidRDefault="006C3EF7" w:rsidP="007F68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7F6813" w:rsidTr="006C3EF7">
        <w:trPr>
          <w:trHeight w:val="2404"/>
        </w:trPr>
        <w:tc>
          <w:tcPr>
            <w:tcW w:w="217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7F6813" w:rsidRDefault="006C3EF7" w:rsidP="007F681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7F6813" w:rsidRDefault="006C3EF7" w:rsidP="007F68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813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Default="008928B2" w:rsidP="007F6813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21630F" w:rsidRPr="007F6813" w:rsidRDefault="0021630F" w:rsidP="007F6813">
      <w:pPr>
        <w:pStyle w:val="ad"/>
        <w:tabs>
          <w:tab w:val="left" w:pos="0"/>
        </w:tabs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0A3B02" w:rsidRPr="0021630F" w:rsidRDefault="001D295E" w:rsidP="00A10559">
      <w:pPr>
        <w:pStyle w:val="1"/>
        <w:numPr>
          <w:ilvl w:val="0"/>
          <w:numId w:val="1"/>
        </w:numPr>
        <w:tabs>
          <w:tab w:val="left" w:pos="0"/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1630F">
        <w:rPr>
          <w:rFonts w:ascii="Times New Roman" w:hAnsi="Times New Roman" w:cs="Times New Roman"/>
          <w:b/>
          <w:color w:val="auto"/>
        </w:rPr>
        <w:t xml:space="preserve"> </w:t>
      </w:r>
      <w:bookmarkStart w:id="31" w:name="_Toc525902070"/>
      <w:bookmarkStart w:id="32" w:name="_Toc65590405"/>
      <w:bookmarkStart w:id="33" w:name="_Hlk10046153"/>
      <w:r w:rsidR="000A3B02" w:rsidRPr="0021630F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1"/>
      <w:bookmarkEnd w:id="32"/>
    </w:p>
    <w:p w:rsidR="00620733" w:rsidRDefault="000A3B02" w:rsidP="007F6813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6813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7F6813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p w:rsidR="0021630F" w:rsidRPr="007F6813" w:rsidRDefault="0021630F" w:rsidP="007F6813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33"/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Республика Армения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1737D">
        <w:rPr>
          <w:rFonts w:ascii="Times New Roman" w:hAnsi="Times New Roman" w:cs="Times New Roman"/>
          <w:b/>
          <w:sz w:val="24"/>
          <w:szCs w:val="24"/>
        </w:rPr>
        <w:t>Moody's</w:t>
      </w:r>
      <w:proofErr w:type="spellEnd"/>
      <w:r w:rsidRPr="00917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b/>
          <w:sz w:val="24"/>
          <w:szCs w:val="24"/>
        </w:rPr>
        <w:t>Investors</w:t>
      </w:r>
      <w:proofErr w:type="spellEnd"/>
      <w:r w:rsidRPr="009173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b/>
          <w:sz w:val="24"/>
          <w:szCs w:val="24"/>
        </w:rPr>
        <w:t>Service</w:t>
      </w:r>
      <w:proofErr w:type="spellEnd"/>
      <w:r w:rsidRPr="0091737D">
        <w:rPr>
          <w:rFonts w:ascii="Times New Roman" w:hAnsi="Times New Roman" w:cs="Times New Roman"/>
          <w:b/>
          <w:sz w:val="24"/>
          <w:szCs w:val="24"/>
        </w:rPr>
        <w:t>» подтвердило рейтинг Ba2 компании «Электрические сети Армении»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Одно из авторитетных международных рейтинговых агентств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Moody's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Investors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» подтвердило рейтинг Ba2 компании «Электрические сети Армении», со статусом «стабильный», на этот раз долгосрочно. Рейтинг компании беспрецедентен как в Армении, так и в регионе. 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После включения в состав компаний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Ташир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» Компания начала и продолжает без прерываний реализовывать 10-летнюю инвестиционную программу на сумму в 726 млн. долларов. С 2015 года Компания активно сотрудничает с Азиатским банком развития, Европейским банком реконструкции и развития, Евразийским банком развития и Международной финансовой корпорацией, предоставляемые кредиты которых направляются на реализацию инвестиционных программ Компании. В конце года с Международной финансовой корпорацией (IFC), являющейся членом группы Всемирного банка, был подписан договор о предоставлении кредитных средств на сумму в 60 млн. долларов для реализации инвестиционных программ. Кредитные средства, предусмотренные договором, будут выделены Компании в феврале текущего года».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58D" w:rsidRPr="0091737D" w:rsidRDefault="00BA158D" w:rsidP="00BA158D">
      <w:pPr>
        <w:pStyle w:val="a3"/>
        <w:shd w:val="clear" w:color="auto" w:fill="FFFFFF"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b/>
          <w:bCs/>
          <w:spacing w:val="6"/>
          <w:sz w:val="24"/>
          <w:szCs w:val="24"/>
        </w:rPr>
      </w:pPr>
      <w:r w:rsidRPr="0091737D">
        <w:rPr>
          <w:rFonts w:ascii="Times New Roman" w:hAnsi="Times New Roman" w:cs="Times New Roman"/>
          <w:b/>
          <w:bCs/>
          <w:spacing w:val="6"/>
          <w:sz w:val="24"/>
          <w:szCs w:val="24"/>
        </w:rPr>
        <w:t>Республика Беларусь</w:t>
      </w: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>Организации системы Министерства энергетики в 2020 году выполнили ключевые показатели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91737D">
        <w:t>26 февраля 2021 года с участием заместителя Премьер-министра Республики Беларусь Ю. Назарова состоялось заседание коллегии Министерства энергетики, на котором рассмотрены итоги работы организаций, входящих в систему Минэнерго, в 2020 году и задачи на 2021 год.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91737D">
        <w:t>Ключевой для отрасли проект – строительство Белорусской атомной электростанции. На конец 2020 года их установленная мощность составила 916 МВт. Эти объекты уже активно использовались в январе-феврале 2021 года в рамках проводимого этапа опытно-промышленной эксплуатации первого энергоблока станции.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91737D">
        <w:t>Особое внимание уделялось модернизации энергетической инфраструктуры. За 2020 год построено и реконструировано 1,9 тыс. км линий электропередачи, 183 км тепловых сетей, введено в эксплуатацию 1,4 тыс. км газопроводов различных категорий, газифицировано природным газом 32 тыс. квартир.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91737D">
        <w:t xml:space="preserve">Ввод станции в эксплуатацию открывает дополнительные возможности для увеличения электропотребления в стране. Министерством энергетики утверждена Программа увеличения электропотребления для нужд отопления, горячего водоснабжения и </w:t>
      </w:r>
      <w:proofErr w:type="spellStart"/>
      <w:r w:rsidRPr="0091737D">
        <w:t>пищеприготовления</w:t>
      </w:r>
      <w:proofErr w:type="spellEnd"/>
      <w:r w:rsidRPr="0091737D">
        <w:t xml:space="preserve"> на 2021 – 2025 годы. Документ включает три основных направления. Первое – строительство нового электрифицированного жилья, где электроэнергия будет использоваться для отопления и горячего водоснабжения. Второе направление – это перевод многоквартирного жилого фонда с использования твердого топлива на электроэнергию. За пятилетку планируется ввести 85 таких домов. Третье направление – это перевод существующего индивидуального жилого фонда на использование электроэнергии для целей отопления и горячего водоснабжения. Эта работа рассматривается прежде всего, как альтернатива газификации. В первую очередь она будет организована в сельских населенных пунктах. Все условия для ее эффективной реализации созданы. На уровне Главы государства утверждены стимулирующие тарифы для населения, Указом от 14 апреля 2020 г. № 127 определен механизм возмещения расходов на электроснабжение эксплуатируемого жилищного фонда.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91737D">
        <w:t xml:space="preserve">Как результат – объем потребления населением электроэнергии для отопления и горячего водоснабжения в Беларуси в 2020 году вырос в 7 раз по сравнению с 2019 годом - с 12,9 млн </w:t>
      </w:r>
      <w:proofErr w:type="spellStart"/>
      <w:r w:rsidRPr="0091737D">
        <w:t>кВт.ч</w:t>
      </w:r>
      <w:proofErr w:type="spellEnd"/>
      <w:r w:rsidRPr="0091737D">
        <w:t xml:space="preserve"> до 89,4 млн </w:t>
      </w:r>
      <w:proofErr w:type="spellStart"/>
      <w:r w:rsidRPr="0091737D">
        <w:t>кВтч</w:t>
      </w:r>
      <w:proofErr w:type="spellEnd"/>
      <w:r w:rsidRPr="0091737D">
        <w:t xml:space="preserve">. 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Энергоблок №1 </w:t>
      </w:r>
      <w:proofErr w:type="spellStart"/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БелАЭС</w:t>
      </w:r>
      <w:proofErr w:type="spellEnd"/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выработал первый миллиард киловатт-часов электроэнергии</w:t>
      </w:r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</w:pPr>
      <w:r w:rsidRPr="0091737D">
        <w:t xml:space="preserve">Энергоблок №1 Белорусской атомной станции с момента включения в объединенную энергосистему страны выработал первый миллиард </w:t>
      </w:r>
      <w:proofErr w:type="spellStart"/>
      <w:r w:rsidRPr="0091737D">
        <w:t>кВтч</w:t>
      </w:r>
      <w:proofErr w:type="spellEnd"/>
      <w:r w:rsidRPr="0091737D">
        <w:t xml:space="preserve"> электроэнергии.</w:t>
      </w:r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</w:pPr>
      <w:r w:rsidRPr="0091737D">
        <w:t xml:space="preserve">С вводом двух энергоблоков </w:t>
      </w:r>
      <w:proofErr w:type="spellStart"/>
      <w:r w:rsidRPr="0091737D">
        <w:t>БелАЭС</w:t>
      </w:r>
      <w:proofErr w:type="spellEnd"/>
      <w:r w:rsidRPr="0091737D">
        <w:t xml:space="preserve"> в промышленную эксплуатацию выработка электроэнергии составит около 18 млрд </w:t>
      </w:r>
      <w:proofErr w:type="spellStart"/>
      <w:r w:rsidRPr="0091737D">
        <w:t>кВтч</w:t>
      </w:r>
      <w:proofErr w:type="spellEnd"/>
      <w:r w:rsidRPr="0091737D">
        <w:t xml:space="preserve"> в год. По информации пресс-службы, станция обеспечит около 40% внутренних потребностей в электроэнергии и позволит ежегодно замещать порядка 4,5 млрд </w:t>
      </w:r>
      <w:proofErr w:type="spellStart"/>
      <w:r w:rsidRPr="0091737D">
        <w:t>куб.м</w:t>
      </w:r>
      <w:proofErr w:type="spellEnd"/>
      <w:r w:rsidRPr="0091737D">
        <w:t xml:space="preserve"> природного газа.</w:t>
      </w:r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</w:pPr>
      <w:r w:rsidRPr="0091737D">
        <w:t>Белорусская АЭС с двумя реакторами ВВЭР-1200 суммарной мощностью 2400 МВт строится по российскому проекту «АЭС-2006» вблизи Островца Гродненской области. Первый энергоблок должен быть введен в эксплуатацию в 2021 году, второй - в I полугодии 2022г.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A158D" w:rsidRPr="0091737D" w:rsidRDefault="00BA158D" w:rsidP="00BA158D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>ЕАБР предоставил «</w:t>
      </w:r>
      <w:proofErr w:type="spellStart"/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>Минскэнерго</w:t>
      </w:r>
      <w:proofErr w:type="spellEnd"/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101,2 млн евро для строительства пиково-резервного </w:t>
      </w:r>
      <w:proofErr w:type="spellStart"/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>энергоисточника</w:t>
      </w:r>
      <w:proofErr w:type="spellEnd"/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</w:pPr>
      <w:r w:rsidRPr="0091737D">
        <w:t>Евразийский банк развития (ЕАБР) и РУП «</w:t>
      </w:r>
      <w:proofErr w:type="spellStart"/>
      <w:r w:rsidRPr="0091737D">
        <w:t>Минскэнерго</w:t>
      </w:r>
      <w:proofErr w:type="spellEnd"/>
      <w:r w:rsidRPr="0091737D">
        <w:t>» подписали договор на открытие долгосрочной кредитной линии в размере 101,2 млн евро.</w:t>
      </w:r>
    </w:p>
    <w:p w:rsidR="00BA158D" w:rsidRPr="0091737D" w:rsidRDefault="00BA158D" w:rsidP="00BA158D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Для финансирования проекта ЕАБР привлек целевой кредит у консорциума ведущих германских банков, KFW IPEX </w:t>
      </w:r>
      <w:proofErr w:type="spellStart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Bank</w:t>
      </w:r>
      <w:proofErr w:type="spellEnd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и </w:t>
      </w:r>
      <w:proofErr w:type="spellStart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Landesbank</w:t>
      </w:r>
      <w:proofErr w:type="spellEnd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Hessen</w:t>
      </w:r>
      <w:proofErr w:type="spellEnd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Thuringen</w:t>
      </w:r>
      <w:proofErr w:type="spellEnd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Girozentrale</w:t>
      </w:r>
      <w:proofErr w:type="spellEnd"/>
      <w:r w:rsidRPr="0091737D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. Кредит обеспечен страховкой шведского экспортно-кредитного агентства (EKN).</w:t>
      </w:r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</w:pPr>
      <w:r w:rsidRPr="0091737D">
        <w:t xml:space="preserve">Средства направят на финансирование поставки основного энергетического оборудования по контракту с </w:t>
      </w:r>
      <w:proofErr w:type="spellStart"/>
      <w:r w:rsidRPr="0091737D">
        <w:t>Siemens</w:t>
      </w:r>
      <w:proofErr w:type="spellEnd"/>
      <w:r w:rsidRPr="0091737D">
        <w:t xml:space="preserve"> Energy AB, которое необходимо для строительства пиково-резервного </w:t>
      </w:r>
      <w:proofErr w:type="spellStart"/>
      <w:r w:rsidRPr="0091737D">
        <w:t>энергоисточника</w:t>
      </w:r>
      <w:proofErr w:type="spellEnd"/>
      <w:r w:rsidRPr="0091737D">
        <w:t xml:space="preserve"> мощностью 300 МВт на ТЭЦ-5.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Республика Казахстан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В 2021 году в Казахстане введут 23 объекта ВИЭ на 370 млн. долл.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В Казахстане в текущем году введут в эксплуатацию 23 объекта возобновляемых источников энергии мощностью 391 МВт, сообщил министр энергетики Н.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Объем инвестиций в эти проекты составил $370 млн.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В этом году Казахстан продолжит проведение аукционных торгов на реализацию проектов ВИЭ, в том числе маневренных ГЭС, добавил глава ведомства.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В 2021 году доля ВИЭ в общей генерации электроэнергии по стране должна вырасти с 3% до 3,3%.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«В целом, в 2025 году ожидается, что доля ВИЭ в общем производстве электроэнергии достигнет 6%», – заключил 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Как сообщалось, в 2020 году объем электрической энергии, вырабатываемой ВИЭ, </w:t>
      </w:r>
      <w:hyperlink r:id="rId12" w:tgtFrame="_blank" w:tooltip="https://kursiv.kz/news/otraslevye-temy/2020-12/v-kazakhstane-v-22-raza-vyrosli-investicii-v-zelenuyu-energetiku (click to open in a new window)" w:history="1">
        <w:r w:rsidRPr="0091737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составил</w:t>
        </w:r>
      </w:hyperlink>
      <w:r w:rsidRPr="0091737D">
        <w:rPr>
          <w:rFonts w:ascii="Times New Roman" w:hAnsi="Times New Roman" w:cs="Times New Roman"/>
          <w:sz w:val="24"/>
          <w:szCs w:val="24"/>
        </w:rPr>
        <w:t xml:space="preserve"> 3,15 млрд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, или 3% от общей генерации в Казахстане. В прошлом году в стране запустили 25 проектов ВИЭ на 583 МВт: это 10 ВЭС – 203,45 МВт, 12 СЭС – 369,65 МВт, одна ГЭС – 4,5 МВт и две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БиоЭС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– 5,4 МВт.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Работы по усилению электрических сетей западного региона начнутся в 2021 году.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Строительство линий электропередачи мощностью 220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по направлению Тенгиз – 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Кульсары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– Атырау – 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Индер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– Уральск начнут в текущем году, сообщил министр энергетики Н.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Протяженность линии составит 900 км, отмечается в презентации министра.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Также для объединения западной зоны с единой электроэнергетической системой (ЕЭС) республики предстоит построить линии электропередачи напряжением 500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кВ.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Как следует из презентации, это три отрезка: Атырау –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(500 км, переменный ток), Атырау –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Жезказган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(1400 км, постоянный ток) и Бейнеу – Шымкент (1500 км, постоянный ток).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Для усиления Южной зоны ЕЭС планируется строительство линий напряжением 500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по направлению Южно-Казахстанская ГРЭС – Шымкент (600 км, переменный ток).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Таким образом, для бесперебойной работы ЕЭС Казахстана требуется строительство линий электропередачи протяженностью около 2000 км.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Ранее президент Казахстана К. Токаев поручил правительству и фонду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Самрук-Казына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» начать работу по усилению южной зоны электроэнергетической системы республики, а также разработать схему усиления транзитных связей между западными областями страны. В перспективе следует объединить их с единой электроэнергетической системой Казахстана.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Он также распорядился разработать энергетический баланс республики до 2035 года, принимая по внимание прогнозируемый дефицит электрической мощности к 2027 году.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В Казахстане построят маневренные мощности на 1500 МВт к 2025 году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К 2025 году в Казахстане планируют построить газовые и гидроэлектростанции общей мощностью 1477 МВт, сообщил министр энергетики Н.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Учитывая дефицит маневренных мощностей, министерством проработано четыре потенциальных проекта строительства генерирующих установок с маневренным режимом в южном регионе страны.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Как следует из презентации министра, в текущем году планируется провести аукционные торги на строительство четырех парогазовых установок (ПГУ) с вводом в 2025 году. Это ПГУ в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области на 220 МВт, Туркестанской – на 250 МВт,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– 400 МВт и Алматы – 450 МВт.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Таким образом, к 2025 году на юге Казахстана планируется ввести в эксплуатацию на 1320 МВт газовой генерации, уточнил глава ведомства.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Кроме этого, до конца 2025 года введут в эксплуатацию 13 гидроэлектростанций (ГЭС) общей установленной мощностью около 177,67 МВт.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Всего с 2020 по 2030 год, согласно гидроэнергетической отрасли Республики Казахстан, мощность всех ГЭС в стране увеличится с 2684 МВт до 6038 МВт, отмечается в материалах Минэнерго к заседанию правительства.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Дефицит электроэнергии наступит в ближайшие пару лет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Несмотря на существующий профицит электроэнергии, Казахстан может в ближайшие два-три года столкнуться с нехваткой электрической энергии, сообщил председатель Агентства по защите и развитию конкуренции С.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Жумангарин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«На сегодняшний день ситуация по электроэнергии пока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профицитная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- 106 млрд кВт/ч мы производим, 105 потребляем. Но специалисты говорят, и ни для кого уже не секрет, что в ближайшие два-три года мы заходим в зону дефицита. Это значит, что у нас производства собственной электроэнергии будет не хватать», - заявил 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Жумангарин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, выступая на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Spaсe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по развитию конкуренции на рынке электрической энергии в пятницу.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Он отметил, что помимо строительства новых мощностей, важным подспорьем для покрытия дефицита будет Евразийский экономический союз.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Жумангарин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напомнил, что общий рынок энергоносителей ЕАЭС заработает в 2025 году.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«48% генерации в стране производят государственные компании, проблема государственного участия в энергетике является основной того, что на сегодняшний день мы не можем говорить, что рынок электроэнергетики в стране является полностью конкурентным», - отметил спикер. 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Кыргызская Республика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Кыргызстане снова появится Министерство энергетики и промышленности 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Кыргызстане вновь будет создано Министерство энергетики. Об этом сегодня в ходе заседания коалиции большинства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91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 кандидат на пост главы правительства У. </w:t>
      </w:r>
      <w:proofErr w:type="spellStart"/>
      <w:r w:rsidRPr="0091737D">
        <w:rPr>
          <w:rFonts w:ascii="Times New Roman" w:hAnsi="Times New Roman" w:cs="Times New Roman"/>
          <w:sz w:val="24"/>
          <w:szCs w:val="24"/>
          <w:shd w:val="clear" w:color="auto" w:fill="FFFFFF"/>
        </w:rPr>
        <w:t>Марипов</w:t>
      </w:r>
      <w:proofErr w:type="spellEnd"/>
      <w:r w:rsidRPr="00917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отметил, что сейчас в республике работают девять энергокомпаний, у каждой из которых большие расходы.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Марипов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уверен, что у этих компаний есть резерв до 2 млрд сомов, который освободится при эффективном управлении.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Марипов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добавил, что будет отдельно рассмотрен вопрос будущей работы Национального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энергохолдинга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объединяет энергокомпании с государственной долей участия.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Минэнерго сменило председателя «</w:t>
      </w:r>
      <w:proofErr w:type="spellStart"/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Нацэнергохолдинга</w:t>
      </w:r>
      <w:proofErr w:type="spellEnd"/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«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Нацэнергохолдинге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сменился председатель. Новым главой стал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Бакыт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Сыдыков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Министр энергетики и промышленности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Кубанычбек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Турдубаев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накануне, 9 февраля, представил его коллективу.</w:t>
      </w: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737D">
        <w:rPr>
          <w:rFonts w:ascii="Times New Roman" w:hAnsi="Times New Roman" w:cs="Times New Roman"/>
          <w:b/>
          <w:color w:val="auto"/>
          <w:sz w:val="24"/>
          <w:szCs w:val="24"/>
        </w:rPr>
        <w:t>В «Электрических станциях» назначили нового гендиректора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1737D">
        <w:rPr>
          <w:rStyle w:val="ac"/>
          <w:b w:val="0"/>
        </w:rPr>
        <w:t>Генеральным директором ОАО «Электрические станции»</w:t>
      </w:r>
      <w:r w:rsidRPr="0091737D">
        <w:rPr>
          <w:rStyle w:val="apple-converted-space"/>
          <w:rFonts w:eastAsiaTheme="majorEastAsia"/>
          <w:b/>
        </w:rPr>
        <w:t> </w:t>
      </w:r>
      <w:r w:rsidRPr="0091737D">
        <w:rPr>
          <w:rStyle w:val="ac"/>
          <w:b w:val="0"/>
        </w:rPr>
        <w:t>по решению совета директоров</w:t>
      </w:r>
      <w:r w:rsidRPr="0091737D">
        <w:rPr>
          <w:rStyle w:val="apple-converted-space"/>
          <w:rFonts w:eastAsiaTheme="majorEastAsia"/>
          <w:b/>
        </w:rPr>
        <w:t> </w:t>
      </w:r>
      <w:r w:rsidRPr="0091737D">
        <w:rPr>
          <w:rStyle w:val="ac"/>
          <w:b w:val="0"/>
        </w:rPr>
        <w:t>накануне, 18 февраля, стал</w:t>
      </w:r>
      <w:r w:rsidRPr="0091737D">
        <w:rPr>
          <w:rStyle w:val="apple-converted-space"/>
          <w:rFonts w:eastAsiaTheme="majorEastAsia"/>
          <w:b/>
        </w:rPr>
        <w:t> </w:t>
      </w:r>
      <w:proofErr w:type="spellStart"/>
      <w:r w:rsidRPr="0091737D">
        <w:rPr>
          <w:rStyle w:val="ac"/>
          <w:b w:val="0"/>
        </w:rPr>
        <w:t>Талайбек</w:t>
      </w:r>
      <w:proofErr w:type="spellEnd"/>
      <w:r w:rsidRPr="0091737D">
        <w:rPr>
          <w:rStyle w:val="apple-converted-space"/>
          <w:rFonts w:eastAsiaTheme="majorEastAsia"/>
          <w:b/>
        </w:rPr>
        <w:t> </w:t>
      </w:r>
      <w:proofErr w:type="spellStart"/>
      <w:r w:rsidRPr="0091737D">
        <w:rPr>
          <w:rStyle w:val="ac"/>
          <w:b w:val="0"/>
        </w:rPr>
        <w:t>Бектенов</w:t>
      </w:r>
      <w:proofErr w:type="spellEnd"/>
      <w:r w:rsidRPr="0091737D">
        <w:rPr>
          <w:rStyle w:val="ac"/>
          <w:b w:val="0"/>
        </w:rPr>
        <w:t xml:space="preserve">. 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сегодня нет резервов для генерации дополнительного объема энергии, - </w:t>
      </w:r>
      <w:proofErr w:type="spellStart"/>
      <w:r w:rsidRPr="009173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У.Марипов</w:t>
      </w:r>
      <w:proofErr w:type="spellEnd"/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настоящее время нет резервов, чтобы генерировать новые объемы энергии», - сказал 3 февраля кандидат в премьер-министры У.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Марипов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пленарном заседании парламента.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является препятствием для роста производства. Неэффективное управление, рост числа потребителей, коррупционные явления в этом секторе приводят к большим проблемам, сказал он.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«Сложно сказать, что прежние инвестиции были эффективными, поэтому нужны комплексные реформы. Вы сами знаете, в этой отрасли внешний долг на сегодня составляет 137 млрд сомов, в связи с тем, вырос курс доллара США, автоматически добавилось к общей сумме долга 20 млрд сомов», - сказал он.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Реформы включают в себя полное использование потенциала проектов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Нарынского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 ГЭС,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Кокомеренского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 ГЭС,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Сарыджазского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каскада ГЭС, малых ГЭС, альтернативной энергии, тарифов, рассказал он.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он рассказал, что вопросы сельского хозяйства и развития регионов играют важную роль, поэтому в рамках экономического районирования по каждому району будут разработаны программы.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Украина возобновила импорт электроэнергии из России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Украина возобновила импорт электроэнергии из России, мощность поставок в настоящее время составляет около 200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 украинские компании возобновили коммерческий импорт электроэнергии из Белоруссии, по состоянию на понедельник мощность поставок составляет 310-480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МВтч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«Зеленая» энергетика в России рискует потерять миллиарды инвестиций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1737D">
        <w:rPr>
          <w:spacing w:val="2"/>
        </w:rPr>
        <w:t>Сектор возобновляемой энергетики в РФ может потерять 150-180 миллиардов рублей инвестиций из-за сокращения объемов программы поддержки "зеленой" генерации после 2025 года.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1737D">
        <w:rPr>
          <w:spacing w:val="2"/>
        </w:rPr>
        <w:t>В России с 2014 по 2024 годы действует программа поддержки "зеленой" энергетики (ДПМ ВИЭ), в том числе строительства электростанций, которые выбираются на конкурсном отборе. Им гарантируется окупаемость инвестиций в течение 15 лет с базовой доходностью 12% годовых с корректировкой на доходность ОФЗ. Принято решение о продлении программы поддержки возобновляемых источников энергии (ВИЭ) до 2035 года, часть корректировок еще обсуждается, рассматривается возможность сокращения объемов программы после 2025 года.</w:t>
      </w:r>
    </w:p>
    <w:p w:rsidR="00BA158D" w:rsidRPr="0091737D" w:rsidRDefault="00BA158D" w:rsidP="00BA158D">
      <w:pPr>
        <w:pStyle w:val="2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</w:pPr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Россия обсудила с Таджикистаном перспективы </w:t>
      </w:r>
      <w:proofErr w:type="spellStart"/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>Сангтудинской</w:t>
      </w:r>
      <w:proofErr w:type="spellEnd"/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 xml:space="preserve"> ГЭС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1737D">
        <w:rPr>
          <w:spacing w:val="2"/>
        </w:rPr>
        <w:t xml:space="preserve">Министр энергетики РФ Н. </w:t>
      </w:r>
      <w:proofErr w:type="spellStart"/>
      <w:proofErr w:type="gramStart"/>
      <w:r w:rsidRPr="0091737D">
        <w:rPr>
          <w:spacing w:val="2"/>
        </w:rPr>
        <w:t>Шульгинов</w:t>
      </w:r>
      <w:proofErr w:type="spellEnd"/>
      <w:proofErr w:type="gramEnd"/>
      <w:r w:rsidRPr="0091737D">
        <w:rPr>
          <w:spacing w:val="2"/>
        </w:rPr>
        <w:t xml:space="preserve"> и министр энергетики и водных ресурсов Таджикистана Д. Джума на встрече обсудили функционирование </w:t>
      </w:r>
      <w:proofErr w:type="spellStart"/>
      <w:r w:rsidRPr="0091737D">
        <w:rPr>
          <w:spacing w:val="2"/>
        </w:rPr>
        <w:t>Сангтудинской</w:t>
      </w:r>
      <w:proofErr w:type="spellEnd"/>
      <w:r w:rsidRPr="0091737D">
        <w:rPr>
          <w:spacing w:val="2"/>
        </w:rPr>
        <w:t xml:space="preserve"> ГЭС-1 и возможности экспорта выработанной станцией электроэнергии.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proofErr w:type="spellStart"/>
      <w:r w:rsidRPr="0091737D">
        <w:rPr>
          <w:spacing w:val="2"/>
        </w:rPr>
        <w:t>Сангтудинская</w:t>
      </w:r>
      <w:proofErr w:type="spellEnd"/>
      <w:r w:rsidRPr="0091737D">
        <w:rPr>
          <w:spacing w:val="2"/>
        </w:rPr>
        <w:t xml:space="preserve"> ГЭС-1 построена в 2009 году при содействии ОАО "</w:t>
      </w:r>
      <w:proofErr w:type="spellStart"/>
      <w:r w:rsidRPr="0091737D">
        <w:rPr>
          <w:spacing w:val="2"/>
        </w:rPr>
        <w:t>Интер</w:t>
      </w:r>
      <w:proofErr w:type="spellEnd"/>
      <w:r w:rsidRPr="0091737D">
        <w:rPr>
          <w:spacing w:val="2"/>
        </w:rPr>
        <w:t xml:space="preserve"> РАО". Станция вносит существенный вклад в энергоснабжение таджикской экономики, обеспечивая до 12% выработки всей электроэнергии Таджикистана.</w:t>
      </w: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1737D">
        <w:rPr>
          <w:spacing w:val="2"/>
        </w:rPr>
        <w:t>Доля компаний РФ в уставном капитале ОАО "</w:t>
      </w:r>
      <w:proofErr w:type="spellStart"/>
      <w:r w:rsidRPr="0091737D">
        <w:rPr>
          <w:spacing w:val="2"/>
        </w:rPr>
        <w:t>Сангтудинская</w:t>
      </w:r>
      <w:proofErr w:type="spellEnd"/>
      <w:r w:rsidRPr="0091737D">
        <w:rPr>
          <w:spacing w:val="2"/>
        </w:rPr>
        <w:t xml:space="preserve"> ГЭС-1" составляет 75% минус 1 акция, доля Республики Таджикистан — 25% плюс 1 акция.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Минэнерго предлагает подтверждать происхождение электричества сертификатом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Для зачёта результатов реализации климатических проектов в российской энергетике предлагается ввести сертификаты происхождения электрической энергии, соответствующий законопроект Минэнерго направило в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кабмин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Об этом сообщил замдиректора департамента сводной </w:t>
      </w:r>
      <w:proofErr w:type="spellStart"/>
      <w:r w:rsidRPr="009173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госполитики</w:t>
      </w:r>
      <w:proofErr w:type="spellEnd"/>
      <w:r w:rsidRPr="0091737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ведомства А. Кулагин.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Чиновник пояснил, что для потребителя электричества такой сертификат будет свидетельством снижения углеродного следа при производстве конечной продукции. В ближайшие годы это станет важным конкурентным преимуществом на зарубежных рынках. Собственникам же генерирующих объектов, работающих на основе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низкоуглеродных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энергии, эти сертификаты станут дополнительным способом приобретения инвестиций. А в сумме такой подход обеспечит защиту интересов российских компаний на международных рынках.</w:t>
      </w: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Минэнерго представило законопроект по внедрению целевой модели управления спросом на электроэнергию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Минэнерго России разработало и опубликовало для общественного обсуждения </w:t>
      </w:r>
      <w:hyperlink r:id="rId13" w:anchor="npa=112234" w:tgtFrame="_blank" w:history="1">
        <w:r w:rsidRPr="009173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 федерального закона, который направлен на внедрение целевой модели управления спросом на электроэнергию</w:t>
        </w:r>
      </w:hyperlink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вводится новая разновидность услуг – услуги по управлению изменением потребления электрической энергии, а также даётся определение и закрепляется правовой статус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потреблением электроэнергии.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«Принятие разработанного федерального закона позволит сделать механизм управления спросом на электроэнергию неотъемлемой частью оптового рынка электроэнергии и мощности, что окажет положительное влияние на динамику цен», </w:t>
      </w:r>
      <w:proofErr w:type="gram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пояснили</w:t>
      </w:r>
      <w:proofErr w:type="gram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Минэнерго.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является продолжением инициативы по внедрению практики управления спросом на электроэнергию в ЕЭС России. В рамках неё с января 2017 года запущен механизм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ценозависимого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для потребителей оптового рынка электроэнергии, а в 2019−2020 годах проводился пилотный проект по вовлечению в управление спросом потребителей розничного рынка с помощью создания специализированных организаций – 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спросом. Пилотный проект показал работоспособность заложенных принципов и вызвал большой интерес как среди компаний электроэнергетики, так и среди потребителей электроэнергии.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время проведения пилотного проекта в нём приняли участие70 компаний-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, представляющих более 300 объектов управления, каждый из которых, в свою очередь, состоит из 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одного или нескольких потребителей.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полтора года мощность ресурсов управления спросом розничных потребителей выросла с 50 МВт до 600 МВт, а количество регионов присутствия проекта превысило 50.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2021 году запланировано продление пилотного проекта после принятия соответствующего решения Правительством России.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5"/>
          <w:sz w:val="24"/>
          <w:szCs w:val="24"/>
        </w:rPr>
      </w:pPr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>«</w:t>
      </w:r>
      <w:proofErr w:type="spellStart"/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>Россети</w:t>
      </w:r>
      <w:proofErr w:type="spellEnd"/>
      <w:r w:rsidRPr="0091737D">
        <w:rPr>
          <w:rFonts w:ascii="Times New Roman" w:hAnsi="Times New Roman" w:cs="Times New Roman"/>
          <w:b/>
          <w:color w:val="auto"/>
          <w:spacing w:val="5"/>
          <w:sz w:val="24"/>
          <w:szCs w:val="24"/>
        </w:rPr>
        <w:t>» назначили нового гендиректора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«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Россетей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 заседании 12 февраля избрал генеральным директором компании Андрей Рюмина, занимавшего до этого пост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«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Россетей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158D" w:rsidRPr="0091737D" w:rsidRDefault="00BA158D" w:rsidP="00BA158D">
      <w:pPr>
        <w:pStyle w:val="1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5"/>
          <w:sz w:val="24"/>
          <w:szCs w:val="24"/>
        </w:rPr>
      </w:pPr>
    </w:p>
    <w:p w:rsidR="00BA158D" w:rsidRPr="0091737D" w:rsidRDefault="00BA158D" w:rsidP="00BA158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1737D">
        <w:rPr>
          <w:b/>
          <w14:numSpacing w14:val="proportional"/>
        </w:rPr>
        <w:t>Республика Таджикистан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Таджикистан заключил соглашения с Афганистаном и Узбекистаном о поставках электроэнергии на текущий год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Госэнергохолдинг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«Барки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заключил соглашения с Афганистаном и Узбекистаном об экспорте электроэнергии на текущий год.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сообщил журналистам первый заместитель главы «Барки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точик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Асозода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соглашению в Афганистан до апреля ежесуточно поставляется 50 МВт электроэнергии (примерно 1,2 млн.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словам, также соглашение о поставках таджикской электроэнергии подписано с Узбекистаном. В эту страну в летний период Таджикистан обязуется экспортировать 1,5 млрд.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Афганистан экспорт электроэнергии осуществляется по двум ЛЭП – 110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220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электроэнергии, поставляемой по ЛЭП 110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3 цента за киловатт, а по 220 </w:t>
      </w:r>
      <w:proofErr w:type="spellStart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91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4,5 цента с ежегодным ростом на 3%.</w:t>
      </w:r>
    </w:p>
    <w:p w:rsidR="00BA158D" w:rsidRPr="0091737D" w:rsidRDefault="00BA158D" w:rsidP="00BA158D">
      <w:pPr>
        <w:shd w:val="clear" w:color="auto" w:fill="FFFFFF"/>
        <w:spacing w:after="0" w:line="240" w:lineRule="auto"/>
        <w:ind w:right="6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58D" w:rsidRPr="0091737D" w:rsidRDefault="00BA158D" w:rsidP="00BA1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7D">
        <w:rPr>
          <w:rFonts w:ascii="Times New Roman" w:hAnsi="Times New Roman" w:cs="Times New Roman"/>
          <w:b/>
          <w:sz w:val="24"/>
          <w:szCs w:val="24"/>
        </w:rPr>
        <w:t>Минэнерго назвало сроки сдачи объектов по проекту CASA-1000 в Таджикистане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Первый заместитель министра энергетики и водных ресурсов Таджикистана Д.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Шоимзода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заявил на пресс-конференции в Душанбе, что строительство таджикского участка CASA-1000 будет завершено в 2021 году.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Он также отметил, что, согласно технико-экономическому обоснованию проекта CASA-1000, для его реализации необходимо 1,86 миллиарда долларов, из которых 314 миллионов долларов выделит Таджикистан.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На данном этапе необходимые средства выделены со стороны Всемирного банка, Исламского банка развития, Европейского инвестиционного банка и Европейского банка реконструкции и развития.</w:t>
      </w:r>
    </w:p>
    <w:p w:rsidR="00BA158D" w:rsidRPr="0091737D" w:rsidRDefault="00BA158D" w:rsidP="00BA158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Шоимзода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 добавил, что на сегодняшний день в таджикской части CASA-1000 освоено около 111 миллионов долларов, и отметил, что после проверки выполненных работ произойдет финансирование в размере еще 180 миллионов долларов.</w:t>
      </w:r>
    </w:p>
    <w:p w:rsidR="00BA158D" w:rsidRPr="0091737D" w:rsidRDefault="00BA158D" w:rsidP="00BA158D">
      <w:pPr>
        <w:pStyle w:val="ad"/>
        <w:spacing w:before="0" w:beforeAutospacing="0" w:after="0" w:afterAutospacing="0"/>
        <w:ind w:firstLine="709"/>
        <w:jc w:val="both"/>
        <w:textAlignment w:val="baseline"/>
      </w:pPr>
      <w:r w:rsidRPr="0091737D">
        <w:t>В целом проект CASA-1000 предусматривает строительство следующих объектов:</w:t>
      </w:r>
    </w:p>
    <w:p w:rsidR="00BA158D" w:rsidRPr="0091737D" w:rsidRDefault="00BA158D" w:rsidP="00BA158D">
      <w:pPr>
        <w:numPr>
          <w:ilvl w:val="0"/>
          <w:numId w:val="7"/>
        </w:numPr>
        <w:spacing w:after="0" w:line="240" w:lineRule="auto"/>
        <w:ind w:left="0" w:right="45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ЛЭП 500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Датка-Сугд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500» протяженностью 477 километров, из которых 28 км линии приходится на территорию Таджикистана и расширение подстанции «Сугд-500»;</w:t>
      </w:r>
    </w:p>
    <w:p w:rsidR="00BA158D" w:rsidRPr="0091737D" w:rsidRDefault="00BA158D" w:rsidP="00BA158D">
      <w:pPr>
        <w:numPr>
          <w:ilvl w:val="0"/>
          <w:numId w:val="7"/>
        </w:numPr>
        <w:spacing w:after="0" w:line="240" w:lineRule="auto"/>
        <w:ind w:left="0" w:right="45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ЛЭП 500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«Регар-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Сангтуда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» протяженностью 115 километров и расширение подстанции «Регар-500»;</w:t>
      </w:r>
    </w:p>
    <w:p w:rsidR="00BA158D" w:rsidRPr="0091737D" w:rsidRDefault="00BA158D" w:rsidP="00BA158D">
      <w:pPr>
        <w:numPr>
          <w:ilvl w:val="0"/>
          <w:numId w:val="7"/>
        </w:numPr>
        <w:spacing w:after="0" w:line="240" w:lineRule="auto"/>
        <w:ind w:left="0" w:right="45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 xml:space="preserve">конвертерная подстанция в 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Сангтуде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 xml:space="preserve"> мощностью 1300 МВт для преобразования переменного тока в постоянный и строительство подстанции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Новшара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» в Пакистане мощностью 1300 МВт;</w:t>
      </w:r>
    </w:p>
    <w:p w:rsidR="00BA158D" w:rsidRPr="0091737D" w:rsidRDefault="00BA158D" w:rsidP="00BA158D">
      <w:pPr>
        <w:numPr>
          <w:ilvl w:val="0"/>
          <w:numId w:val="7"/>
        </w:numPr>
        <w:spacing w:after="0" w:line="240" w:lineRule="auto"/>
        <w:ind w:left="0" w:right="45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1737D">
        <w:rPr>
          <w:rFonts w:ascii="Times New Roman" w:hAnsi="Times New Roman" w:cs="Times New Roman"/>
          <w:sz w:val="24"/>
          <w:szCs w:val="24"/>
        </w:rPr>
        <w:t>строительство линии электропередачи «</w:t>
      </w:r>
      <w:proofErr w:type="spellStart"/>
      <w:r w:rsidRPr="0091737D">
        <w:rPr>
          <w:rFonts w:ascii="Times New Roman" w:hAnsi="Times New Roman" w:cs="Times New Roman"/>
          <w:sz w:val="24"/>
          <w:szCs w:val="24"/>
        </w:rPr>
        <w:t>Сангтуда-Новшара</w:t>
      </w:r>
      <w:proofErr w:type="spellEnd"/>
      <w:r w:rsidRPr="0091737D">
        <w:rPr>
          <w:rFonts w:ascii="Times New Roman" w:hAnsi="Times New Roman" w:cs="Times New Roman"/>
          <w:sz w:val="24"/>
          <w:szCs w:val="24"/>
        </w:rPr>
        <w:t>» в Пакистане протяженностью более 750 километров, из которых 117 километров приходится на территорию Таджикистана.</w:t>
      </w:r>
    </w:p>
    <w:p w:rsidR="001338ED" w:rsidRPr="0021630F" w:rsidRDefault="001338ED" w:rsidP="00BA158D">
      <w:pPr>
        <w:pStyle w:val="ad"/>
        <w:shd w:val="clear" w:color="auto" w:fill="FFFFFF"/>
        <w:spacing w:before="0" w:beforeAutospacing="0" w:after="0" w:afterAutospacing="0"/>
        <w:jc w:val="both"/>
      </w:pPr>
    </w:p>
    <w:sectPr w:rsidR="001338ED" w:rsidRPr="0021630F" w:rsidSect="00EC42B5">
      <w:headerReference w:type="default" r:id="rId14"/>
      <w:footerReference w:type="default" r:id="rId15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59" w:rsidRDefault="00A10559" w:rsidP="00AD7754">
      <w:pPr>
        <w:spacing w:after="0" w:line="240" w:lineRule="auto"/>
      </w:pPr>
      <w:r>
        <w:separator/>
      </w:r>
    </w:p>
  </w:endnote>
  <w:endnote w:type="continuationSeparator" w:id="0">
    <w:p w:rsidR="00A10559" w:rsidRDefault="00A10559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A10559" w:rsidRDefault="00A105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0559" w:rsidRDefault="00A105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59" w:rsidRDefault="00A10559" w:rsidP="00AD7754">
      <w:pPr>
        <w:spacing w:after="0" w:line="240" w:lineRule="auto"/>
      </w:pPr>
      <w:r>
        <w:separator/>
      </w:r>
    </w:p>
  </w:footnote>
  <w:footnote w:type="continuationSeparator" w:id="0">
    <w:p w:rsidR="00A10559" w:rsidRDefault="00A10559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A10559" w:rsidTr="009437D6">
      <w:tc>
        <w:tcPr>
          <w:tcW w:w="2235" w:type="dxa"/>
        </w:tcPr>
        <w:p w:rsidR="00A10559" w:rsidRDefault="00A10559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3" name="Рисунок 3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A10559" w:rsidRDefault="00A1055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A10559" w:rsidRDefault="00A10559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A10559" w:rsidRPr="009437D6" w:rsidRDefault="00A10559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C18"/>
    <w:multiLevelType w:val="hybridMultilevel"/>
    <w:tmpl w:val="4E9E8E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DC7EB6"/>
    <w:multiLevelType w:val="hybridMultilevel"/>
    <w:tmpl w:val="C0B6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8F0F66"/>
    <w:multiLevelType w:val="hybridMultilevel"/>
    <w:tmpl w:val="01E4E7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A239B2"/>
    <w:multiLevelType w:val="multilevel"/>
    <w:tmpl w:val="60B8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12BB"/>
    <w:rsid w:val="00011542"/>
    <w:rsid w:val="000131F1"/>
    <w:rsid w:val="000134A2"/>
    <w:rsid w:val="00014143"/>
    <w:rsid w:val="00021D88"/>
    <w:rsid w:val="00023FFD"/>
    <w:rsid w:val="00025494"/>
    <w:rsid w:val="000312EB"/>
    <w:rsid w:val="000340CD"/>
    <w:rsid w:val="00034147"/>
    <w:rsid w:val="0003643D"/>
    <w:rsid w:val="00042141"/>
    <w:rsid w:val="0004437A"/>
    <w:rsid w:val="00051FFA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775AF"/>
    <w:rsid w:val="0008404C"/>
    <w:rsid w:val="00090E98"/>
    <w:rsid w:val="000A1C55"/>
    <w:rsid w:val="000A1F7A"/>
    <w:rsid w:val="000A2B7B"/>
    <w:rsid w:val="000A3B02"/>
    <w:rsid w:val="000A5314"/>
    <w:rsid w:val="000B0233"/>
    <w:rsid w:val="000B7AEB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750"/>
    <w:rsid w:val="000F6A36"/>
    <w:rsid w:val="000F6D27"/>
    <w:rsid w:val="000F7637"/>
    <w:rsid w:val="00101A0F"/>
    <w:rsid w:val="00112428"/>
    <w:rsid w:val="0011642D"/>
    <w:rsid w:val="00117137"/>
    <w:rsid w:val="00120BDE"/>
    <w:rsid w:val="001210A8"/>
    <w:rsid w:val="0012176C"/>
    <w:rsid w:val="0012324F"/>
    <w:rsid w:val="001247D6"/>
    <w:rsid w:val="001248FB"/>
    <w:rsid w:val="00125238"/>
    <w:rsid w:val="00127A62"/>
    <w:rsid w:val="001338ED"/>
    <w:rsid w:val="001447DB"/>
    <w:rsid w:val="00144EB2"/>
    <w:rsid w:val="00146C10"/>
    <w:rsid w:val="00147887"/>
    <w:rsid w:val="00150085"/>
    <w:rsid w:val="00156A4A"/>
    <w:rsid w:val="001620AB"/>
    <w:rsid w:val="001621B0"/>
    <w:rsid w:val="0016541F"/>
    <w:rsid w:val="001667B9"/>
    <w:rsid w:val="00167CFE"/>
    <w:rsid w:val="0017220E"/>
    <w:rsid w:val="00176FB5"/>
    <w:rsid w:val="001803A7"/>
    <w:rsid w:val="001807DB"/>
    <w:rsid w:val="00183A10"/>
    <w:rsid w:val="001841F0"/>
    <w:rsid w:val="00184E53"/>
    <w:rsid w:val="00186C38"/>
    <w:rsid w:val="00190C91"/>
    <w:rsid w:val="00191D55"/>
    <w:rsid w:val="001963D6"/>
    <w:rsid w:val="001976AD"/>
    <w:rsid w:val="001A0120"/>
    <w:rsid w:val="001A2030"/>
    <w:rsid w:val="001A4A89"/>
    <w:rsid w:val="001A4D0E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7B"/>
    <w:rsid w:val="001E69C3"/>
    <w:rsid w:val="001F20CE"/>
    <w:rsid w:val="001F2459"/>
    <w:rsid w:val="001F404F"/>
    <w:rsid w:val="001F6F4F"/>
    <w:rsid w:val="00210D30"/>
    <w:rsid w:val="00213A8D"/>
    <w:rsid w:val="0021630F"/>
    <w:rsid w:val="00217D54"/>
    <w:rsid w:val="00223C5D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43C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95877"/>
    <w:rsid w:val="002A37CB"/>
    <w:rsid w:val="002A3F39"/>
    <w:rsid w:val="002B2269"/>
    <w:rsid w:val="002C14BF"/>
    <w:rsid w:val="002C4506"/>
    <w:rsid w:val="002C5519"/>
    <w:rsid w:val="002C78E7"/>
    <w:rsid w:val="002D2E71"/>
    <w:rsid w:val="002D4807"/>
    <w:rsid w:val="002D6BEB"/>
    <w:rsid w:val="002E17D6"/>
    <w:rsid w:val="002E3ABD"/>
    <w:rsid w:val="002E6CD9"/>
    <w:rsid w:val="002F0073"/>
    <w:rsid w:val="002F18C0"/>
    <w:rsid w:val="002F20CC"/>
    <w:rsid w:val="002F29CC"/>
    <w:rsid w:val="003021BF"/>
    <w:rsid w:val="00302337"/>
    <w:rsid w:val="00302DA3"/>
    <w:rsid w:val="00303E26"/>
    <w:rsid w:val="00306A9D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09A4"/>
    <w:rsid w:val="003417C6"/>
    <w:rsid w:val="00343B5A"/>
    <w:rsid w:val="00344536"/>
    <w:rsid w:val="00346CFD"/>
    <w:rsid w:val="003507C0"/>
    <w:rsid w:val="00350BC9"/>
    <w:rsid w:val="003521D1"/>
    <w:rsid w:val="003527BF"/>
    <w:rsid w:val="0035461D"/>
    <w:rsid w:val="003570CA"/>
    <w:rsid w:val="003625A7"/>
    <w:rsid w:val="0036365D"/>
    <w:rsid w:val="00363B4B"/>
    <w:rsid w:val="0036607D"/>
    <w:rsid w:val="003663EF"/>
    <w:rsid w:val="0037340B"/>
    <w:rsid w:val="00376A05"/>
    <w:rsid w:val="00377FA9"/>
    <w:rsid w:val="00377FE7"/>
    <w:rsid w:val="003801ED"/>
    <w:rsid w:val="00387115"/>
    <w:rsid w:val="0039177D"/>
    <w:rsid w:val="00395E64"/>
    <w:rsid w:val="003A0A61"/>
    <w:rsid w:val="003A40B7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3F62C2"/>
    <w:rsid w:val="004030E3"/>
    <w:rsid w:val="0040538E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3FCA"/>
    <w:rsid w:val="004449CF"/>
    <w:rsid w:val="00444D23"/>
    <w:rsid w:val="00445130"/>
    <w:rsid w:val="00452FF3"/>
    <w:rsid w:val="00454043"/>
    <w:rsid w:val="004550F2"/>
    <w:rsid w:val="00457F45"/>
    <w:rsid w:val="00461EC4"/>
    <w:rsid w:val="00462247"/>
    <w:rsid w:val="00465C07"/>
    <w:rsid w:val="00470FD3"/>
    <w:rsid w:val="0047172D"/>
    <w:rsid w:val="00476D7B"/>
    <w:rsid w:val="00485E7B"/>
    <w:rsid w:val="00493051"/>
    <w:rsid w:val="00495B86"/>
    <w:rsid w:val="00495FA2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35DC"/>
    <w:rsid w:val="004D543B"/>
    <w:rsid w:val="004D745C"/>
    <w:rsid w:val="004E7604"/>
    <w:rsid w:val="004F55A3"/>
    <w:rsid w:val="00503D99"/>
    <w:rsid w:val="00503EEF"/>
    <w:rsid w:val="005070DF"/>
    <w:rsid w:val="00512A3A"/>
    <w:rsid w:val="00512F59"/>
    <w:rsid w:val="00513436"/>
    <w:rsid w:val="00520A3C"/>
    <w:rsid w:val="00523770"/>
    <w:rsid w:val="005246FD"/>
    <w:rsid w:val="00524E43"/>
    <w:rsid w:val="0052602D"/>
    <w:rsid w:val="00526154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85D45"/>
    <w:rsid w:val="00586AF8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1A16"/>
    <w:rsid w:val="005D3780"/>
    <w:rsid w:val="005D3AAA"/>
    <w:rsid w:val="005E30D5"/>
    <w:rsid w:val="005E65ED"/>
    <w:rsid w:val="005E794F"/>
    <w:rsid w:val="005F04DD"/>
    <w:rsid w:val="005F127E"/>
    <w:rsid w:val="005F2719"/>
    <w:rsid w:val="005F6A67"/>
    <w:rsid w:val="00600B80"/>
    <w:rsid w:val="0060528E"/>
    <w:rsid w:val="00615B56"/>
    <w:rsid w:val="00620733"/>
    <w:rsid w:val="00623E43"/>
    <w:rsid w:val="00633669"/>
    <w:rsid w:val="006338AC"/>
    <w:rsid w:val="00634EF4"/>
    <w:rsid w:val="006423D3"/>
    <w:rsid w:val="00642DF4"/>
    <w:rsid w:val="006432D5"/>
    <w:rsid w:val="00647A43"/>
    <w:rsid w:val="00647D9C"/>
    <w:rsid w:val="00650C3E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73496"/>
    <w:rsid w:val="006808D0"/>
    <w:rsid w:val="00681D7C"/>
    <w:rsid w:val="00682876"/>
    <w:rsid w:val="0068431E"/>
    <w:rsid w:val="00684AE4"/>
    <w:rsid w:val="00684BAE"/>
    <w:rsid w:val="0068656F"/>
    <w:rsid w:val="00687FC9"/>
    <w:rsid w:val="00691F19"/>
    <w:rsid w:val="006A0785"/>
    <w:rsid w:val="006A2723"/>
    <w:rsid w:val="006A3A88"/>
    <w:rsid w:val="006A4A69"/>
    <w:rsid w:val="006A740E"/>
    <w:rsid w:val="006B060A"/>
    <w:rsid w:val="006B0CEA"/>
    <w:rsid w:val="006B0E95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2753"/>
    <w:rsid w:val="006D732A"/>
    <w:rsid w:val="006E259C"/>
    <w:rsid w:val="006E404D"/>
    <w:rsid w:val="006E7478"/>
    <w:rsid w:val="006F09F2"/>
    <w:rsid w:val="006F33F9"/>
    <w:rsid w:val="00700CC0"/>
    <w:rsid w:val="007103C4"/>
    <w:rsid w:val="00710722"/>
    <w:rsid w:val="00711626"/>
    <w:rsid w:val="00715ADF"/>
    <w:rsid w:val="00715C29"/>
    <w:rsid w:val="00720B2F"/>
    <w:rsid w:val="00725408"/>
    <w:rsid w:val="00725744"/>
    <w:rsid w:val="00727DC1"/>
    <w:rsid w:val="007362E1"/>
    <w:rsid w:val="0074078A"/>
    <w:rsid w:val="007410EE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76138"/>
    <w:rsid w:val="00781B2F"/>
    <w:rsid w:val="00782C7F"/>
    <w:rsid w:val="00783C18"/>
    <w:rsid w:val="007856FF"/>
    <w:rsid w:val="00786D0D"/>
    <w:rsid w:val="00791EEE"/>
    <w:rsid w:val="00794098"/>
    <w:rsid w:val="007943E5"/>
    <w:rsid w:val="00794524"/>
    <w:rsid w:val="00794953"/>
    <w:rsid w:val="007A0FD1"/>
    <w:rsid w:val="007A552A"/>
    <w:rsid w:val="007A7BD1"/>
    <w:rsid w:val="007A7C5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04CE"/>
    <w:rsid w:val="007E21EB"/>
    <w:rsid w:val="007E2BB4"/>
    <w:rsid w:val="007E56D0"/>
    <w:rsid w:val="007F3F0C"/>
    <w:rsid w:val="007F6813"/>
    <w:rsid w:val="007F7EF3"/>
    <w:rsid w:val="008006A8"/>
    <w:rsid w:val="00800D87"/>
    <w:rsid w:val="0080409E"/>
    <w:rsid w:val="008078AD"/>
    <w:rsid w:val="00810136"/>
    <w:rsid w:val="00811FED"/>
    <w:rsid w:val="008166D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37772"/>
    <w:rsid w:val="00843727"/>
    <w:rsid w:val="008456D7"/>
    <w:rsid w:val="00851E30"/>
    <w:rsid w:val="00853D0D"/>
    <w:rsid w:val="00854D8B"/>
    <w:rsid w:val="00855837"/>
    <w:rsid w:val="00857454"/>
    <w:rsid w:val="0085783F"/>
    <w:rsid w:val="008647BB"/>
    <w:rsid w:val="00867C14"/>
    <w:rsid w:val="00874172"/>
    <w:rsid w:val="008754CA"/>
    <w:rsid w:val="00875F55"/>
    <w:rsid w:val="00880821"/>
    <w:rsid w:val="0088122E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C76C2"/>
    <w:rsid w:val="008D1FF5"/>
    <w:rsid w:val="008D1FF8"/>
    <w:rsid w:val="008E6C08"/>
    <w:rsid w:val="008F0834"/>
    <w:rsid w:val="008F33E4"/>
    <w:rsid w:val="008F5437"/>
    <w:rsid w:val="008F6ECD"/>
    <w:rsid w:val="008F728C"/>
    <w:rsid w:val="00900409"/>
    <w:rsid w:val="009025E2"/>
    <w:rsid w:val="009125D1"/>
    <w:rsid w:val="00914769"/>
    <w:rsid w:val="00916401"/>
    <w:rsid w:val="009165DF"/>
    <w:rsid w:val="009165E4"/>
    <w:rsid w:val="00932394"/>
    <w:rsid w:val="00934661"/>
    <w:rsid w:val="0093560C"/>
    <w:rsid w:val="00935771"/>
    <w:rsid w:val="00936844"/>
    <w:rsid w:val="009373CD"/>
    <w:rsid w:val="00937577"/>
    <w:rsid w:val="0093791F"/>
    <w:rsid w:val="00942AB9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67209"/>
    <w:rsid w:val="00970497"/>
    <w:rsid w:val="00970917"/>
    <w:rsid w:val="00973314"/>
    <w:rsid w:val="00973D74"/>
    <w:rsid w:val="0097499E"/>
    <w:rsid w:val="009752D1"/>
    <w:rsid w:val="00980BF5"/>
    <w:rsid w:val="00981D05"/>
    <w:rsid w:val="0098270F"/>
    <w:rsid w:val="00983160"/>
    <w:rsid w:val="00984FBA"/>
    <w:rsid w:val="00985408"/>
    <w:rsid w:val="00985E1F"/>
    <w:rsid w:val="0099334E"/>
    <w:rsid w:val="0099370B"/>
    <w:rsid w:val="0099385A"/>
    <w:rsid w:val="00995E50"/>
    <w:rsid w:val="00997037"/>
    <w:rsid w:val="00997E32"/>
    <w:rsid w:val="009A1698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9F04C2"/>
    <w:rsid w:val="00A001EE"/>
    <w:rsid w:val="00A0438E"/>
    <w:rsid w:val="00A067AB"/>
    <w:rsid w:val="00A10559"/>
    <w:rsid w:val="00A11161"/>
    <w:rsid w:val="00A11183"/>
    <w:rsid w:val="00A11C70"/>
    <w:rsid w:val="00A1434F"/>
    <w:rsid w:val="00A15D30"/>
    <w:rsid w:val="00A208FB"/>
    <w:rsid w:val="00A23008"/>
    <w:rsid w:val="00A23548"/>
    <w:rsid w:val="00A32670"/>
    <w:rsid w:val="00A3310F"/>
    <w:rsid w:val="00A350F6"/>
    <w:rsid w:val="00A358A8"/>
    <w:rsid w:val="00A35970"/>
    <w:rsid w:val="00A415B2"/>
    <w:rsid w:val="00A42AA0"/>
    <w:rsid w:val="00A43411"/>
    <w:rsid w:val="00A4551D"/>
    <w:rsid w:val="00A5325B"/>
    <w:rsid w:val="00A53678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1FE3"/>
    <w:rsid w:val="00A82A95"/>
    <w:rsid w:val="00A865C5"/>
    <w:rsid w:val="00A87EE1"/>
    <w:rsid w:val="00A90F00"/>
    <w:rsid w:val="00A97B5A"/>
    <w:rsid w:val="00AA3132"/>
    <w:rsid w:val="00AA36F9"/>
    <w:rsid w:val="00AA46C2"/>
    <w:rsid w:val="00AB1804"/>
    <w:rsid w:val="00AB4278"/>
    <w:rsid w:val="00AB44A6"/>
    <w:rsid w:val="00AB5E40"/>
    <w:rsid w:val="00AC3594"/>
    <w:rsid w:val="00AC6E74"/>
    <w:rsid w:val="00AD04EF"/>
    <w:rsid w:val="00AD1830"/>
    <w:rsid w:val="00AD24B7"/>
    <w:rsid w:val="00AD38CB"/>
    <w:rsid w:val="00AD7754"/>
    <w:rsid w:val="00AE458B"/>
    <w:rsid w:val="00AE6952"/>
    <w:rsid w:val="00AF0DCC"/>
    <w:rsid w:val="00AF4346"/>
    <w:rsid w:val="00B005A3"/>
    <w:rsid w:val="00B00FD2"/>
    <w:rsid w:val="00B01F44"/>
    <w:rsid w:val="00B022D7"/>
    <w:rsid w:val="00B025A4"/>
    <w:rsid w:val="00B0282E"/>
    <w:rsid w:val="00B1007E"/>
    <w:rsid w:val="00B10A19"/>
    <w:rsid w:val="00B116AC"/>
    <w:rsid w:val="00B1307B"/>
    <w:rsid w:val="00B16DC3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01C1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158D"/>
    <w:rsid w:val="00BA70DC"/>
    <w:rsid w:val="00BB7CE0"/>
    <w:rsid w:val="00BC04D4"/>
    <w:rsid w:val="00BC0615"/>
    <w:rsid w:val="00BC0CF7"/>
    <w:rsid w:val="00BC33E8"/>
    <w:rsid w:val="00BC6332"/>
    <w:rsid w:val="00BC79FE"/>
    <w:rsid w:val="00BC7CB8"/>
    <w:rsid w:val="00BD298D"/>
    <w:rsid w:val="00BD35CB"/>
    <w:rsid w:val="00BD4000"/>
    <w:rsid w:val="00BD4E75"/>
    <w:rsid w:val="00BD6322"/>
    <w:rsid w:val="00BD648D"/>
    <w:rsid w:val="00BD7175"/>
    <w:rsid w:val="00BD7F80"/>
    <w:rsid w:val="00BE0F2B"/>
    <w:rsid w:val="00BE1470"/>
    <w:rsid w:val="00BE2DD3"/>
    <w:rsid w:val="00BE7C0C"/>
    <w:rsid w:val="00BF2E27"/>
    <w:rsid w:val="00BF5438"/>
    <w:rsid w:val="00C077F8"/>
    <w:rsid w:val="00C07CA7"/>
    <w:rsid w:val="00C13942"/>
    <w:rsid w:val="00C13A87"/>
    <w:rsid w:val="00C14154"/>
    <w:rsid w:val="00C16EF2"/>
    <w:rsid w:val="00C213EF"/>
    <w:rsid w:val="00C23008"/>
    <w:rsid w:val="00C25C15"/>
    <w:rsid w:val="00C27884"/>
    <w:rsid w:val="00C32F0E"/>
    <w:rsid w:val="00C40ACC"/>
    <w:rsid w:val="00C44CE6"/>
    <w:rsid w:val="00C45458"/>
    <w:rsid w:val="00C45BFF"/>
    <w:rsid w:val="00C46649"/>
    <w:rsid w:val="00C509B9"/>
    <w:rsid w:val="00C530EA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0E44"/>
    <w:rsid w:val="00C71038"/>
    <w:rsid w:val="00C71BA7"/>
    <w:rsid w:val="00C724F9"/>
    <w:rsid w:val="00C73307"/>
    <w:rsid w:val="00C734AC"/>
    <w:rsid w:val="00C76938"/>
    <w:rsid w:val="00C82DFF"/>
    <w:rsid w:val="00C93D60"/>
    <w:rsid w:val="00C93E1E"/>
    <w:rsid w:val="00C94D54"/>
    <w:rsid w:val="00CA08DE"/>
    <w:rsid w:val="00CA4387"/>
    <w:rsid w:val="00CB2353"/>
    <w:rsid w:val="00CB44CF"/>
    <w:rsid w:val="00CB6062"/>
    <w:rsid w:val="00CB6A6A"/>
    <w:rsid w:val="00CC207E"/>
    <w:rsid w:val="00CC4053"/>
    <w:rsid w:val="00CC5613"/>
    <w:rsid w:val="00CD0299"/>
    <w:rsid w:val="00CD04F6"/>
    <w:rsid w:val="00CD0D01"/>
    <w:rsid w:val="00CD238C"/>
    <w:rsid w:val="00CD3C45"/>
    <w:rsid w:val="00CD400E"/>
    <w:rsid w:val="00CD5BA5"/>
    <w:rsid w:val="00CD69C7"/>
    <w:rsid w:val="00CE11BD"/>
    <w:rsid w:val="00CE4C8F"/>
    <w:rsid w:val="00CF19E4"/>
    <w:rsid w:val="00CF3B42"/>
    <w:rsid w:val="00CF4FDB"/>
    <w:rsid w:val="00CF62E6"/>
    <w:rsid w:val="00CF64DA"/>
    <w:rsid w:val="00CF6711"/>
    <w:rsid w:val="00D04771"/>
    <w:rsid w:val="00D06266"/>
    <w:rsid w:val="00D11B1F"/>
    <w:rsid w:val="00D11B94"/>
    <w:rsid w:val="00D13F60"/>
    <w:rsid w:val="00D14364"/>
    <w:rsid w:val="00D1483A"/>
    <w:rsid w:val="00D14E82"/>
    <w:rsid w:val="00D16459"/>
    <w:rsid w:val="00D309A9"/>
    <w:rsid w:val="00D36832"/>
    <w:rsid w:val="00D4090E"/>
    <w:rsid w:val="00D446CD"/>
    <w:rsid w:val="00D479CD"/>
    <w:rsid w:val="00D52355"/>
    <w:rsid w:val="00D53102"/>
    <w:rsid w:val="00D53D13"/>
    <w:rsid w:val="00D5557E"/>
    <w:rsid w:val="00D55CCA"/>
    <w:rsid w:val="00D5619F"/>
    <w:rsid w:val="00D57B07"/>
    <w:rsid w:val="00D618E9"/>
    <w:rsid w:val="00D64058"/>
    <w:rsid w:val="00D649E4"/>
    <w:rsid w:val="00D67109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A7F76"/>
    <w:rsid w:val="00DB7D8C"/>
    <w:rsid w:val="00DC00C7"/>
    <w:rsid w:val="00DC0575"/>
    <w:rsid w:val="00DC2838"/>
    <w:rsid w:val="00DC2F6A"/>
    <w:rsid w:val="00DC4A50"/>
    <w:rsid w:val="00DD1BA8"/>
    <w:rsid w:val="00DD331D"/>
    <w:rsid w:val="00DD3703"/>
    <w:rsid w:val="00DD3735"/>
    <w:rsid w:val="00DD3C0A"/>
    <w:rsid w:val="00DD538F"/>
    <w:rsid w:val="00DE38E8"/>
    <w:rsid w:val="00DE5FA7"/>
    <w:rsid w:val="00DE70E9"/>
    <w:rsid w:val="00DE7728"/>
    <w:rsid w:val="00DE7774"/>
    <w:rsid w:val="00DF2006"/>
    <w:rsid w:val="00DF2830"/>
    <w:rsid w:val="00DF515E"/>
    <w:rsid w:val="00E02D01"/>
    <w:rsid w:val="00E0381D"/>
    <w:rsid w:val="00E04313"/>
    <w:rsid w:val="00E05E5A"/>
    <w:rsid w:val="00E07EA5"/>
    <w:rsid w:val="00E103E9"/>
    <w:rsid w:val="00E137CD"/>
    <w:rsid w:val="00E22412"/>
    <w:rsid w:val="00E23745"/>
    <w:rsid w:val="00E238D5"/>
    <w:rsid w:val="00E23C2C"/>
    <w:rsid w:val="00E25210"/>
    <w:rsid w:val="00E320C2"/>
    <w:rsid w:val="00E33F98"/>
    <w:rsid w:val="00E3596D"/>
    <w:rsid w:val="00E35C6A"/>
    <w:rsid w:val="00E366C0"/>
    <w:rsid w:val="00E37727"/>
    <w:rsid w:val="00E46EE4"/>
    <w:rsid w:val="00E56657"/>
    <w:rsid w:val="00E60398"/>
    <w:rsid w:val="00E610EE"/>
    <w:rsid w:val="00E628B9"/>
    <w:rsid w:val="00E62D3B"/>
    <w:rsid w:val="00E62DD4"/>
    <w:rsid w:val="00E62F32"/>
    <w:rsid w:val="00E63E04"/>
    <w:rsid w:val="00E644FC"/>
    <w:rsid w:val="00E64F87"/>
    <w:rsid w:val="00E72279"/>
    <w:rsid w:val="00E77C53"/>
    <w:rsid w:val="00E80479"/>
    <w:rsid w:val="00E81659"/>
    <w:rsid w:val="00E833A0"/>
    <w:rsid w:val="00E8492A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0B1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EF2AD8"/>
    <w:rsid w:val="00EF4AE4"/>
    <w:rsid w:val="00EF5889"/>
    <w:rsid w:val="00EF6EFC"/>
    <w:rsid w:val="00F01E7E"/>
    <w:rsid w:val="00F02413"/>
    <w:rsid w:val="00F048E2"/>
    <w:rsid w:val="00F063C2"/>
    <w:rsid w:val="00F06A8A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2FD5"/>
    <w:rsid w:val="00F75F96"/>
    <w:rsid w:val="00F829E2"/>
    <w:rsid w:val="00F84946"/>
    <w:rsid w:val="00F8551E"/>
    <w:rsid w:val="00F90BF8"/>
    <w:rsid w:val="00F93F0A"/>
    <w:rsid w:val="00F94157"/>
    <w:rsid w:val="00F95F09"/>
    <w:rsid w:val="00F97FED"/>
    <w:rsid w:val="00FA1537"/>
    <w:rsid w:val="00FA5170"/>
    <w:rsid w:val="00FA5186"/>
    <w:rsid w:val="00FA5B61"/>
    <w:rsid w:val="00FA75F4"/>
    <w:rsid w:val="00FB0140"/>
    <w:rsid w:val="00FB2C11"/>
    <w:rsid w:val="00FB554A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0012BB"/>
    <w:pPr>
      <w:tabs>
        <w:tab w:val="left" w:pos="440"/>
        <w:tab w:val="right" w:leader="dot" w:pos="9054"/>
      </w:tabs>
      <w:spacing w:after="0" w:line="240" w:lineRule="auto"/>
      <w:ind w:left="425" w:hanging="425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3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  <w:style w:type="character" w:customStyle="1" w:styleId="day">
    <w:name w:val="day"/>
    <w:basedOn w:val="a0"/>
    <w:rsid w:val="001620AB"/>
  </w:style>
  <w:style w:type="character" w:customStyle="1" w:styleId="year">
    <w:name w:val="year"/>
    <w:basedOn w:val="a0"/>
    <w:rsid w:val="001620AB"/>
  </w:style>
  <w:style w:type="character" w:customStyle="1" w:styleId="extended-textshort">
    <w:name w:val="extended-text__short"/>
    <w:basedOn w:val="a0"/>
    <w:rsid w:val="0021630F"/>
  </w:style>
  <w:style w:type="paragraph" w:customStyle="1" w:styleId="currentboxtext">
    <w:name w:val="current_box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21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21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6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gulation.go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rsiv.kz/news/otraslevye-temy/2020-12/v-kazakhstane-v-22-raza-vyrosli-investicii-v-zelenuyu-energetik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1052;&#1054;&#1049;%20&#1044;&#1054;&#1050;&#1059;&#1052;&#1045;&#1053;&#1058;&#1067;_&#1048;&#1056;&#1048;&#1053;&#1040;\&#1086;&#1090;&#1095;&#1077;&#1090;%202020\&#1103;%20&#1084;&#1072;&#1088;&#1090;%202021\&#1101;&#1082;&#1089;&#1087;&#1088;&#1077;&#1089;&#1089;2.21\eks%20&#1086;&#1073;&#108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902441797663411E-2"/>
          <c:y val="2.8479242911537514E-2"/>
          <c:w val="0.96988727128533392"/>
          <c:h val="0.927174300395549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9.6349147692278529E-3"/>
                  <c:y val="-1.4786884033862009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-16,9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089295697243675E-3"/>
                  <c:y val="-1.4786884033862009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-7,0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0817154173418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-5,3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212257312601282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-3,0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7.213773368581650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215007215007222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-1,1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7.1942446043165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68054805423877E-3"/>
                  <c:y val="-3.755868544600943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21680548054238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7.2097937216331984E-3"/>
                  <c:y val="-1.4786884033862009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7.2185110435202824E-3"/>
                  <c:y val="-2.9573768067724077E-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7.216805480542387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9,7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7.209793721633198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4.7955503756976284E-2"/>
                  <c:y val="-5.63531107907286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5.5170035153547993E-2"/>
                  <c:y val="5.25673727403792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7.215007215007222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8950699754588507E-7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рус!$A$3:$A$19</c:f>
              <c:strCache>
                <c:ptCount val="17"/>
                <c:pt idx="6">
                  <c:v>Павлодарская</c:v>
                </c:pt>
                <c:pt idx="7">
                  <c:v>Жамбылская</c:v>
                </c:pt>
                <c:pt idx="8">
                  <c:v>Актюбинская</c:v>
                </c:pt>
                <c:pt idx="9">
                  <c:v>Костанайская</c:v>
                </c:pt>
                <c:pt idx="10">
                  <c:v>Восточно-Казахстанская</c:v>
                </c:pt>
                <c:pt idx="11">
                  <c:v>Акмолинская</c:v>
                </c:pt>
                <c:pt idx="12">
                  <c:v>Северо-Казахстанская</c:v>
                </c:pt>
                <c:pt idx="13">
                  <c:v>г. Шымкент</c:v>
                </c:pt>
                <c:pt idx="14">
                  <c:v>Алматинская</c:v>
                </c:pt>
                <c:pt idx="15">
                  <c:v>г. Алматы</c:v>
                </c:pt>
                <c:pt idx="16">
                  <c:v>г. Нур-Султан</c:v>
                </c:pt>
              </c:strCache>
            </c:strRef>
          </c:cat>
          <c:val>
            <c:numRef>
              <c:f>рус!$B$3:$B$19</c:f>
              <c:numCache>
                <c:formatCode>0.0</c:formatCode>
                <c:ptCount val="17"/>
                <c:pt idx="0">
                  <c:v>-16.900000000000006</c:v>
                </c:pt>
                <c:pt idx="1">
                  <c:v>-7</c:v>
                </c:pt>
                <c:pt idx="2">
                  <c:v>-5.2999999999999972</c:v>
                </c:pt>
                <c:pt idx="3">
                  <c:v>-3</c:v>
                </c:pt>
                <c:pt idx="4">
                  <c:v>-1.7000000000000031</c:v>
                </c:pt>
                <c:pt idx="5">
                  <c:v>-1.099999999999993</c:v>
                </c:pt>
                <c:pt idx="6">
                  <c:v>1.599999999999993</c:v>
                </c:pt>
                <c:pt idx="7">
                  <c:v>5.5999999999999943</c:v>
                </c:pt>
                <c:pt idx="8">
                  <c:v>5.9000000000000083</c:v>
                </c:pt>
                <c:pt idx="9">
                  <c:v>7.2000000000000028</c:v>
                </c:pt>
                <c:pt idx="10">
                  <c:v>9</c:v>
                </c:pt>
                <c:pt idx="11">
                  <c:v>9.7000000000000011</c:v>
                </c:pt>
                <c:pt idx="12">
                  <c:v>9.7000000000000011</c:v>
                </c:pt>
                <c:pt idx="13">
                  <c:v>12.100000000000001</c:v>
                </c:pt>
                <c:pt idx="14">
                  <c:v>14.3</c:v>
                </c:pt>
                <c:pt idx="15">
                  <c:v>17.400000000000006</c:v>
                </c:pt>
                <c:pt idx="16">
                  <c:v>19.299999999999986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3029592"/>
        <c:axId val="433029984"/>
      </c:barChart>
      <c:catAx>
        <c:axId val="4330295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02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029984"/>
        <c:scaling>
          <c:orientation val="minMax"/>
          <c:max val="21"/>
          <c:min val="-20"/>
        </c:scaling>
        <c:delete val="0"/>
        <c:axPos val="b"/>
        <c:numFmt formatCode="0.0" sourceLinked="1"/>
        <c:majorTickMark val="out"/>
        <c:minorTickMark val="none"/>
        <c:tickLblPos val="none"/>
        <c:crossAx val="433029592"/>
        <c:crosses val="autoZero"/>
        <c:crossBetween val="between"/>
        <c:majorUnit val="4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0.35475</cdr:x>
      <cdr:y>0.01075</cdr:y>
    </cdr:from>
    <cdr:to>
      <cdr:x>0.36875</cdr:x>
      <cdr:y>0.0605</cdr:y>
    </cdr:to>
    <cdr:sp macro="" textlink="">
      <cdr:nvSpPr>
        <cdr:cNvPr id="40972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762" y="37300"/>
          <a:ext cx="76790" cy="1712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0.50316</cdr:x>
      <cdr:y>0.68841</cdr:y>
    </cdr:from>
    <cdr:to>
      <cdr:x>0.66673</cdr:x>
      <cdr:y>0.73227</cdr:y>
    </cdr:to>
    <cdr:sp macro="" textlink="">
      <cdr:nvSpPr>
        <cdr:cNvPr id="9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55077" y="2327776"/>
          <a:ext cx="863134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/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+mn-lt"/>
              <a:cs typeface="Arial" pitchFamily="34" charset="0"/>
            </a:rPr>
            <a:t> Кызылординская</a:t>
          </a:r>
        </a:p>
      </cdr:txBody>
    </cdr:sp>
  </cdr:relSizeAnchor>
  <cdr:relSizeAnchor xmlns:cdr="http://schemas.openxmlformats.org/drawingml/2006/chartDrawing">
    <cdr:from>
      <cdr:x>0.50654</cdr:x>
      <cdr:y>0.85211</cdr:y>
    </cdr:from>
    <cdr:to>
      <cdr:x>0.70622</cdr:x>
      <cdr:y>0.89597</cdr:y>
    </cdr:to>
    <cdr:sp macro="" textlink="">
      <cdr:nvSpPr>
        <cdr:cNvPr id="13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72944" y="2881303"/>
          <a:ext cx="1053682" cy="1483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Мангистауская</a:t>
          </a:r>
        </a:p>
      </cdr:txBody>
    </cdr:sp>
  </cdr:relSizeAnchor>
  <cdr:relSizeAnchor xmlns:cdr="http://schemas.openxmlformats.org/drawingml/2006/chartDrawing">
    <cdr:from>
      <cdr:x>0.50429</cdr:x>
      <cdr:y>0.74296</cdr:y>
    </cdr:from>
    <cdr:to>
      <cdr:x>0.66786</cdr:x>
      <cdr:y>0.78682</cdr:y>
    </cdr:to>
    <cdr:sp macro="" textlink="">
      <cdr:nvSpPr>
        <cdr:cNvPr id="7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1076" y="2512212"/>
          <a:ext cx="863134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Туркестанская</a:t>
          </a:r>
        </a:p>
      </cdr:txBody>
    </cdr:sp>
  </cdr:relSizeAnchor>
  <cdr:relSizeAnchor xmlns:cdr="http://schemas.openxmlformats.org/drawingml/2006/chartDrawing">
    <cdr:from>
      <cdr:x>0.5088</cdr:x>
      <cdr:y>0.90493</cdr:y>
    </cdr:from>
    <cdr:to>
      <cdr:x>0.67237</cdr:x>
      <cdr:y>0.94879</cdr:y>
    </cdr:to>
    <cdr:sp macro="" textlink="">
      <cdr:nvSpPr>
        <cdr:cNvPr id="8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84844" y="3059923"/>
          <a:ext cx="863134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Атырауская</a:t>
          </a:r>
        </a:p>
      </cdr:txBody>
    </cdr:sp>
  </cdr:relSizeAnchor>
  <cdr:relSizeAnchor xmlns:cdr="http://schemas.openxmlformats.org/drawingml/2006/chartDrawing">
    <cdr:from>
      <cdr:x>0.50587</cdr:x>
      <cdr:y>0.62958</cdr:y>
    </cdr:from>
    <cdr:to>
      <cdr:x>0.70555</cdr:x>
      <cdr:y>0.67344</cdr:y>
    </cdr:to>
    <cdr:sp macro="" textlink="">
      <cdr:nvSpPr>
        <cdr:cNvPr id="10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69411" y="2128831"/>
          <a:ext cx="1053681" cy="1483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Карагандинская</a:t>
          </a:r>
        </a:p>
      </cdr:txBody>
    </cdr:sp>
  </cdr:relSizeAnchor>
  <cdr:relSizeAnchor xmlns:cdr="http://schemas.openxmlformats.org/drawingml/2006/chartDrawing">
    <cdr:from>
      <cdr:x>0.50203</cdr:x>
      <cdr:y>0.79401</cdr:y>
    </cdr:from>
    <cdr:to>
      <cdr:x>0.72202</cdr:x>
      <cdr:y>0.87491</cdr:y>
    </cdr:to>
    <cdr:sp macro="" textlink="">
      <cdr:nvSpPr>
        <cdr:cNvPr id="11" name="Text Box 2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49158" y="2684862"/>
          <a:ext cx="1160854" cy="2735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algn="ctr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square" lIns="18288" tIns="22860" rIns="0" bIns="0" anchor="t" upright="1">
          <a:no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l" rtl="1">
            <a:defRPr sz="1000"/>
          </a:pPr>
          <a:r>
            <a:rPr lang="ru-RU" sz="800" b="0" i="0" strike="noStrike">
              <a:solidFill>
                <a:srgbClr val="000000"/>
              </a:solidFill>
              <a:latin typeface="Calibri"/>
              <a:cs typeface="Arial" pitchFamily="34" charset="0"/>
            </a:rPr>
            <a:t> Западно-Казахстанская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824D-AE34-42E9-B920-68B49A63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19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206</cp:revision>
  <cp:lastPrinted>2018-09-04T08:39:00Z</cp:lastPrinted>
  <dcterms:created xsi:type="dcterms:W3CDTF">2018-09-04T11:04:00Z</dcterms:created>
  <dcterms:modified xsi:type="dcterms:W3CDTF">2021-03-30T11:44:00Z</dcterms:modified>
</cp:coreProperties>
</file>