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583E36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7F6813">
        <w:rPr>
          <w:rFonts w:ascii="Times New Roman" w:hAnsi="Times New Roman" w:cs="Times New Roman"/>
          <w:b/>
          <w:sz w:val="28"/>
        </w:rPr>
        <w:t xml:space="preserve">И УГЛЯ </w:t>
      </w:r>
      <w:r w:rsidRPr="007F6813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7F6813" w:rsidRDefault="00BA158D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737D">
        <w:rPr>
          <w:rFonts w:ascii="Times New Roman" w:hAnsi="Times New Roman" w:cs="Times New Roman"/>
          <w:b/>
          <w:sz w:val="28"/>
        </w:rPr>
        <w:t>ЯНВАРЬ-</w:t>
      </w:r>
      <w:r w:rsidR="002850D5" w:rsidRPr="00C67537">
        <w:rPr>
          <w:rFonts w:ascii="Times New Roman" w:hAnsi="Times New Roman" w:cs="Times New Roman"/>
          <w:b/>
          <w:sz w:val="28"/>
        </w:rPr>
        <w:t>МАРТ</w:t>
      </w:r>
      <w:r w:rsidR="00E81659" w:rsidRPr="007F6813">
        <w:rPr>
          <w:rFonts w:ascii="Times New Roman" w:hAnsi="Times New Roman" w:cs="Times New Roman"/>
          <w:b/>
          <w:sz w:val="28"/>
        </w:rPr>
        <w:t xml:space="preserve"> </w:t>
      </w:r>
      <w:r w:rsidR="00D5619F">
        <w:rPr>
          <w:rFonts w:ascii="Times New Roman" w:hAnsi="Times New Roman" w:cs="Times New Roman"/>
          <w:b/>
          <w:sz w:val="28"/>
        </w:rPr>
        <w:t>2021</w:t>
      </w:r>
      <w:r w:rsidR="007943E5" w:rsidRPr="007F6813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7F6813" w:rsidRDefault="00984FBA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7F6813" w:rsidRDefault="002850D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F02413" w:rsidRPr="007F6813">
        <w:rPr>
          <w:rFonts w:ascii="Times New Roman" w:hAnsi="Times New Roman" w:cs="Times New Roman"/>
          <w:b/>
          <w:sz w:val="28"/>
        </w:rPr>
        <w:t xml:space="preserve">, </w:t>
      </w:r>
      <w:r w:rsidR="00D5619F">
        <w:rPr>
          <w:rFonts w:ascii="Times New Roman" w:hAnsi="Times New Roman" w:cs="Times New Roman"/>
          <w:b/>
          <w:sz w:val="28"/>
        </w:rPr>
        <w:t>2021</w:t>
      </w:r>
      <w:r w:rsidR="00512A3A" w:rsidRPr="007F6813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7F6813" w:rsidRDefault="00545712" w:rsidP="00BF417E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7F681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348F4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7F6813">
            <w:fldChar w:fldCharType="begin"/>
          </w:r>
          <w:r w:rsidR="00545712" w:rsidRPr="007F6813">
            <w:instrText xml:space="preserve"> TOC \o "1-3" \h \z \u </w:instrText>
          </w:r>
          <w:r w:rsidRPr="007F6813">
            <w:fldChar w:fldCharType="separate"/>
          </w:r>
          <w:hyperlink w:anchor="_Toc70507480" w:history="1">
            <w:r w:rsidR="006348F4" w:rsidRPr="00175408">
              <w:rPr>
                <w:rStyle w:val="aa"/>
                <w:b/>
              </w:rPr>
              <w:t xml:space="preserve">РАЗДЕЛ </w:t>
            </w:r>
            <w:r w:rsidR="006348F4" w:rsidRPr="00175408">
              <w:rPr>
                <w:rStyle w:val="aa"/>
                <w:b/>
                <w:lang w:val="en-US"/>
              </w:rPr>
              <w:t>I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_Toc70507480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1" w:history="1">
            <w:r w:rsidRPr="00175408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Производство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2" w:history="1">
            <w:r w:rsidRPr="00175408">
              <w:rPr>
                <w:rStyle w:val="aa"/>
                <w:i/>
              </w:rPr>
              <w:t>Производство электроэнергии по областям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3" w:history="1">
            <w:r w:rsidRPr="00175408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Потребление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4" w:history="1">
            <w:r w:rsidRPr="00175408">
              <w:rPr>
                <w:rStyle w:val="aa"/>
                <w:i/>
              </w:rPr>
              <w:t>Потребление электрической энергии по зонам и областям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5" w:history="1">
            <w:r w:rsidRPr="00175408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Итоги работы промышленности в январе-марте 2021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6" w:history="1">
            <w:r w:rsidRPr="00175408">
              <w:rPr>
                <w:rStyle w:val="aa"/>
                <w:i/>
              </w:rPr>
              <w:t>Электропотребление крупными потребителями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7" w:history="1">
            <w:r w:rsidRPr="00175408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Уголь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8" w:history="1">
            <w:r w:rsidRPr="00175408">
              <w:rPr>
                <w:rStyle w:val="aa"/>
                <w:i/>
              </w:rPr>
              <w:t>Добыча энергетического угля в Казахстане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9" w:history="1">
            <w:r w:rsidRPr="00175408">
              <w:rPr>
                <w:rStyle w:val="aa"/>
                <w:i/>
              </w:rPr>
              <w:t>Добыча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0" w:history="1">
            <w:r w:rsidRPr="00175408">
              <w:rPr>
                <w:rStyle w:val="aa"/>
                <w:i/>
              </w:rPr>
              <w:t>Реализация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1" w:history="1">
            <w:r w:rsidRPr="00175408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Возобновляемые источники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2" w:history="1">
            <w:r w:rsidRPr="00175408">
              <w:rPr>
                <w:rStyle w:val="aa"/>
                <w:b/>
              </w:rPr>
              <w:t>6.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Централизованные торги электроэнергией АО «КОРЭМ»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1" w:history="1">
            <w:r w:rsidRPr="00175408">
              <w:rPr>
                <w:rStyle w:val="aa"/>
                <w:b/>
              </w:rPr>
              <w:t>7.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Экспорт-импорт электрической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_Toc70507501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2" w:history="1">
            <w:r w:rsidRPr="00175408">
              <w:rPr>
                <w:rStyle w:val="aa"/>
                <w:b/>
              </w:rPr>
              <w:t>РАЗДЕЛ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3" w:history="1">
            <w:r w:rsidRPr="00175408">
              <w:rPr>
                <w:rStyle w:val="aa"/>
                <w:b/>
              </w:rPr>
              <w:t>8.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4" w:history="1">
            <w:r w:rsidRPr="00175408">
              <w:rPr>
                <w:rStyle w:val="aa"/>
                <w:b/>
              </w:rPr>
              <w:t>9.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Статус формирования Электроэнергетического рынка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348F4" w:rsidRDefault="006348F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5" w:history="1">
            <w:r w:rsidRPr="00175408">
              <w:rPr>
                <w:rStyle w:val="aa"/>
                <w:b/>
              </w:rPr>
              <w:t>10.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75408">
              <w:rPr>
                <w:rStyle w:val="aa"/>
                <w:b/>
              </w:rPr>
              <w:t>Обзор СМИ в странах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_Toc70507505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45712" w:rsidRPr="007F6813" w:rsidRDefault="00562751" w:rsidP="00BF417E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7F6813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7F6813" w:rsidRDefault="00995E50" w:rsidP="00BF417E">
      <w:pPr>
        <w:pStyle w:val="11"/>
        <w:rPr>
          <w:lang w:val="en-US"/>
        </w:rPr>
      </w:pPr>
    </w:p>
    <w:p w:rsidR="001D295E" w:rsidRPr="007F6813" w:rsidRDefault="001D295E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7F6813" w:rsidRDefault="00C71038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7F6813" w:rsidRDefault="005246FD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F6813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CB6062" w:rsidRDefault="00B94F51" w:rsidP="00BF417E">
      <w:pPr>
        <w:pStyle w:val="1"/>
        <w:tabs>
          <w:tab w:val="left" w:pos="0"/>
          <w:tab w:val="left" w:pos="2627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1" w:name="_Toc70507480"/>
      <w:r w:rsidRPr="007F6813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7F6813">
        <w:rPr>
          <w:rFonts w:ascii="Times New Roman" w:hAnsi="Times New Roman" w:cs="Times New Roman"/>
          <w:b/>
          <w:color w:val="auto"/>
          <w:lang w:val="en-US"/>
        </w:rPr>
        <w:t>I</w:t>
      </w:r>
      <w:bookmarkEnd w:id="1"/>
      <w:r w:rsidR="00FE37D0">
        <w:rPr>
          <w:rFonts w:ascii="Times New Roman" w:hAnsi="Times New Roman" w:cs="Times New Roman"/>
          <w:b/>
          <w:color w:val="auto"/>
          <w:lang w:val="en-US"/>
        </w:rPr>
        <w:tab/>
      </w:r>
    </w:p>
    <w:p w:rsidR="00FE37D0" w:rsidRPr="00FE37D0" w:rsidRDefault="00FE37D0" w:rsidP="00BF417E">
      <w:pPr>
        <w:spacing w:after="0" w:line="240" w:lineRule="auto"/>
        <w:rPr>
          <w:lang w:val="en-US"/>
        </w:rPr>
      </w:pPr>
    </w:p>
    <w:p w:rsidR="008A363F" w:rsidRPr="007F6813" w:rsidRDefault="008A363F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7F6813" w:rsidRDefault="00541D3A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" w:name="_Toc70507481"/>
      <w:r w:rsidRPr="007F6813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2"/>
    </w:p>
    <w:p w:rsidR="00F31222" w:rsidRPr="007F6813" w:rsidRDefault="00F31222" w:rsidP="00BF417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</w:rPr>
      </w:pPr>
    </w:p>
    <w:p w:rsidR="002850D5" w:rsidRPr="00C67537" w:rsidRDefault="002850D5" w:rsidP="00BF41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январе-марте 2021 года было выработано 30769,7 млн. </w:t>
      </w:r>
      <w:proofErr w:type="spellStart"/>
      <w:r w:rsidRPr="00C67537">
        <w:rPr>
          <w:rFonts w:ascii="Times New Roman" w:hAnsi="Times New Roman" w:cs="Times New Roman"/>
          <w:sz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 электроэнергии, что на 4,5% больше аналогичного периода 2020 года. Незначительное снижение выработки наблюдалось лишь в Западной зоне ЕЭС Казахстана.</w:t>
      </w:r>
    </w:p>
    <w:p w:rsidR="00BA158D" w:rsidRPr="0091737D" w:rsidRDefault="00BA158D" w:rsidP="00BF41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2850D5" w:rsidRPr="0091737D" w:rsidTr="00FE37D0">
        <w:trPr>
          <w:trHeight w:val="24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</w:tr>
      <w:tr w:rsidR="002850D5" w:rsidRPr="0091737D" w:rsidTr="00FE37D0">
        <w:trPr>
          <w:trHeight w:val="75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0D5" w:rsidRPr="0091737D" w:rsidTr="00FE37D0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29450,4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29450,4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24349,4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24349,4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2573,0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2088,2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245,1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194,1</w:t>
            </w:r>
          </w:p>
        </w:tc>
      </w:tr>
      <w:tr w:rsidR="002850D5" w:rsidRPr="0091737D" w:rsidTr="002850D5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</w:tr>
      <w:tr w:rsidR="002850D5" w:rsidRPr="0091737D" w:rsidTr="00FE37D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22449,2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22449,2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20002,8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868,0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1402,4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112,5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62,9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</w:tr>
      <w:tr w:rsidR="002850D5" w:rsidRPr="0091737D" w:rsidTr="00FE37D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3308,8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2378,7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55,2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685,8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130,6</w:t>
            </w:r>
          </w:p>
        </w:tc>
      </w:tr>
      <w:tr w:rsidR="002850D5" w:rsidRPr="0091737D" w:rsidTr="00FE37D0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3692,4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1967,9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1649,8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</w:tr>
      <w:tr w:rsidR="002850D5" w:rsidRPr="0091737D" w:rsidTr="002850D5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</w:tr>
    </w:tbl>
    <w:p w:rsidR="00FE37D0" w:rsidRDefault="00FE37D0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0196463"/>
    </w:p>
    <w:p w:rsidR="00BA158D" w:rsidRDefault="00BA158D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70507482"/>
      <w:r w:rsidRPr="0091737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3"/>
      <w:bookmarkEnd w:id="4"/>
    </w:p>
    <w:p w:rsidR="00BF417E" w:rsidRPr="00BF417E" w:rsidRDefault="00BF417E" w:rsidP="00BF417E">
      <w:pPr>
        <w:spacing w:after="0" w:line="240" w:lineRule="auto"/>
      </w:pPr>
    </w:p>
    <w:p w:rsidR="002850D5" w:rsidRPr="00C67537" w:rsidRDefault="002850D5" w:rsidP="00BF41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 xml:space="preserve">В январе-марте 2021 года по сравнению с аналогичным периодом 2020 года производство электроэнергии значительно увеличилось (рост 15% и выше) в </w:t>
      </w:r>
      <w:proofErr w:type="spellStart"/>
      <w:r w:rsidRPr="00C67537">
        <w:rPr>
          <w:rFonts w:ascii="Times New Roman" w:hAnsi="Times New Roman" w:cs="Times New Roman"/>
          <w:sz w:val="28"/>
        </w:rPr>
        <w:t>Жамбылской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67537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Актюбинской, </w:t>
      </w:r>
      <w:proofErr w:type="spellStart"/>
      <w:r w:rsidRPr="00C67537">
        <w:rPr>
          <w:rFonts w:ascii="Times New Roman" w:hAnsi="Times New Roman" w:cs="Times New Roman"/>
          <w:sz w:val="28"/>
        </w:rPr>
        <w:t>Алматинской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, Карагандинской, </w:t>
      </w:r>
      <w:proofErr w:type="spellStart"/>
      <w:r w:rsidRPr="00C67537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, Северо-Казахстанской и Восточно-Казахстанской областях. </w:t>
      </w:r>
    </w:p>
    <w:p w:rsidR="00FE37D0" w:rsidRDefault="00FE37D0" w:rsidP="00BF41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A158D" w:rsidRPr="0091737D" w:rsidRDefault="00BA158D" w:rsidP="00BF41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BA158D" w:rsidRPr="0091737D" w:rsidTr="00BF417E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A1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BA158D" w:rsidRPr="0091737D" w:rsidTr="00FE37D0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</w:tr>
      <w:tr w:rsidR="002850D5" w:rsidRPr="0091737D" w:rsidTr="002850D5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-2,7%</w:t>
            </w:r>
          </w:p>
        </w:tc>
      </w:tr>
      <w:tr w:rsidR="002850D5" w:rsidRPr="0091737D" w:rsidTr="002850D5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2850D5" w:rsidRPr="0091737D" w:rsidTr="002850D5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16,2%</w:t>
            </w:r>
          </w:p>
        </w:tc>
      </w:tr>
      <w:tr w:rsidR="002850D5" w:rsidRPr="0091737D" w:rsidTr="002850D5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-6,9%</w:t>
            </w:r>
          </w:p>
        </w:tc>
      </w:tr>
      <w:tr w:rsidR="002850D5" w:rsidRPr="0091737D" w:rsidTr="002850D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2850D5" w:rsidRPr="0091737D" w:rsidTr="002850D5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29 450,4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4,5%</w:t>
            </w:r>
          </w:p>
        </w:tc>
      </w:tr>
    </w:tbl>
    <w:p w:rsidR="00D309A9" w:rsidRPr="007F6813" w:rsidRDefault="00D309A9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2850D5" w:rsidRPr="002850D5" w:rsidRDefault="002850D5" w:rsidP="00BF41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5" w:name="_Toc507606020"/>
      <w:r w:rsidRPr="002850D5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2850D5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2850D5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2850D5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2850D5">
        <w:rPr>
          <w:rFonts w:ascii="Times New Roman" w:hAnsi="Times New Roman" w:cs="Times New Roman"/>
          <w:sz w:val="28"/>
        </w:rPr>
        <w:t xml:space="preserve">» за январь-март 2021 года </w:t>
      </w:r>
      <w:r w:rsidRPr="002850D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2850D5">
        <w:rPr>
          <w:rFonts w:ascii="Times New Roman" w:hAnsi="Times New Roman" w:cs="Times New Roman"/>
          <w:bCs/>
          <w:sz w:val="28"/>
          <w:szCs w:val="28"/>
          <w:lang w:val="kk-KZ"/>
        </w:rPr>
        <w:t>10 029,6</w:t>
      </w:r>
      <w:r w:rsidRPr="0028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0D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2850D5">
        <w:rPr>
          <w:rFonts w:ascii="Times New Roman" w:hAnsi="Times New Roman" w:cs="Times New Roman"/>
          <w:sz w:val="28"/>
        </w:rPr>
        <w:t>кВтч</w:t>
      </w:r>
      <w:proofErr w:type="spellEnd"/>
      <w:r w:rsidRPr="002850D5">
        <w:rPr>
          <w:rFonts w:ascii="Times New Roman" w:hAnsi="Times New Roman" w:cs="Times New Roman"/>
          <w:sz w:val="28"/>
        </w:rPr>
        <w:t xml:space="preserve"> или увеличение на 14,5% в сравнении с показателями аналогичного периода 2020 года.</w:t>
      </w:r>
    </w:p>
    <w:p w:rsidR="002850D5" w:rsidRPr="00C67537" w:rsidRDefault="002850D5" w:rsidP="00BF417E">
      <w:pPr>
        <w:pStyle w:val="a3"/>
        <w:spacing w:after="0" w:line="240" w:lineRule="auto"/>
        <w:ind w:left="928"/>
        <w:jc w:val="right"/>
        <w:rPr>
          <w:rFonts w:ascii="Times New Roman" w:hAnsi="Times New Roman" w:cs="Times New Roman"/>
          <w:i/>
          <w:sz w:val="24"/>
        </w:rPr>
      </w:pPr>
      <w:r w:rsidRPr="00C67537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40"/>
        <w:gridCol w:w="2976"/>
        <w:gridCol w:w="1176"/>
        <w:gridCol w:w="1105"/>
        <w:gridCol w:w="1176"/>
        <w:gridCol w:w="1105"/>
        <w:gridCol w:w="1134"/>
        <w:gridCol w:w="968"/>
      </w:tblGrid>
      <w:tr w:rsidR="002850D5" w:rsidRPr="00C67537" w:rsidTr="002850D5">
        <w:trPr>
          <w:trHeight w:val="31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2021/2020гг</w:t>
            </w:r>
          </w:p>
        </w:tc>
      </w:tr>
      <w:tr w:rsidR="002850D5" w:rsidRPr="00C67537" w:rsidTr="002850D5">
        <w:trPr>
          <w:trHeight w:val="31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C67537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850D5" w:rsidRPr="00C67537" w:rsidTr="00FE37D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8 757,8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29,7%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10 029,6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32,6%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1 271,8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14,5%</w:t>
            </w:r>
          </w:p>
        </w:tc>
      </w:tr>
      <w:tr w:rsidR="002850D5" w:rsidRPr="00FE37D0" w:rsidTr="002850D5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1 664,7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5,7%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37D0">
              <w:rPr>
                <w:rFonts w:ascii="Times New Roman" w:hAnsi="Times New Roman" w:cs="Times New Roman"/>
                <w:i/>
              </w:rPr>
              <w:t>1614,7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-3,0%</w:t>
            </w:r>
          </w:p>
        </w:tc>
      </w:tr>
      <w:tr w:rsidR="002850D5" w:rsidRPr="00FE37D0" w:rsidTr="002850D5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ГРЭС-1»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5 711,4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37D0">
              <w:rPr>
                <w:rFonts w:ascii="Times New Roman" w:hAnsi="Times New Roman" w:cs="Times New Roman"/>
                <w:i/>
              </w:rPr>
              <w:t>6160,4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20,0%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449,0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</w:tr>
      <w:tr w:rsidR="002850D5" w:rsidRPr="00FE37D0" w:rsidTr="002850D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ГРЭС-2»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981,3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37D0">
              <w:rPr>
                <w:rFonts w:ascii="Times New Roman" w:hAnsi="Times New Roman" w:cs="Times New Roman"/>
                <w:i/>
              </w:rPr>
              <w:t>1913,0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931,7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94,9%</w:t>
            </w:r>
          </w:p>
        </w:tc>
      </w:tr>
      <w:tr w:rsidR="002850D5" w:rsidRPr="00FE37D0" w:rsidTr="002850D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Шардаринская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37D0">
              <w:rPr>
                <w:rFonts w:ascii="Times New Roman" w:hAnsi="Times New Roman" w:cs="Times New Roman"/>
                <w:bCs/>
                <w:i/>
              </w:rPr>
              <w:t>167,7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</w:tr>
      <w:tr w:rsidR="002850D5" w:rsidRPr="00FE37D0" w:rsidTr="002850D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Мойнакская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181,8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37D0">
              <w:rPr>
                <w:rFonts w:ascii="Times New Roman" w:hAnsi="Times New Roman" w:cs="Times New Roman"/>
                <w:bCs/>
                <w:i/>
              </w:rPr>
              <w:t>123,3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-58,5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-32,2%</w:t>
            </w:r>
          </w:p>
        </w:tc>
      </w:tr>
      <w:tr w:rsidR="002850D5" w:rsidRPr="00FE37D0" w:rsidTr="002850D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0,003%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37D0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0,016%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500,0%</w:t>
            </w:r>
          </w:p>
        </w:tc>
      </w:tr>
      <w:tr w:rsidR="002850D5" w:rsidRPr="00FE37D0" w:rsidTr="002850D5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C67537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50,9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37D0">
              <w:rPr>
                <w:rFonts w:ascii="Times New Roman" w:hAnsi="Times New Roman" w:cs="Times New Roman"/>
                <w:i/>
              </w:rPr>
              <w:t>45,7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FE37D0" w:rsidRDefault="002850D5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7D0">
              <w:rPr>
                <w:rFonts w:ascii="Times New Roman" w:hAnsi="Times New Roman" w:cs="Times New Roman"/>
                <w:i/>
                <w:iCs/>
              </w:rPr>
              <w:t>-10,2%</w:t>
            </w:r>
          </w:p>
        </w:tc>
      </w:tr>
    </w:tbl>
    <w:p w:rsidR="002850D5" w:rsidRDefault="002850D5" w:rsidP="00BF417E">
      <w:pPr>
        <w:pStyle w:val="1"/>
        <w:tabs>
          <w:tab w:val="left" w:pos="426"/>
        </w:tabs>
        <w:spacing w:before="0" w:line="240" w:lineRule="auto"/>
        <w:ind w:left="56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9A4" w:rsidRPr="00FA3E8D" w:rsidRDefault="003409A4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70507483"/>
      <w:r w:rsidRPr="00FA3E8D">
        <w:rPr>
          <w:rFonts w:ascii="Times New Roman" w:hAnsi="Times New Roman" w:cs="Times New Roman"/>
          <w:b/>
          <w:color w:val="auto"/>
          <w:sz w:val="28"/>
          <w:szCs w:val="28"/>
        </w:rPr>
        <w:t>Потребление электрической энергии в ЕЭС Казахстана</w:t>
      </w:r>
      <w:bookmarkEnd w:id="5"/>
      <w:bookmarkEnd w:id="6"/>
    </w:p>
    <w:p w:rsidR="003409A4" w:rsidRPr="00C82DFF" w:rsidRDefault="003409A4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409A4" w:rsidRPr="00415113" w:rsidRDefault="003409A4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07606021"/>
      <w:bookmarkStart w:id="8" w:name="_Toc70507484"/>
      <w:r w:rsidRPr="00415113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BF417E" w:rsidRDefault="00BF417E" w:rsidP="00BF41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510196468"/>
    </w:p>
    <w:p w:rsidR="002850D5" w:rsidRPr="00C67537" w:rsidRDefault="002850D5" w:rsidP="00BF41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>По данным Системного оператора, в январе-марте 2021 года наблюдался рост в динамике потребления электрической энергии республики в сравнении с показателями января-марта 2020 года на 4%. Так, увеличение в северной зоне составила 4% и в южной зоне на 5%, а на западной зоне республики потребление снизилось на 1%.</w:t>
      </w:r>
    </w:p>
    <w:p w:rsidR="00BF417E" w:rsidRDefault="00BF417E" w:rsidP="00BF417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A158D" w:rsidRPr="0091737D" w:rsidRDefault="00BA158D" w:rsidP="00BF417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BA158D" w:rsidRPr="0091737D" w:rsidTr="00BF417E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30 100,3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19 098,6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19 900,9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3 678,5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6 231,8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2 578,9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2 560,3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4 989,4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5 158,9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5 655,3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1 664,8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1 348,9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1 694,6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1 770,5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3 348,1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1 223,3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2850D5" w:rsidRPr="0091737D" w:rsidTr="002850D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</w:tr>
    </w:tbl>
    <w:p w:rsidR="00BA158D" w:rsidRPr="0091737D" w:rsidRDefault="00BA158D" w:rsidP="00BF417E">
      <w:pPr>
        <w:pStyle w:val="a3"/>
        <w:spacing w:after="0" w:line="240" w:lineRule="auto"/>
        <w:ind w:left="8223"/>
        <w:jc w:val="both"/>
        <w:rPr>
          <w:rFonts w:ascii="Times New Roman" w:hAnsi="Times New Roman" w:cs="Times New Roman"/>
          <w:sz w:val="28"/>
        </w:rPr>
      </w:pPr>
    </w:p>
    <w:p w:rsidR="002850D5" w:rsidRPr="00C67537" w:rsidRDefault="002850D5" w:rsidP="00BF417E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70507485"/>
      <w:bookmarkEnd w:id="9"/>
      <w:r w:rsidRPr="00C67537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в январе-</w:t>
      </w:r>
      <w:r>
        <w:rPr>
          <w:rFonts w:ascii="Times New Roman" w:hAnsi="Times New Roman" w:cs="Times New Roman"/>
          <w:b/>
          <w:color w:val="auto"/>
          <w:sz w:val="28"/>
        </w:rPr>
        <w:t xml:space="preserve">марте </w:t>
      </w:r>
      <w:r w:rsidRPr="00C67537">
        <w:rPr>
          <w:rFonts w:ascii="Times New Roman" w:hAnsi="Times New Roman" w:cs="Times New Roman"/>
          <w:b/>
          <w:color w:val="auto"/>
          <w:sz w:val="28"/>
        </w:rPr>
        <w:t>2021 года</w:t>
      </w:r>
      <w:bookmarkEnd w:id="10"/>
      <w:r w:rsidRPr="00C67537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BF417E" w:rsidRPr="00C67537" w:rsidRDefault="002850D5" w:rsidP="00BF417E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C67537">
        <w:rPr>
          <w:i/>
          <w:szCs w:val="22"/>
        </w:rPr>
        <w:t>(экспресс-информация Бюро национальной статистики АСПР РК)</w:t>
      </w:r>
    </w:p>
    <w:p w:rsidR="00BF417E" w:rsidRDefault="00BF417E" w:rsidP="00BF417E">
      <w:pPr>
        <w:pStyle w:val="OsnTxt"/>
        <w:spacing w:line="240" w:lineRule="auto"/>
        <w:ind w:right="-284" w:firstLine="851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2850D5" w:rsidRDefault="002850D5" w:rsidP="00BF417E">
      <w:pPr>
        <w:pStyle w:val="OsnTxt"/>
        <w:spacing w:line="240" w:lineRule="auto"/>
        <w:ind w:right="-284" w:firstLine="851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январе-марте 2021г. по сравнению с январем-мартом 2020 года индекс промышленного производства (далее </w:t>
      </w:r>
      <w:r w:rsidR="00AE4427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– </w:t>
      </w: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ИПП) составил 100,1%. Увеличение объемов производства зафиксировано в 11 регионах республики, снижение наблюдалось 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gram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, Карагандинской,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и Туркестанской областях.</w:t>
      </w:r>
    </w:p>
    <w:p w:rsidR="00BF417E" w:rsidRPr="00C67537" w:rsidRDefault="00BF417E" w:rsidP="00BF417E">
      <w:pPr>
        <w:pStyle w:val="OsnTxt"/>
        <w:spacing w:line="240" w:lineRule="auto"/>
        <w:ind w:right="-284" w:firstLine="851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2850D5" w:rsidRPr="00C67537" w:rsidRDefault="002850D5" w:rsidP="00BF417E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67537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2850D5" w:rsidRPr="00C67537" w:rsidRDefault="002850D5" w:rsidP="00BF417E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C67537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2850D5" w:rsidRPr="00C67537" w:rsidRDefault="002850D5" w:rsidP="00BF417E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C67537">
        <w:rPr>
          <w:rFonts w:ascii="Times New Roman" w:hAnsi="Times New Roman"/>
          <w:noProof/>
        </w:rPr>
        <w:drawing>
          <wp:inline distT="0" distB="0" distL="0" distR="0" wp14:anchorId="7F9AC961" wp14:editId="702C7A22">
            <wp:extent cx="5164667" cy="2163234"/>
            <wp:effectExtent l="0" t="0" r="0" b="88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городе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Нур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-Султан ИПП составил 125,3%, в основном за счет роста производства товарного бетона, аффинированного золота, выпуска железнодорожных вагонов и локомотивов.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г. Алматы за счет увеличения роста производства строительных сборных металлоконструкций, автобусов и товарного бетона ИПП составил 118,3%.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114,8% за счет увеличения выпуска табачной продукции, производства электрических аккумуляторов и распределительных щитов.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городе Шымкент за счет увеличения производства продуктов нефтепереработки и трансформаторов ИПП составил 112,7%.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за счет увеличения роста производства молока, муки, льняного и сливочного масла ИПП составил 110,2%.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производства пестицидов, выпуска комбайнов и тракторов ИПП составил 109,1%.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108,6% за счет увеличения добычи железных и золотосодержащих </w:t>
      </w:r>
      <w:proofErr w:type="gram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руд,  медных</w:t>
      </w:r>
      <w:proofErr w:type="gram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концентратов, производства золота в сплаве Доре, муки и легковых автомобилей.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ИПП составил 108,1% за счет увеличения добычи золотосодержащих руд и концентратов, производства аффинированного золота.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ИПП составил 107,3% за счет роста предоставления услуг в горнодобывающей промышленности.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роста добычи фосфатного сырья, производства сахара, фосфорных удобрений и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ферросиликомарганца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ИПП составил 107,3%.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Павлодарской области ИПП составил 103,7% за счет роста производства бензина, дизельного топлива, топочного мазута и переработки вторичного металлического сырья.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снижение ИПП обусловлено сокращением добычи угля, медных и цинковых концентратов (99,1%).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В Туркестанской области за счет снижения добычи урановых и ториевых руд, уменьшения производства хлопка ИПП составил 97,7%.</w:t>
      </w: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gram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ИПП составил 95,3% за счет снижения добычи газового конденсата, производства труб, профилей из стали.</w:t>
      </w:r>
    </w:p>
    <w:p w:rsidR="002850D5" w:rsidRPr="00C67537" w:rsidRDefault="002850D5" w:rsidP="00BF417E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(85,3%),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(99,4%), </w:t>
      </w:r>
      <w:proofErr w:type="spellStart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 (92,6%) областях ИПП снизился в основном за счет сокращения добычи сырой нефти.</w:t>
      </w:r>
    </w:p>
    <w:p w:rsidR="00070D22" w:rsidRPr="007F6813" w:rsidRDefault="00BD4000" w:rsidP="00BF417E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7F6813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7F6813" w:rsidRDefault="00BC7CB8" w:rsidP="00BF417E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7F6813" w:rsidRDefault="00070D22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0196469"/>
      <w:bookmarkStart w:id="12" w:name="_Toc2249075"/>
      <w:bookmarkStart w:id="13" w:name="_Toc70507486"/>
      <w:r w:rsidRPr="007F6813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1"/>
      <w:bookmarkEnd w:id="13"/>
    </w:p>
    <w:bookmarkEnd w:id="12"/>
    <w:p w:rsidR="00B601C1" w:rsidRPr="007F6813" w:rsidRDefault="00B601C1" w:rsidP="00BF417E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2850D5" w:rsidRPr="00C67537" w:rsidRDefault="002850D5" w:rsidP="00BF417E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67537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январь-март 2021 года по отношению к аналогичному периоду 2020 года потребление электроэнергии по крупным потребителям снизилось на 0,9%. </w:t>
      </w:r>
    </w:p>
    <w:p w:rsidR="00BA158D" w:rsidRPr="0091737D" w:rsidRDefault="00BA158D" w:rsidP="00BF41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1737D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BA158D" w:rsidRPr="0091737D" w:rsidTr="00AE4427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  <w:vAlign w:val="center"/>
          </w:tcPr>
          <w:p w:rsidR="00BA158D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</w:tr>
      <w:tr w:rsidR="00BA158D" w:rsidRPr="0091737D" w:rsidTr="00AE4427">
        <w:trPr>
          <w:trHeight w:val="355"/>
          <w:jc w:val="center"/>
        </w:trPr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087" w:type="dxa"/>
            <w:shd w:val="clear" w:color="auto" w:fill="C6D9F1" w:themeFill="text2" w:themeFillTint="33"/>
            <w:vAlign w:val="center"/>
          </w:tcPr>
          <w:p w:rsidR="00BA158D" w:rsidRPr="0091737D" w:rsidRDefault="00BA158D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959,8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1 477,1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1 387,9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308,4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733,0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426,9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331,9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764,6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770,2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38,0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410,5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330,6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95,1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121,5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-49%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477,6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232,9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950,1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420,7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2850D5" w:rsidRPr="0091737D" w:rsidTr="002850D5">
        <w:trPr>
          <w:trHeight w:val="360"/>
          <w:jc w:val="center"/>
        </w:trPr>
        <w:tc>
          <w:tcPr>
            <w:tcW w:w="567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2850D5" w:rsidRPr="0091737D" w:rsidRDefault="002850D5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1 256,7</w:t>
            </w:r>
          </w:p>
        </w:tc>
        <w:tc>
          <w:tcPr>
            <w:tcW w:w="1087" w:type="dxa"/>
            <w:vAlign w:val="center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 xml:space="preserve">1 444,6 </w:t>
            </w:r>
          </w:p>
        </w:tc>
        <w:tc>
          <w:tcPr>
            <w:tcW w:w="1087" w:type="dxa"/>
            <w:vAlign w:val="bottom"/>
          </w:tcPr>
          <w:p w:rsidR="002850D5" w:rsidRPr="00C67537" w:rsidRDefault="002850D5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C5FA9" w:rsidRPr="0091737D" w:rsidTr="002850D5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6C5FA9" w:rsidRPr="0091737D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9 194,1</w:t>
            </w:r>
          </w:p>
        </w:tc>
        <w:tc>
          <w:tcPr>
            <w:tcW w:w="1087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9 109,3</w:t>
            </w:r>
          </w:p>
        </w:tc>
        <w:tc>
          <w:tcPr>
            <w:tcW w:w="1087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-0,9%</w:t>
            </w:r>
          </w:p>
        </w:tc>
      </w:tr>
    </w:tbl>
    <w:p w:rsidR="007F6813" w:rsidRDefault="007F6813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6657" w:rsidRDefault="007F6813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813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7F6813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1303"/>
        <w:gridCol w:w="1206"/>
        <w:gridCol w:w="1602"/>
        <w:gridCol w:w="1559"/>
      </w:tblGrid>
      <w:tr w:rsidR="006C5FA9" w:rsidRPr="00BB707C" w:rsidTr="00AE4427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Январь-март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Отклонение, млн. </w:t>
            </w:r>
            <w:proofErr w:type="spellStart"/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Δ, %</w:t>
            </w:r>
          </w:p>
        </w:tc>
      </w:tr>
      <w:tr w:rsidR="006C5FA9" w:rsidRPr="00BB707C" w:rsidTr="00AE4427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FA9" w:rsidRPr="00BB707C" w:rsidTr="00AE442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BB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1399,98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4,9%</w:t>
            </w:r>
          </w:p>
        </w:tc>
      </w:tr>
      <w:tr w:rsidR="006C5FA9" w:rsidRPr="00BB707C" w:rsidTr="00A168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ТОО «Богатырь-</w:t>
            </w:r>
            <w:proofErr w:type="spellStart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Комир</w:t>
            </w:r>
            <w:proofErr w:type="spellEnd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67,3%</w:t>
            </w:r>
          </w:p>
        </w:tc>
      </w:tr>
      <w:tr w:rsidR="006C5FA9" w:rsidRPr="00BB707C" w:rsidTr="00A168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АлатауЖарык</w:t>
            </w:r>
            <w:proofErr w:type="spellEnd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0,5%</w:t>
            </w:r>
          </w:p>
        </w:tc>
      </w:tr>
      <w:tr w:rsidR="006C5FA9" w:rsidRPr="00BB707C" w:rsidTr="00A168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A9" w:rsidRPr="00BB707C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70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ТОО «АлматыЭнергоСбыт»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1168,11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9" w:rsidRPr="00BB707C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3,9%</w:t>
            </w:r>
          </w:p>
        </w:tc>
      </w:tr>
    </w:tbl>
    <w:p w:rsidR="00BA158D" w:rsidRDefault="00BA158D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</w:p>
    <w:p w:rsidR="003B36BC" w:rsidRPr="007F6813" w:rsidRDefault="00A32670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4" w:name="_Toc70507487"/>
      <w:r w:rsidRPr="007F6813">
        <w:rPr>
          <w:rFonts w:ascii="Times New Roman" w:hAnsi="Times New Roman" w:cs="Times New Roman"/>
          <w:b/>
          <w:color w:val="auto"/>
        </w:rPr>
        <w:t>Уголь</w:t>
      </w:r>
      <w:bookmarkEnd w:id="14"/>
    </w:p>
    <w:p w:rsidR="00BC7CB8" w:rsidRPr="007F6813" w:rsidRDefault="00BC7CB8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7F6813" w:rsidRDefault="004550F2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2"/>
      <w:bookmarkStart w:id="16" w:name="_Toc65590391"/>
      <w:bookmarkStart w:id="17" w:name="_Toc70507488"/>
      <w:r w:rsidRPr="007F6813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5"/>
      <w:bookmarkEnd w:id="16"/>
      <w:bookmarkEnd w:id="17"/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январе-марте 2021 года добыто 27 896,5 тыс. тонн каменного угля, что меньше на 1%, чем за аналогичный период 2020 года (28 130 тыс. тонн).</w:t>
      </w:r>
    </w:p>
    <w:p w:rsidR="00BA158D" w:rsidRPr="0091737D" w:rsidRDefault="00BA158D" w:rsidP="00BF417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91737D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6C5FA9" w:rsidRPr="00C67537" w:rsidTr="00AE4427">
        <w:trPr>
          <w:trHeight w:val="406"/>
        </w:trPr>
        <w:tc>
          <w:tcPr>
            <w:tcW w:w="566" w:type="dxa"/>
            <w:vMerge w:val="restart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Январь-март</w:t>
            </w:r>
          </w:p>
        </w:tc>
        <w:tc>
          <w:tcPr>
            <w:tcW w:w="1938" w:type="dxa"/>
            <w:vMerge w:val="restart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6C5FA9" w:rsidRPr="00C67537" w:rsidTr="00AE4427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9" w:rsidRPr="00C67537" w:rsidTr="00A16829">
        <w:trPr>
          <w:trHeight w:val="333"/>
        </w:trPr>
        <w:tc>
          <w:tcPr>
            <w:tcW w:w="566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18 493,2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17 566,5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6C5FA9" w:rsidRPr="00C67537" w:rsidTr="00A16829">
        <w:trPr>
          <w:trHeight w:val="333"/>
        </w:trPr>
        <w:tc>
          <w:tcPr>
            <w:tcW w:w="566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7 977,3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8 123,1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6C5FA9" w:rsidRPr="00C67537" w:rsidTr="00A16829">
        <w:trPr>
          <w:trHeight w:val="333"/>
        </w:trPr>
        <w:tc>
          <w:tcPr>
            <w:tcW w:w="566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1 675,7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2 120,7</w:t>
            </w:r>
          </w:p>
        </w:tc>
        <w:tc>
          <w:tcPr>
            <w:tcW w:w="1938" w:type="dxa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sz w:val="24"/>
                <w:szCs w:val="24"/>
              </w:rPr>
              <w:t>127%</w:t>
            </w:r>
          </w:p>
        </w:tc>
      </w:tr>
      <w:tr w:rsidR="006C5FA9" w:rsidRPr="00C67537" w:rsidTr="00A16829">
        <w:trPr>
          <w:trHeight w:val="333"/>
        </w:trPr>
        <w:tc>
          <w:tcPr>
            <w:tcW w:w="566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28 130</w:t>
            </w:r>
          </w:p>
        </w:tc>
        <w:tc>
          <w:tcPr>
            <w:tcW w:w="1938" w:type="dxa"/>
            <w:vAlign w:val="center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27 896,5</w:t>
            </w:r>
          </w:p>
        </w:tc>
        <w:tc>
          <w:tcPr>
            <w:tcW w:w="1938" w:type="dxa"/>
            <w:vAlign w:val="center"/>
          </w:tcPr>
          <w:p w:rsidR="006C5FA9" w:rsidRPr="00C67537" w:rsidRDefault="006C5FA9" w:rsidP="00AE4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</w:tbl>
    <w:p w:rsidR="00BA158D" w:rsidRPr="0091737D" w:rsidRDefault="00BA158D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A158D" w:rsidRPr="0091737D" w:rsidRDefault="00BA158D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8" w:name="_Toc70507489"/>
      <w:r w:rsidRPr="0091737D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91737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i/>
          <w:color w:val="auto"/>
          <w:sz w:val="28"/>
        </w:rPr>
        <w:t>»</w:t>
      </w:r>
      <w:bookmarkEnd w:id="18"/>
    </w:p>
    <w:p w:rsidR="00BA158D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 xml:space="preserve">В январе-марте 2021 года ТОО «Богатырь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>» добыто 11 758 тыс. тонн, что на 4,9% меньше, чем за соответствующий период 2020 года (12 369 тыс. тонн).</w:t>
      </w:r>
    </w:p>
    <w:p w:rsidR="006C5FA9" w:rsidRPr="006C5FA9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58D" w:rsidRPr="0091737D" w:rsidRDefault="00BA158D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9" w:name="_Toc510196474"/>
      <w:bookmarkStart w:id="20" w:name="_Toc70507490"/>
      <w:r w:rsidRPr="0091737D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91737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i/>
          <w:color w:val="auto"/>
          <w:sz w:val="28"/>
        </w:rPr>
        <w:t>»</w:t>
      </w:r>
      <w:bookmarkEnd w:id="19"/>
      <w:bookmarkEnd w:id="20"/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 xml:space="preserve">В январе-марте 2021 года реализовано 11 751 тыс. тонн, в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>.:</w:t>
      </w:r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- на внутренний рынок РК 10 607 тыс. тонн, что на 6,8% больше, чем за соответствующий период 2020 года (9 928 тыс. тонн);</w:t>
      </w:r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- на экспорт (РФ) – 1 144 тыс. тонн, что на 53,2% меньше, чем за соответствующий период 2020 года (2 443 тыс. тонн).</w:t>
      </w:r>
    </w:p>
    <w:p w:rsidR="00D618E9" w:rsidRDefault="00D618E9" w:rsidP="00BF417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309A9" w:rsidRPr="007F6813" w:rsidRDefault="00D309A9" w:rsidP="00BF417E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F6813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3941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  <w:gridCol w:w="1938"/>
        <w:gridCol w:w="1938"/>
      </w:tblGrid>
      <w:tr w:rsidR="00D309A9" w:rsidRPr="007F6813" w:rsidTr="00AE4427">
        <w:trPr>
          <w:gridAfter w:val="2"/>
          <w:wAfter w:w="3876" w:type="dxa"/>
          <w:trHeight w:val="515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F6813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0538E">
              <w:rPr>
                <w:rFonts w:ascii="Times New Roman" w:hAnsi="Times New Roman" w:cs="Times New Roman"/>
                <w:b/>
                <w:sz w:val="24"/>
                <w:szCs w:val="24"/>
              </w:rPr>
              <w:t>1/2020</w:t>
            </w: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</w:p>
        </w:tc>
      </w:tr>
      <w:tr w:rsidR="006C5FA9" w:rsidRPr="007F6813" w:rsidTr="00AE4427">
        <w:trPr>
          <w:gridAfter w:val="2"/>
          <w:wAfter w:w="3876" w:type="dxa"/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 2020г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 2021г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9" w:rsidRPr="007F6813" w:rsidTr="006C5FA9">
        <w:trPr>
          <w:gridAfter w:val="2"/>
          <w:wAfter w:w="3876" w:type="dxa"/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9 928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10 607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106,8%</w:t>
            </w:r>
          </w:p>
        </w:tc>
      </w:tr>
      <w:tr w:rsidR="006C5FA9" w:rsidRPr="007F6813" w:rsidTr="006C5FA9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2 443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1 144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46,8%</w:t>
            </w:r>
          </w:p>
        </w:tc>
        <w:tc>
          <w:tcPr>
            <w:tcW w:w="1938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1 144</w:t>
            </w:r>
          </w:p>
        </w:tc>
        <w:tc>
          <w:tcPr>
            <w:tcW w:w="1938" w:type="dxa"/>
            <w:vAlign w:val="center"/>
          </w:tcPr>
          <w:p w:rsidR="006C5FA9" w:rsidRPr="00C67537" w:rsidRDefault="006C5FA9" w:rsidP="00BF41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46,8%</w:t>
            </w:r>
          </w:p>
        </w:tc>
      </w:tr>
    </w:tbl>
    <w:p w:rsidR="006C5FA9" w:rsidRPr="00C67537" w:rsidRDefault="006C5FA9" w:rsidP="00BF4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_Toc31296322"/>
      <w:r w:rsidRPr="00C67537">
        <w:rPr>
          <w:rFonts w:ascii="Times New Roman" w:hAnsi="Times New Roman" w:cs="Times New Roman"/>
          <w:sz w:val="28"/>
          <w:szCs w:val="28"/>
        </w:rPr>
        <w:t>По показателям за январь-март 2021 года по сравнению с аналогичным периодом 2020 года в Обществе наблюдается снижение реализации угля на 5%.</w:t>
      </w:r>
    </w:p>
    <w:p w:rsidR="00BA158D" w:rsidRPr="0091737D" w:rsidRDefault="00BA158D" w:rsidP="00BF417E">
      <w:pPr>
        <w:spacing w:after="0" w:line="240" w:lineRule="auto"/>
        <w:rPr>
          <w:rFonts w:ascii="Times New Roman" w:hAnsi="Times New Roman" w:cs="Times New Roman"/>
        </w:rPr>
      </w:pPr>
    </w:p>
    <w:p w:rsidR="00BA158D" w:rsidRPr="0091737D" w:rsidRDefault="00BA158D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2" w:name="_Toc503289885"/>
      <w:bookmarkStart w:id="23" w:name="_Toc65566415"/>
      <w:bookmarkStart w:id="24" w:name="_Toc70507491"/>
      <w:r w:rsidRPr="0091737D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22"/>
      <w:bookmarkEnd w:id="23"/>
      <w:bookmarkEnd w:id="24"/>
    </w:p>
    <w:p w:rsidR="00BA158D" w:rsidRPr="0091737D" w:rsidRDefault="00BA158D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5FA9" w:rsidRPr="00C67537" w:rsidRDefault="006C5FA9" w:rsidP="00BF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 xml:space="preserve">По данным системного оператора объем производства электроэнергии объектами по использованию ВИЭ (СЭС, ВЭС, БГС, малые ГЭС) РК за </w:t>
      </w:r>
      <w:r>
        <w:rPr>
          <w:rFonts w:ascii="Times New Roman" w:hAnsi="Times New Roman" w:cs="Times New Roman"/>
          <w:sz w:val="28"/>
        </w:rPr>
        <w:t>январь-</w:t>
      </w:r>
      <w:r w:rsidRPr="00C67537">
        <w:rPr>
          <w:rFonts w:ascii="Times New Roman" w:hAnsi="Times New Roman" w:cs="Times New Roman"/>
          <w:sz w:val="28"/>
        </w:rPr>
        <w:t xml:space="preserve">март 2021 года составил 870,5 млн. </w:t>
      </w:r>
      <w:proofErr w:type="spellStart"/>
      <w:r w:rsidRPr="00C67537">
        <w:rPr>
          <w:rFonts w:ascii="Times New Roman" w:hAnsi="Times New Roman" w:cs="Times New Roman"/>
          <w:sz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. В сравнении с периодом январь-март 2020 года (596,2 млн. </w:t>
      </w:r>
      <w:proofErr w:type="spellStart"/>
      <w:r w:rsidRPr="00C67537">
        <w:rPr>
          <w:rFonts w:ascii="Times New Roman" w:hAnsi="Times New Roman" w:cs="Times New Roman"/>
          <w:sz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</w:rPr>
        <w:t>) прирост составил 173,7%.</w:t>
      </w:r>
    </w:p>
    <w:p w:rsidR="006C5FA9" w:rsidRPr="00C67537" w:rsidRDefault="006C5FA9" w:rsidP="00BF41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C67537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078"/>
        <w:gridCol w:w="1196"/>
        <w:gridCol w:w="978"/>
        <w:gridCol w:w="1196"/>
        <w:gridCol w:w="996"/>
        <w:gridCol w:w="1041"/>
        <w:gridCol w:w="996"/>
      </w:tblGrid>
      <w:tr w:rsidR="006C5FA9" w:rsidRPr="00C67537" w:rsidTr="006348F4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1/2020гг,</w:t>
            </w:r>
          </w:p>
        </w:tc>
      </w:tr>
      <w:tr w:rsidR="006C5FA9" w:rsidRPr="00C67537" w:rsidTr="006348F4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/>
                <w:bCs/>
              </w:rPr>
              <w:t>1,0%</w:t>
            </w:r>
          </w:p>
        </w:tc>
      </w:tr>
      <w:tr w:rsidR="00B66B4D" w:rsidRPr="00C67537" w:rsidTr="00A16829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/>
                <w:bCs/>
              </w:rPr>
              <w:t>1,5%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0,7%</w:t>
            </w:r>
          </w:p>
        </w:tc>
      </w:tr>
      <w:tr w:rsidR="00B66B4D" w:rsidRPr="00C67537" w:rsidTr="00A16829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/>
                <w:bCs/>
              </w:rPr>
              <w:t>1,5%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1,1%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17,7%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4D" w:rsidRPr="007B0EC0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EC0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</w:tr>
    </w:tbl>
    <w:p w:rsidR="006C5FA9" w:rsidRPr="00C67537" w:rsidRDefault="006C5FA9" w:rsidP="00BF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C5FA9" w:rsidRPr="00C67537" w:rsidRDefault="006C5FA9" w:rsidP="00BF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январе-</w:t>
      </w:r>
      <w:r w:rsidRPr="00C67537">
        <w:rPr>
          <w:rFonts w:ascii="Times New Roman" w:hAnsi="Times New Roman" w:cs="Times New Roman"/>
          <w:sz w:val="28"/>
        </w:rPr>
        <w:t>марте 2021г. наблюдается повышение производства электроэнергии малыми ГЭС по сравнению с аналогичным периодом 2020г.</w:t>
      </w:r>
    </w:p>
    <w:p w:rsidR="006C5FA9" w:rsidRPr="00C67537" w:rsidRDefault="006C5FA9" w:rsidP="00BF41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6C5FA9" w:rsidRPr="00C67537" w:rsidRDefault="006C5FA9" w:rsidP="00BF41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67537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453"/>
        <w:gridCol w:w="1190"/>
        <w:gridCol w:w="1038"/>
        <w:gridCol w:w="1190"/>
        <w:gridCol w:w="965"/>
        <w:gridCol w:w="996"/>
        <w:gridCol w:w="1014"/>
      </w:tblGrid>
      <w:tr w:rsidR="006C5FA9" w:rsidRPr="00C67537" w:rsidTr="006348F4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2021/2020гг,</w:t>
            </w:r>
          </w:p>
        </w:tc>
      </w:tr>
      <w:tr w:rsidR="006C5FA9" w:rsidRPr="00C67537" w:rsidTr="006348F4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67537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30769,7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29450,3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6B4D" w:rsidRPr="00C67537" w:rsidTr="00A16829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4D" w:rsidRPr="00C67537" w:rsidRDefault="00B66B4D" w:rsidP="00B66B4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C67537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3869,1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1922,2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2,0</w:t>
            </w: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B66B4D" w:rsidRPr="00C67537" w:rsidTr="00A16829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4D" w:rsidRPr="00C67537" w:rsidRDefault="00B66B4D" w:rsidP="00B66B4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C67537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6C5FA9" w:rsidRPr="00C67537" w:rsidRDefault="006C5FA9" w:rsidP="00BF4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5FA9" w:rsidRPr="00C67537" w:rsidRDefault="006C5FA9" w:rsidP="00BF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7537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C67537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» (СЭС, ВЭС, малые ГЭС) за январь-март 2021 года </w:t>
      </w:r>
      <w:r w:rsidRPr="00C67537">
        <w:rPr>
          <w:rFonts w:ascii="Times New Roman" w:hAnsi="Times New Roman" w:cs="Times New Roman"/>
          <w:sz w:val="28"/>
          <w:szCs w:val="28"/>
        </w:rPr>
        <w:t>составила 126,4</w:t>
      </w:r>
      <w:r w:rsidRPr="00C6753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67537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sz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</w:rPr>
        <w:t xml:space="preserve"> или 9,8% от общего объема вырабатываемой объектами ВИЭ электроэнергии, что по сравнению с аналогичным периодом 2020 года выше на 40,8</w:t>
      </w:r>
      <w:r w:rsidRPr="00C67537">
        <w:rPr>
          <w:rFonts w:ascii="Times New Roman" w:hAnsi="Times New Roman" w:cs="Times New Roman"/>
          <w:sz w:val="28"/>
          <w:szCs w:val="28"/>
        </w:rPr>
        <w:t>%</w:t>
      </w:r>
      <w:r w:rsidRPr="00C67537">
        <w:rPr>
          <w:rFonts w:ascii="Times New Roman" w:hAnsi="Times New Roman" w:cs="Times New Roman"/>
          <w:sz w:val="28"/>
        </w:rPr>
        <w:t xml:space="preserve"> (за январь-март 2020г. выработка ВИЭ </w:t>
      </w:r>
      <w:r w:rsidRPr="00C67537">
        <w:rPr>
          <w:rFonts w:ascii="Times New Roman" w:hAnsi="Times New Roman" w:cs="Times New Roman"/>
          <w:sz w:val="28"/>
          <w:szCs w:val="28"/>
        </w:rPr>
        <w:t xml:space="preserve">Общества составила 85,6 </w:t>
      </w:r>
      <w:r w:rsidRPr="00C67537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sz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</w:rPr>
        <w:t>, а доля ВИЭ Общества 14,4%).</w:t>
      </w:r>
    </w:p>
    <w:p w:rsidR="006C5FA9" w:rsidRPr="00C67537" w:rsidRDefault="006C5FA9" w:rsidP="00BF417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67537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67537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246"/>
        <w:gridCol w:w="1134"/>
        <w:gridCol w:w="992"/>
        <w:gridCol w:w="1134"/>
        <w:gridCol w:w="992"/>
        <w:gridCol w:w="990"/>
        <w:gridCol w:w="992"/>
      </w:tblGrid>
      <w:tr w:rsidR="006C5FA9" w:rsidRPr="00C67537" w:rsidTr="006348F4">
        <w:trPr>
          <w:trHeight w:val="55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2021/2020гг,</w:t>
            </w:r>
          </w:p>
        </w:tc>
      </w:tr>
      <w:tr w:rsidR="006C5FA9" w:rsidRPr="00C67537" w:rsidTr="006348F4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в РК,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млн. 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66B4D" w:rsidRPr="00C67537" w:rsidTr="00A16829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B66B4D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B66B4D" w:rsidRDefault="00B66B4D" w:rsidP="00B66B4D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Производство АО «</w:t>
            </w:r>
            <w:proofErr w:type="spellStart"/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Самрук-Энерго</w:t>
            </w:r>
            <w:proofErr w:type="spellEnd"/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«чистой» электроэнергии (ВИЭ без учета Крупных ГЭС) в </w:t>
            </w:r>
            <w:proofErr w:type="spellStart"/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B6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</w:tr>
      <w:tr w:rsidR="00B66B4D" w:rsidRPr="00C67537" w:rsidTr="00A16829">
        <w:trPr>
          <w:trHeight w:val="34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ind w:right="171"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АлЭС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 Каскад малых ГЭС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1,4%</w:t>
            </w:r>
          </w:p>
        </w:tc>
      </w:tr>
      <w:tr w:rsidR="00B66B4D" w:rsidRPr="00C67537" w:rsidTr="00A16829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ind w:right="171"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ТОО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Samruk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-Green Energy» 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СЭС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2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2,9%</w:t>
            </w:r>
          </w:p>
        </w:tc>
      </w:tr>
      <w:tr w:rsidR="00B66B4D" w:rsidRPr="00C67537" w:rsidTr="00A16829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ind w:right="171"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ТОО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Samruk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-Green Energy» 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ВЭС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Шелек</w:t>
            </w:r>
            <w:proofErr w:type="spellEnd"/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66B4D" w:rsidRPr="00C67537" w:rsidTr="00A16829">
        <w:trPr>
          <w:trHeight w:val="9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4D" w:rsidRPr="00C67537" w:rsidRDefault="00B66B4D" w:rsidP="00B66B4D">
            <w:pPr>
              <w:spacing w:after="0" w:line="240" w:lineRule="auto"/>
              <w:ind w:right="171"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4D" w:rsidRPr="00C67537" w:rsidRDefault="00B66B4D" w:rsidP="00B66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1,5%</w:t>
            </w:r>
          </w:p>
        </w:tc>
      </w:tr>
    </w:tbl>
    <w:p w:rsidR="007F6813" w:rsidRPr="007F6813" w:rsidRDefault="007F6813" w:rsidP="00BF417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48FB" w:rsidRPr="007F6813" w:rsidRDefault="001248FB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5" w:name="_Toc70507492"/>
      <w:r w:rsidRPr="007F6813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1"/>
      <w:bookmarkEnd w:id="25"/>
    </w:p>
    <w:p w:rsidR="001248FB" w:rsidRPr="007F6813" w:rsidRDefault="001248FB" w:rsidP="00BF417E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7F6813">
        <w:rPr>
          <w:i/>
          <w:szCs w:val="22"/>
        </w:rPr>
        <w:t>(информация АО «КОРЭМ»)</w:t>
      </w:r>
    </w:p>
    <w:p w:rsidR="0021630F" w:rsidRPr="004223B1" w:rsidRDefault="0021630F" w:rsidP="00BF41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6" w:name="_Toc510196477"/>
      <w:bookmarkStart w:id="27" w:name="_Toc65566417"/>
      <w:bookmarkStart w:id="28" w:name="_Toc65590396"/>
      <w:bookmarkStart w:id="29" w:name="_Toc70507493"/>
      <w:r w:rsidRPr="004223B1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6"/>
      <w:bookmarkEnd w:id="27"/>
      <w:bookmarkEnd w:id="28"/>
      <w:bookmarkEnd w:id="29"/>
    </w:p>
    <w:p w:rsidR="006C5FA9" w:rsidRPr="00C67537" w:rsidRDefault="006C5FA9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централизованных торгов электроэнергией в марте 2021 года были заключены 112 сделок объеме 241 440 тыс.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1 978 795,4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6C5FA9" w:rsidRPr="00C67537" w:rsidRDefault="006C5FA9" w:rsidP="00BF417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спот-торги в режиме «за день вперед» - было заключено 109 сделок в объеме 117 072 тыс.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960 518,6 тыс. тенге. Минимальная цена на спот-торгах в режиме «за день вперед» составила – 8,2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максимальная цена – 8,21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НДС);</w:t>
      </w:r>
    </w:p>
    <w:p w:rsidR="006C5FA9" w:rsidRPr="00C67537" w:rsidRDefault="006C5FA9" w:rsidP="00BF417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спот-торги «в течение операционных суток» - сделок заключено не было;</w:t>
      </w:r>
    </w:p>
    <w:p w:rsidR="006C5FA9" w:rsidRPr="00C67537" w:rsidRDefault="006C5FA9" w:rsidP="00BF417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электроэнергией на средне- и долгосрочный периоды - были заключены 3 сделки объемом 124 368 тыс.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1018276,8 тыс. тенге (без НДС). Минимальная цена по данному виду централизованных торгов составила 7,95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максимальная – 11,6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НДС).</w:t>
      </w:r>
    </w:p>
    <w:p w:rsidR="006C5FA9" w:rsidRPr="00C67537" w:rsidRDefault="006C5FA9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2020 года общий объем централизованных торгов составил 77 255 тыс.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таблице ниже приведена динамика цен сделок, заключенных на централизованных торгах в марте 2020-2021гг.</w:t>
      </w:r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6C5FA9" w:rsidRPr="00C67537" w:rsidRDefault="006C5FA9" w:rsidP="00BF417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в марте 2020-2021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6C5FA9" w:rsidRPr="00C67537" w:rsidTr="00A16829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6C5FA9" w:rsidRPr="00C67537" w:rsidTr="00A16829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537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6C5FA9" w:rsidRPr="00C67537" w:rsidTr="00A16829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A9" w:rsidRPr="00C67537" w:rsidRDefault="006C5FA9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кВтч</w:t>
            </w:r>
            <w:proofErr w:type="spellEnd"/>
            <w:proofErr w:type="gramStart"/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C67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6C5FA9" w:rsidRPr="00C67537" w:rsidTr="00A168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C5FA9" w:rsidRPr="00C67537" w:rsidTr="00A168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5FA9" w:rsidRPr="00C67537" w:rsidRDefault="006C5FA9" w:rsidP="00BF41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7537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6C5FA9" w:rsidRPr="00C67537" w:rsidRDefault="006C5FA9" w:rsidP="00BF417E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bookmarkStart w:id="30" w:name="_Toc510196478"/>
    </w:p>
    <w:p w:rsidR="006C5FA9" w:rsidRPr="00C67537" w:rsidRDefault="006C5FA9" w:rsidP="00BF417E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bookmarkStart w:id="31" w:name="_Toc70507494"/>
      <w:r w:rsidRPr="00C67537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30"/>
      <w:bookmarkEnd w:id="31"/>
    </w:p>
    <w:p w:rsidR="006C5FA9" w:rsidRPr="00C67537" w:rsidRDefault="006C5FA9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марте 2021 года были заключены 109 сделок в объеме 117 072 тыс.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минимальная клиринговая цена на спот-торгах в режиме «за день вперед» составила – 8,2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а максимальная – 8,21 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НДС).</w:t>
      </w:r>
    </w:p>
    <w:p w:rsidR="006C5FA9" w:rsidRPr="00C67537" w:rsidRDefault="006C5FA9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ниже представлены итоговые результаты спот-торгов в режиме «за день вперед» за март 2021 года.</w:t>
      </w:r>
    </w:p>
    <w:p w:rsidR="006C5FA9" w:rsidRPr="00C67537" w:rsidRDefault="006C5FA9" w:rsidP="00BF417E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C9741" wp14:editId="1CB392E6">
            <wp:extent cx="6301105" cy="7020905"/>
            <wp:effectExtent l="0" t="0" r="444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02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2" w:name="_Toc510196479"/>
      <w:bookmarkStart w:id="33" w:name="_Toc70507495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 таблицы видно, что суммарный объем спроса составил 158 880 тыс. </w:t>
      </w:r>
      <w:proofErr w:type="spellStart"/>
      <w:proofErr w:type="gram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.,</w:t>
      </w:r>
      <w:proofErr w:type="gram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этом суммарный объем предложения составил 117 072 тыс.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Неудовлетворенный объем спроса в марте 2021 года составил 41 808 тыс.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а неудовлетворенный объем предложения 0 тыс.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 процессе спот-торгов в торговую систему всего было принято заявок в количестве - 294, из них 225 заявок от покупателей и 69 заявок от продавцов.</w:t>
      </w:r>
      <w:bookmarkEnd w:id="33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bookmarkStart w:id="34" w:name="_Toc70507496"/>
      <w:r w:rsidRPr="00C67537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  <w:bookmarkEnd w:id="32"/>
      <w:bookmarkEnd w:id="34"/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5" w:name="_Toc510196480"/>
      <w:bookmarkStart w:id="36" w:name="_Toc70507497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итогам проведенных торгов в марте 2021 года сделок заключено не было. По итогам проведенных торгов в марте 2020 года сделок также заключено не было.</w:t>
      </w:r>
      <w:bookmarkEnd w:id="36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bookmarkStart w:id="37" w:name="_Toc70507498"/>
      <w:r w:rsidRPr="00C67537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35"/>
      <w:bookmarkEnd w:id="37"/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8" w:name="_Toc70507499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марте 2021 года по итогам торгов на средне- и долгосрочный периоды были заключены 3 сделки объемом 124 368 тыс.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общую сумму 1 018 276,8 тыс. тенге (без НДС). Минимальная цена по данному виду централизованных торгов составила 7,95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(без НДС), а максимальная – 11,6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(без НДС).</w:t>
      </w:r>
      <w:bookmarkEnd w:id="38"/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9" w:name="_Toc70507500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аналогичный период 2020 года по торгам электроэнергией на средне- и долгосрочный периоды - были заключены 3 сделки объемом 70 560 тыс.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общую сумму 538 513,92 тыс. тенге (без НДС). Минимальная цена по данному виду централизованных торгов составила 5,76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(без НДС), а максимальная – 7,65 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</w:t>
      </w:r>
      <w:proofErr w:type="spellStart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(без НДС).</w:t>
      </w:r>
      <w:bookmarkEnd w:id="39"/>
    </w:p>
    <w:p w:rsidR="001338ED" w:rsidRPr="007F6813" w:rsidRDefault="001338ED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ED" w:rsidRPr="007F6813" w:rsidRDefault="001338ED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40" w:name="_Toc52533539"/>
      <w:bookmarkStart w:id="41" w:name="_Toc70507501"/>
      <w:r w:rsidRPr="007F6813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40"/>
      <w:bookmarkEnd w:id="41"/>
    </w:p>
    <w:p w:rsidR="001338ED" w:rsidRPr="007F6813" w:rsidRDefault="001338ED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январе-марте 2021 года экспорт в РФ составил 309,4 млн.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 xml:space="preserve">, импорт из РФ – 342,2 млн.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>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7537">
        <w:rPr>
          <w:rFonts w:ascii="Times New Roman" w:hAnsi="Times New Roman" w:cs="Times New Roman"/>
          <w:sz w:val="28"/>
          <w:szCs w:val="28"/>
        </w:rPr>
        <w:t>Экспорт АО «</w:t>
      </w:r>
      <w:r w:rsidRPr="00C67537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C67537">
        <w:rPr>
          <w:rFonts w:ascii="Times New Roman" w:hAnsi="Times New Roman" w:cs="Times New Roman"/>
          <w:sz w:val="28"/>
          <w:szCs w:val="28"/>
        </w:rPr>
        <w:t xml:space="preserve">» – 297,843 млн.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 xml:space="preserve">, импорт электроэнергии из РФ за отчетный период в объеме 273,319 млн.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>.</w:t>
      </w:r>
    </w:p>
    <w:p w:rsidR="00741F18" w:rsidRPr="007F6813" w:rsidRDefault="00741F18" w:rsidP="00BF417E">
      <w:pPr>
        <w:tabs>
          <w:tab w:val="left" w:pos="0"/>
        </w:tabs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7F6813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F6813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81FE3" w:rsidRPr="007F6813" w:rsidTr="006348F4">
        <w:trPr>
          <w:trHeight w:val="235"/>
          <w:tblHeader/>
        </w:trPr>
        <w:tc>
          <w:tcPr>
            <w:tcW w:w="5093" w:type="dxa"/>
            <w:vMerge w:val="restart"/>
            <w:shd w:val="clear" w:color="auto" w:fill="C6D9F1" w:themeFill="text2" w:themeFillTint="33"/>
            <w:vAlign w:val="center"/>
            <w:hideMark/>
          </w:tcPr>
          <w:p w:rsidR="00A81FE3" w:rsidRPr="007F6813" w:rsidRDefault="00A81FE3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shd w:val="clear" w:color="auto" w:fill="C6D9F1" w:themeFill="text2" w:themeFillTint="33"/>
            <w:vAlign w:val="center"/>
            <w:hideMark/>
          </w:tcPr>
          <w:p w:rsidR="00A81FE3" w:rsidRPr="00395B2D" w:rsidRDefault="00A81FE3" w:rsidP="00BF417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6C5FA9"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1241" w:type="dxa"/>
            <w:vMerge w:val="restart"/>
            <w:shd w:val="clear" w:color="auto" w:fill="C6D9F1" w:themeFill="text2" w:themeFillTint="33"/>
            <w:vAlign w:val="center"/>
            <w:hideMark/>
          </w:tcPr>
          <w:p w:rsidR="00A81FE3" w:rsidRPr="00395B2D" w:rsidRDefault="00A81FE3" w:rsidP="00BF417E">
            <w:pPr>
              <w:spacing w:after="0" w:line="240" w:lineRule="auto"/>
              <w:ind w:left="-119" w:right="-13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6C5FA9" w:rsidRPr="00C6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Январь-март</w:t>
            </w:r>
          </w:p>
        </w:tc>
        <w:tc>
          <w:tcPr>
            <w:tcW w:w="2409" w:type="dxa"/>
            <w:gridSpan w:val="2"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2021/2020</w:t>
            </w: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</w:p>
        </w:tc>
      </w:tr>
      <w:tr w:rsidR="00A81FE3" w:rsidRPr="007F6813" w:rsidTr="006348F4">
        <w:trPr>
          <w:trHeight w:val="318"/>
          <w:tblHeader/>
        </w:trPr>
        <w:tc>
          <w:tcPr>
            <w:tcW w:w="5093" w:type="dxa"/>
            <w:vMerge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tabs>
                <w:tab w:val="left" w:pos="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2 260,8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81FE3" w:rsidRPr="007F6813" w:rsidRDefault="00A81FE3" w:rsidP="00BF41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-52,8%</w:t>
            </w:r>
          </w:p>
        </w:tc>
      </w:tr>
      <w:tr w:rsidR="006C5FA9" w:rsidRPr="007F6813" w:rsidTr="00C41172">
        <w:trPr>
          <w:trHeight w:val="300"/>
        </w:trPr>
        <w:tc>
          <w:tcPr>
            <w:tcW w:w="5093" w:type="dxa"/>
            <w:shd w:val="clear" w:color="auto" w:fill="D9D9D9" w:themeFill="background1" w:themeFillShade="D9"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-690,5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-1 011,6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-321,1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46,5%</w:t>
            </w:r>
          </w:p>
        </w:tc>
      </w:tr>
      <w:tr w:rsidR="006C5FA9" w:rsidRPr="007F6813" w:rsidTr="00C41172">
        <w:trPr>
          <w:trHeight w:val="300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-234,8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-309,4</w:t>
            </w:r>
          </w:p>
        </w:tc>
        <w:tc>
          <w:tcPr>
            <w:tcW w:w="1275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-74,5</w:t>
            </w:r>
          </w:p>
        </w:tc>
        <w:tc>
          <w:tcPr>
            <w:tcW w:w="1134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31,7%</w:t>
            </w:r>
          </w:p>
        </w:tc>
      </w:tr>
      <w:tr w:rsidR="006C5FA9" w:rsidRPr="007F6813" w:rsidTr="00C41172">
        <w:trPr>
          <w:trHeight w:val="300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-455,7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-702,2</w:t>
            </w:r>
          </w:p>
        </w:tc>
        <w:tc>
          <w:tcPr>
            <w:tcW w:w="1275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-246,5</w:t>
            </w:r>
          </w:p>
        </w:tc>
        <w:tc>
          <w:tcPr>
            <w:tcW w:w="1134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54,1%</w:t>
            </w:r>
          </w:p>
        </w:tc>
      </w:tr>
      <w:tr w:rsidR="00BA158D" w:rsidRPr="007F6813" w:rsidTr="00C41172">
        <w:trPr>
          <w:trHeight w:val="300"/>
        </w:trPr>
        <w:tc>
          <w:tcPr>
            <w:tcW w:w="5093" w:type="dxa"/>
            <w:shd w:val="clear" w:color="auto" w:fill="D9D9D9" w:themeFill="background1" w:themeFillShade="D9"/>
            <w:vAlign w:val="center"/>
            <w:hideMark/>
          </w:tcPr>
          <w:p w:rsidR="00BA158D" w:rsidRPr="007F6813" w:rsidRDefault="00BA158D" w:rsidP="00BF41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:rsidR="00BA158D" w:rsidRPr="006C5FA9" w:rsidRDefault="00BA158D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FA9">
              <w:rPr>
                <w:rFonts w:ascii="Times New Roman" w:hAnsi="Times New Roman" w:cs="Times New Roman"/>
                <w:b/>
                <w:bCs/>
              </w:rPr>
              <w:t>201,82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vAlign w:val="center"/>
          </w:tcPr>
          <w:p w:rsidR="00BA158D" w:rsidRPr="006C5FA9" w:rsidRDefault="00BA158D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FA9">
              <w:rPr>
                <w:rFonts w:ascii="Times New Roman" w:hAnsi="Times New Roman" w:cs="Times New Roman"/>
                <w:b/>
                <w:bCs/>
              </w:rPr>
              <w:t>249,92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A158D" w:rsidRPr="006C5FA9" w:rsidRDefault="00BA158D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A9">
              <w:rPr>
                <w:rFonts w:ascii="Times New Roman" w:hAnsi="Times New Roman" w:cs="Times New Roman"/>
                <w:b/>
              </w:rPr>
              <w:t>48,11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158D" w:rsidRPr="006C5FA9" w:rsidRDefault="00BA158D" w:rsidP="00BF4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A9">
              <w:rPr>
                <w:rFonts w:ascii="Times New Roman" w:hAnsi="Times New Roman" w:cs="Times New Roman"/>
                <w:b/>
              </w:rPr>
              <w:t>24%</w:t>
            </w:r>
          </w:p>
        </w:tc>
      </w:tr>
      <w:tr w:rsidR="006C5FA9" w:rsidRPr="007F6813" w:rsidTr="00C41172">
        <w:trPr>
          <w:trHeight w:val="300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279,8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342,2</w:t>
            </w:r>
          </w:p>
        </w:tc>
        <w:tc>
          <w:tcPr>
            <w:tcW w:w="1275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62,4</w:t>
            </w:r>
          </w:p>
        </w:tc>
        <w:tc>
          <w:tcPr>
            <w:tcW w:w="1134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22,3%</w:t>
            </w:r>
          </w:p>
        </w:tc>
      </w:tr>
      <w:tr w:rsidR="006C5FA9" w:rsidRPr="007F6813" w:rsidTr="00C41172">
        <w:trPr>
          <w:trHeight w:val="300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277,2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342,2</w:t>
            </w:r>
          </w:p>
        </w:tc>
        <w:tc>
          <w:tcPr>
            <w:tcW w:w="1275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1134" w:type="dxa"/>
            <w:vAlign w:val="center"/>
          </w:tcPr>
          <w:p w:rsidR="006C5FA9" w:rsidRPr="006C5FA9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C5FA9">
              <w:rPr>
                <w:rFonts w:ascii="Times New Roman" w:hAnsi="Times New Roman" w:cs="Times New Roman"/>
                <w:bCs/>
              </w:rPr>
              <w:t>23,5%</w:t>
            </w:r>
          </w:p>
        </w:tc>
      </w:tr>
      <w:tr w:rsidR="006C5FA9" w:rsidRPr="007F6813" w:rsidTr="00C41172">
        <w:trPr>
          <w:trHeight w:val="315"/>
        </w:trPr>
        <w:tc>
          <w:tcPr>
            <w:tcW w:w="5093" w:type="dxa"/>
            <w:shd w:val="clear" w:color="auto" w:fill="D9D9D9" w:themeFill="background1" w:themeFillShade="D9"/>
            <w:vAlign w:val="center"/>
            <w:hideMark/>
          </w:tcPr>
          <w:p w:rsidR="006C5FA9" w:rsidRPr="007F6813" w:rsidRDefault="006C5FA9" w:rsidP="00BF41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-410,7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-669,4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-258,7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5FA9" w:rsidRPr="00C67537" w:rsidRDefault="006C5FA9" w:rsidP="00BF41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537">
              <w:rPr>
                <w:rFonts w:ascii="Times New Roman" w:hAnsi="Times New Roman" w:cs="Times New Roman"/>
                <w:b/>
                <w:bCs/>
              </w:rPr>
              <w:t>63,0%</w:t>
            </w:r>
          </w:p>
        </w:tc>
      </w:tr>
    </w:tbl>
    <w:p w:rsidR="00776138" w:rsidRPr="007F6813" w:rsidRDefault="00776138" w:rsidP="00BF417E">
      <w:pPr>
        <w:tabs>
          <w:tab w:val="left" w:pos="0"/>
        </w:tabs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7F6813" w:rsidRDefault="00882305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F6813">
        <w:rPr>
          <w:rFonts w:ascii="Times New Roman" w:hAnsi="Times New Roman" w:cs="Times New Roman"/>
        </w:rPr>
        <w:br w:type="page"/>
      </w:r>
    </w:p>
    <w:p w:rsidR="008647BB" w:rsidRPr="007F6813" w:rsidRDefault="00B94F51" w:rsidP="00BF417E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42" w:name="_Toc70507502"/>
      <w:r w:rsidRPr="007F6813">
        <w:rPr>
          <w:rFonts w:ascii="Times New Roman" w:hAnsi="Times New Roman" w:cs="Times New Roman"/>
          <w:b/>
          <w:color w:val="auto"/>
        </w:rPr>
        <w:t>РАЗДЕЛ II</w:t>
      </w:r>
      <w:bookmarkEnd w:id="42"/>
    </w:p>
    <w:p w:rsidR="004550F2" w:rsidRPr="007F6813" w:rsidRDefault="004550F2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387115" w:rsidRPr="007F6813" w:rsidRDefault="00387115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3" w:name="_Toc70507503"/>
      <w:r w:rsidRPr="007F6813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7F6813">
        <w:rPr>
          <w:rFonts w:ascii="Times New Roman" w:hAnsi="Times New Roman" w:cs="Times New Roman"/>
          <w:b/>
          <w:color w:val="auto"/>
        </w:rPr>
        <w:t>я</w:t>
      </w:r>
      <w:r w:rsidRPr="007F6813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43"/>
    </w:p>
    <w:p w:rsidR="00C82DFF" w:rsidRPr="007F6813" w:rsidRDefault="00C82DFF" w:rsidP="00BF41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7F6813" w:rsidRDefault="004F55A3" w:rsidP="00BF417E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7F68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:rsidR="004F55A3" w:rsidRPr="007F6813" w:rsidRDefault="004F55A3" w:rsidP="00BF417E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</w:t>
      </w:r>
      <w:r w:rsidRPr="007F6813">
        <w:rPr>
          <w:rFonts w:ascii="Times New Roman" w:hAnsi="Times New Roman" w:cs="Times New Roman"/>
        </w:rPr>
        <w:t xml:space="preserve">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BA158D" w:rsidRPr="00B244C2" w:rsidRDefault="00EA70B1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70B1">
        <w:rPr>
          <w:rFonts w:ascii="Times New Roman" w:hAnsi="Times New Roman" w:cs="Times New Roman"/>
          <w:sz w:val="28"/>
        </w:rPr>
        <w:t xml:space="preserve">В 2021 году проведены одно заседание Консультативного комитета по электроэнергетике при Коллегии ЕЭК (далее – Консультативный комитет) </w:t>
      </w:r>
      <w:r w:rsidRPr="00EA70B1">
        <w:rPr>
          <w:rFonts w:ascii="Times New Roman" w:hAnsi="Times New Roman" w:cs="Times New Roman"/>
          <w:sz w:val="28"/>
        </w:rPr>
        <w:br/>
        <w:t>(14-е заседание, 21 января 2021 года) и одно заседание Подкомитета по формированию ОЭР ЕАЭС Консультативного комитета по электроэнергетике при Коллегии ЕЭК (далее – Подкомитет) (56-е заседание 14 января</w:t>
      </w:r>
      <w:r w:rsidR="00BA158D" w:rsidRPr="00BA158D">
        <w:rPr>
          <w:rFonts w:ascii="Times New Roman" w:hAnsi="Times New Roman" w:cs="Times New Roman"/>
          <w:sz w:val="28"/>
        </w:rPr>
        <w:t>, 57-е заседание 5 февраля, 58-е заседание 25-26 февраля</w:t>
      </w:r>
      <w:r w:rsidR="00B244C2">
        <w:rPr>
          <w:rFonts w:ascii="Times New Roman" w:hAnsi="Times New Roman" w:cs="Times New Roman"/>
          <w:sz w:val="28"/>
        </w:rPr>
        <w:t xml:space="preserve">, </w:t>
      </w:r>
      <w:r w:rsidR="00B244C2" w:rsidRPr="00C67537">
        <w:rPr>
          <w:rFonts w:ascii="Times New Roman" w:hAnsi="Times New Roman" w:cs="Times New Roman"/>
          <w:sz w:val="28"/>
        </w:rPr>
        <w:t>59-е заседание 11-12 марта, 60-е заседание 26 марта</w:t>
      </w:r>
      <w:r w:rsidR="00B244C2">
        <w:rPr>
          <w:rFonts w:ascii="Times New Roman" w:hAnsi="Times New Roman" w:cs="Times New Roman"/>
          <w:sz w:val="28"/>
        </w:rPr>
        <w:t xml:space="preserve">). </w:t>
      </w:r>
    </w:p>
    <w:p w:rsidR="00EA70B1" w:rsidRPr="007F6813" w:rsidRDefault="00EA70B1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70B1">
        <w:rPr>
          <w:rFonts w:ascii="Times New Roman" w:hAnsi="Times New Roman" w:cs="Times New Roman"/>
          <w:sz w:val="28"/>
        </w:rPr>
        <w:t>Работа по формированию общего электроэнергетического рынка Евразийского экономического союза продолжается.</w:t>
      </w:r>
      <w:r w:rsidRPr="007F6813">
        <w:rPr>
          <w:rFonts w:ascii="Times New Roman" w:hAnsi="Times New Roman" w:cs="Times New Roman"/>
          <w:sz w:val="28"/>
        </w:rPr>
        <w:t xml:space="preserve"> </w:t>
      </w:r>
    </w:p>
    <w:p w:rsidR="00E37727" w:rsidRPr="007F6813" w:rsidRDefault="00E37727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7F6813" w:rsidRDefault="006432D5" w:rsidP="00BF41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7F6813" w:rsidRDefault="00387115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4" w:name="_Toc70507504"/>
      <w:r w:rsidRPr="007F6813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7F6813">
        <w:rPr>
          <w:rFonts w:ascii="Times New Roman" w:hAnsi="Times New Roman" w:cs="Times New Roman"/>
          <w:b/>
          <w:color w:val="auto"/>
        </w:rPr>
        <w:t>Э</w:t>
      </w:r>
      <w:r w:rsidRPr="007F6813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44"/>
    </w:p>
    <w:p w:rsidR="00387115" w:rsidRPr="007F6813" w:rsidRDefault="00387115" w:rsidP="00BF41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7F6813" w:rsidRDefault="006B1F89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С 1992 года проведено 5</w:t>
      </w:r>
      <w:r w:rsidR="00CE4C8F" w:rsidRPr="007F6813">
        <w:rPr>
          <w:rFonts w:ascii="Times New Roman" w:hAnsi="Times New Roman" w:cs="Times New Roman"/>
          <w:sz w:val="28"/>
        </w:rPr>
        <w:t>5</w:t>
      </w:r>
      <w:r w:rsidRPr="007F6813">
        <w:rPr>
          <w:rFonts w:ascii="Times New Roman" w:hAnsi="Times New Roman" w:cs="Times New Roman"/>
          <w:sz w:val="28"/>
        </w:rPr>
        <w:t xml:space="preserve"> заседани</w:t>
      </w:r>
      <w:r w:rsidR="00CE4C8F" w:rsidRPr="007F6813">
        <w:rPr>
          <w:rFonts w:ascii="Times New Roman" w:hAnsi="Times New Roman" w:cs="Times New Roman"/>
          <w:sz w:val="28"/>
        </w:rPr>
        <w:t>й</w:t>
      </w:r>
      <w:r w:rsidR="0007078E" w:rsidRPr="007F6813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7F6813" w:rsidRDefault="0007078E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7F6813">
        <w:rPr>
          <w:rFonts w:ascii="Times New Roman" w:hAnsi="Times New Roman" w:cs="Times New Roman"/>
          <w:sz w:val="28"/>
        </w:rPr>
        <w:t>.</w:t>
      </w:r>
    </w:p>
    <w:p w:rsidR="006C3EF7" w:rsidRPr="007F6813" w:rsidRDefault="006C3EF7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F6813" w:rsidTr="006C3EF7">
        <w:trPr>
          <w:trHeight w:val="845"/>
        </w:trPr>
        <w:tc>
          <w:tcPr>
            <w:tcW w:w="217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F6813" w:rsidTr="006C3EF7">
        <w:trPr>
          <w:trHeight w:val="156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F6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F6813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F6813" w:rsidRDefault="006C3EF7" w:rsidP="00BF417E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F6813" w:rsidTr="006C3EF7">
        <w:trPr>
          <w:trHeight w:val="56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F6813" w:rsidTr="006C3EF7">
        <w:trPr>
          <w:trHeight w:val="2088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F6813" w:rsidTr="006C3EF7">
        <w:trPr>
          <w:trHeight w:val="141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F6813" w:rsidTr="006C3EF7">
        <w:trPr>
          <w:trHeight w:val="2404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Default="008928B2" w:rsidP="00BF417E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21630F" w:rsidRPr="007F6813" w:rsidRDefault="0021630F" w:rsidP="00BF417E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0A3B02" w:rsidRPr="0021630F" w:rsidRDefault="001D295E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1630F">
        <w:rPr>
          <w:rFonts w:ascii="Times New Roman" w:hAnsi="Times New Roman" w:cs="Times New Roman"/>
          <w:b/>
          <w:color w:val="auto"/>
        </w:rPr>
        <w:t xml:space="preserve"> </w:t>
      </w:r>
      <w:bookmarkStart w:id="45" w:name="_Toc525902070"/>
      <w:bookmarkStart w:id="46" w:name="_Hlk10046153"/>
      <w:bookmarkStart w:id="47" w:name="_Toc70507505"/>
      <w:r w:rsidR="000A3B02" w:rsidRPr="0021630F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45"/>
      <w:bookmarkEnd w:id="47"/>
    </w:p>
    <w:p w:rsidR="00620733" w:rsidRDefault="000A3B02" w:rsidP="00BF417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813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7F6813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p w:rsidR="0021630F" w:rsidRPr="007F6813" w:rsidRDefault="0021630F" w:rsidP="00BF417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46"/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37">
        <w:rPr>
          <w:rFonts w:ascii="Times New Roman" w:hAnsi="Times New Roman" w:cs="Times New Roman"/>
          <w:b/>
          <w:sz w:val="24"/>
          <w:szCs w:val="24"/>
        </w:rPr>
        <w:t>Республика Армения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8" w:name="_Toc70507506"/>
      <w:r w:rsidRPr="00C675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Министр: Программа развития энергетики Армении предусматривает продление срока эксплуатации ААЭС после 2026 года</w:t>
      </w:r>
      <w:bookmarkEnd w:id="48"/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программа развития энергетики Армении до 2040 года предусматривает повторное продление срока эксплуатации Армянской АЭС после 2026 года, а в перспективе и строительство новой АЭС.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отметил министр, АЭС - это стабильный поставщик чистой энергии и именно благодаря этому Армения сможет выполнить взятые на себя обязательства в рамках Парижского соглашения по борьбе с изменением климата.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ранее руководство Армянской АЭС неоднократно заявляло о наличии ресурса для продления срока эксплуатации ААЭС вплоть до 2040 года (в 2026 году на пять лет, и в 2030 году на 10 лет - до 2040 года).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завершение программы ААЭС правительством Армении предоставлен бюджетный кредит в размере 63,2 млрд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драмов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$130 млн). На реализацию программы ранее Армения привлекла от Российской Федерации кредит в $270 млн и грант в $30 млн под 3% годовых, и по положению на сегодняшний день остаточный ресурс этих средств </w:t>
      </w:r>
      <w:proofErr w:type="gram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  $</w:t>
      </w:r>
      <w:proofErr w:type="gram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107 млн.</w:t>
      </w:r>
    </w:p>
    <w:p w:rsidR="006C5FA9" w:rsidRPr="00C67537" w:rsidRDefault="006C5FA9" w:rsidP="00BF417E">
      <w:pPr>
        <w:pStyle w:val="1"/>
        <w:shd w:val="clear" w:color="auto" w:fill="FFFFFF"/>
        <w:spacing w:before="0" w:line="240" w:lineRule="auto"/>
        <w:ind w:right="75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70507507"/>
      <w:r w:rsidRPr="00C67537">
        <w:rPr>
          <w:rFonts w:ascii="Times New Roman" w:hAnsi="Times New Roman" w:cs="Times New Roman"/>
          <w:color w:val="auto"/>
          <w:sz w:val="24"/>
          <w:szCs w:val="24"/>
        </w:rPr>
        <w:t xml:space="preserve">FRV с IFC, EBRD и </w:t>
      </w:r>
      <w:proofErr w:type="spellStart"/>
      <w:r w:rsidRPr="00C67537">
        <w:rPr>
          <w:rFonts w:ascii="Times New Roman" w:hAnsi="Times New Roman" w:cs="Times New Roman"/>
          <w:color w:val="auto"/>
          <w:sz w:val="24"/>
          <w:szCs w:val="24"/>
        </w:rPr>
        <w:t>Америбанком</w:t>
      </w:r>
      <w:proofErr w:type="spellEnd"/>
      <w:r w:rsidRPr="00C67537">
        <w:rPr>
          <w:rFonts w:ascii="Times New Roman" w:hAnsi="Times New Roman" w:cs="Times New Roman"/>
          <w:color w:val="auto"/>
          <w:sz w:val="24"/>
          <w:szCs w:val="24"/>
        </w:rPr>
        <w:t xml:space="preserve"> успешно завершила сделку по финансированию строительства крупнейшей солнечной электростанции промышленного назначения в Армении – «Масрик-1».</w:t>
      </w:r>
      <w:bookmarkEnd w:id="49"/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 xml:space="preserve">Компания </w:t>
      </w:r>
      <w:proofErr w:type="spellStart"/>
      <w:r w:rsidRPr="00C67537">
        <w:t>Fotowatio</w:t>
      </w:r>
      <w:proofErr w:type="spellEnd"/>
      <w:r w:rsidRPr="00C67537">
        <w:t xml:space="preserve"> </w:t>
      </w:r>
      <w:proofErr w:type="spellStart"/>
      <w:r w:rsidRPr="00C67537">
        <w:t>Renewable</w:t>
      </w:r>
      <w:proofErr w:type="spellEnd"/>
      <w:r w:rsidRPr="00C67537">
        <w:t xml:space="preserve"> </w:t>
      </w:r>
      <w:proofErr w:type="spellStart"/>
      <w:r w:rsidRPr="00C67537">
        <w:t>Ventures</w:t>
      </w:r>
      <w:proofErr w:type="spellEnd"/>
      <w:r w:rsidRPr="00C67537">
        <w:t xml:space="preserve"> (FRV), являющаяся членом компании </w:t>
      </w:r>
      <w:proofErr w:type="spellStart"/>
      <w:r w:rsidRPr="00C67537">
        <w:t>Abdul</w:t>
      </w:r>
      <w:proofErr w:type="spellEnd"/>
      <w:r w:rsidRPr="00C67537">
        <w:t xml:space="preserve"> </w:t>
      </w:r>
      <w:proofErr w:type="spellStart"/>
      <w:r w:rsidRPr="00C67537">
        <w:t>Latif</w:t>
      </w:r>
      <w:proofErr w:type="spellEnd"/>
      <w:r w:rsidRPr="00C67537">
        <w:t xml:space="preserve"> </w:t>
      </w:r>
      <w:proofErr w:type="spellStart"/>
      <w:r w:rsidRPr="00C67537">
        <w:t>Jameel</w:t>
      </w:r>
      <w:proofErr w:type="spellEnd"/>
      <w:r w:rsidRPr="00C67537">
        <w:t xml:space="preserve"> и ведущим мировым разработчиком проектов в области возобновляемых источников энергии, совместно с IFC, EBRD и </w:t>
      </w:r>
      <w:proofErr w:type="spellStart"/>
      <w:r w:rsidRPr="00C67537">
        <w:t>Америбанком</w:t>
      </w:r>
      <w:proofErr w:type="spellEnd"/>
      <w:r w:rsidRPr="00C67537">
        <w:t xml:space="preserve"> успешно завершила сделку по финансированию строительства крупнейшей солнечной электростанции «Масрик-1» промышленного назначения в Армении. Финансирование проекта будет в размере </w:t>
      </w:r>
      <w:proofErr w:type="gramStart"/>
      <w:r w:rsidRPr="00C67537">
        <w:t>до  $</w:t>
      </w:r>
      <w:proofErr w:type="gramEnd"/>
      <w:r w:rsidRPr="00C67537">
        <w:t>38.4 млн в виде нескольких траншей.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 xml:space="preserve">Солнечная электростанция «Масрик-1», мощностью 55 МВт, будет вырабатывать более 128 гигаватт-часов электроэнергии в год по конкурентоспособному тарифу $41,9 за МВт/ч., чтобы снабжать электричеством более 20 000 домов и избегать выброса более 40 000 тонн углерода в год. 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537">
        <w:rPr>
          <w:rFonts w:ascii="Times New Roman" w:hAnsi="Times New Roman" w:cs="Times New Roman"/>
          <w:b/>
          <w:sz w:val="24"/>
          <w:szCs w:val="24"/>
        </w:rPr>
        <w:t>Власти Армении предлагают увеличить мощность автономных солнечных станций</w:t>
      </w:r>
      <w:r w:rsidRPr="00C67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автономных солнечных станций для бизнеса в </w:t>
      </w:r>
      <w:hyperlink r:id="rId12" w:tgtFrame="_blank" w:history="1">
        <w:r w:rsidRPr="00C6753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Армении</w:t>
        </w:r>
      </w:hyperlink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увеличена с 500 киловатт до 2 мегаватт. Проект соответствующих изменений в закон «Об энергетике» составленный министерством территориального управления и инфраструктур, поступил в парламент республики.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предел для домашних солнечных станций составляет 150 киловатт, для бизнеса этот порог в 2017 году был увеличен со 150 до 500 киловатт, сроком на пять лет (то есть до конца 2022 года).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таких станций не только используют электричество из сети, но и сами поставляют его. Если выяснится, что по итогам года владелец больше отправил в сеть, чем получил, то за этот излишек он получает компенсацию. Благодаря этому правилу, в Армении уже появилось несколько сотен таких станций.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по национальной стратегии развития энергетики, до 2024 года предусмотрено довести общую мощность автономных солнечных станций до 100 мегаватт, при этом уже сегодня она превышает 80 мегаватт. С дальнейшим увеличением этих мощностей электросеть может не справиться, поэтому даже нынешний порог в 500 киловатт уставлен временно, до конца 2022 года (станции, установленные до этого, смогут продолжать действовать).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владельцы таких электростанций в течение года сдают в сеть больше, чем получают оттуда, то «Электросети </w:t>
      </w:r>
      <w:hyperlink r:id="rId13" w:tgtFrame="_blank" w:history="1">
        <w:r w:rsidRPr="00C6753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Армении</w:t>
        </w:r>
      </w:hyperlink>
      <w:r w:rsidRPr="00C675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покупают у них этот излишек по цене 22-24 драма за киловатт-час. Это почти столько же, за сколько продают электроэнергию в сеть коммерческие солнечные станции – которым, тем не менее, приходится получать лицензию. Правда, действующий закон предусматривает, что в случае с автономными станциями их мощность не должна превышать примерную мощность электроприборов в доме или на предприятии (чтобы исключить регулярную продажу энергии с таких станций).</w:t>
      </w:r>
    </w:p>
    <w:p w:rsidR="006C5FA9" w:rsidRPr="00C67537" w:rsidRDefault="006C5FA9" w:rsidP="00BF417E">
      <w:pPr>
        <w:pStyle w:val="a3"/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:rsidR="006C5FA9" w:rsidRPr="00C67537" w:rsidRDefault="006C5FA9" w:rsidP="00BF417E">
      <w:pPr>
        <w:pStyle w:val="a3"/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C67537">
        <w:rPr>
          <w:rFonts w:ascii="Times New Roman" w:hAnsi="Times New Roman" w:cs="Times New Roman"/>
          <w:b/>
          <w:bCs/>
          <w:spacing w:val="6"/>
          <w:sz w:val="24"/>
          <w:szCs w:val="24"/>
        </w:rPr>
        <w:t>Республика Беларусь</w:t>
      </w:r>
    </w:p>
    <w:p w:rsidR="006C5FA9" w:rsidRPr="00C67537" w:rsidRDefault="006C5FA9" w:rsidP="00BF417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0" w:name="_Toc70507508"/>
      <w:r w:rsidRPr="00C675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Представитель Беларуси возглавил Департамент энергетики ЕЭК</w:t>
      </w:r>
      <w:bookmarkEnd w:id="50"/>
    </w:p>
    <w:p w:rsidR="006C5FA9" w:rsidRPr="00C67537" w:rsidRDefault="006C5FA9" w:rsidP="00BF417E">
      <w:pPr>
        <w:pStyle w:val="ad"/>
        <w:spacing w:before="0" w:beforeAutospacing="0" w:after="0" w:afterAutospacing="0"/>
        <w:ind w:firstLine="709"/>
        <w:jc w:val="both"/>
      </w:pPr>
      <w:r w:rsidRPr="00C67537">
        <w:t>Представитель Беларуси Вадим Закревский назначен директором Департамента энергетики Евразийской экономической комиссии.</w:t>
      </w:r>
    </w:p>
    <w:p w:rsidR="006C5FA9" w:rsidRPr="00C67537" w:rsidRDefault="006C5FA9" w:rsidP="00BF417E">
      <w:pPr>
        <w:pStyle w:val="ad"/>
        <w:spacing w:before="0" w:beforeAutospacing="0" w:after="0" w:afterAutospacing="0"/>
        <w:ind w:firstLine="709"/>
        <w:jc w:val="both"/>
      </w:pPr>
      <w:r w:rsidRPr="00C67537">
        <w:t>До назначения в ЕЭК Вадим Закревский занимал пост заместителя министра энергетики Беларуси. Он является кандидатом технических наук.</w:t>
      </w:r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70507509"/>
      <w:r w:rsidRPr="00C67537">
        <w:rPr>
          <w:rFonts w:ascii="Times New Roman" w:hAnsi="Times New Roman" w:cs="Times New Roman"/>
          <w:color w:val="auto"/>
          <w:sz w:val="24"/>
          <w:szCs w:val="24"/>
        </w:rPr>
        <w:t>Минская ТЭЦ-5 начала строительство второй очереди пиково-резервных мощностей</w:t>
      </w:r>
      <w:bookmarkEnd w:id="51"/>
    </w:p>
    <w:p w:rsidR="006C5FA9" w:rsidRPr="00C67537" w:rsidRDefault="006C5FA9" w:rsidP="00BF417E">
      <w:pPr>
        <w:pStyle w:val="ad"/>
        <w:spacing w:before="0" w:beforeAutospacing="0" w:after="0" w:afterAutospacing="0"/>
        <w:ind w:firstLine="709"/>
        <w:jc w:val="both"/>
      </w:pPr>
      <w:r w:rsidRPr="00C67537">
        <w:t>В филиале «ТЭЦ-5» РУП «</w:t>
      </w:r>
      <w:proofErr w:type="spellStart"/>
      <w:r w:rsidRPr="00C67537">
        <w:t>Минскэнерго</w:t>
      </w:r>
      <w:proofErr w:type="spellEnd"/>
      <w:r w:rsidRPr="00C67537">
        <w:t>» в связи с вводом в строй Белорусской АЭС началось строительство II очереди пиково-резервных мощностей (ПРЭИ).</w:t>
      </w:r>
    </w:p>
    <w:p w:rsidR="006C5FA9" w:rsidRPr="00C67537" w:rsidRDefault="006C5FA9" w:rsidP="00BF417E">
      <w:pPr>
        <w:pStyle w:val="ad"/>
        <w:spacing w:before="0" w:beforeAutospacing="0" w:after="0" w:afterAutospacing="0"/>
        <w:ind w:firstLine="709"/>
        <w:jc w:val="both"/>
      </w:pPr>
      <w:r w:rsidRPr="00C67537">
        <w:t xml:space="preserve">На ТЭЦ-5 также продолжаются работы по модернизации отрытого распределительного устройства на 330 </w:t>
      </w:r>
      <w:proofErr w:type="spellStart"/>
      <w:r w:rsidRPr="00C67537">
        <w:t>кВ</w:t>
      </w:r>
      <w:proofErr w:type="spellEnd"/>
      <w:r w:rsidRPr="00C67537">
        <w:t xml:space="preserve"> и 110 </w:t>
      </w:r>
      <w:proofErr w:type="spellStart"/>
      <w:r w:rsidRPr="00C67537">
        <w:t>кВ</w:t>
      </w:r>
      <w:proofErr w:type="spellEnd"/>
      <w:r w:rsidRPr="00C67537">
        <w:t xml:space="preserve"> на I очереди строительства ПРЭИ. Ведется монтаж трансформатора. Окончание работ запланировано на июль.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37">
        <w:rPr>
          <w:rFonts w:ascii="Times New Roman" w:hAnsi="Times New Roman" w:cs="Times New Roman"/>
          <w:sz w:val="24"/>
          <w:szCs w:val="24"/>
        </w:rPr>
        <w:t>При рассмотрении вопроса об обновлении информация по проведению испытаний работы энергосистем стран Балтии в изолированном режиме, операторы передающих систем Балтии проинформировали белорусскую и российскую стороны о переносе сроков проведения испытаний с отделением энергосистем стран Балтии на изолированную работу на конец 2024 - начало 2025 года в течение двух недель. Изначально проведение испытаний планировалось в 2019 году. Операторы передающих систем Балтии отметили готовность своевременно оповестить стороны о более точных сроках проведения испытаний.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37">
        <w:rPr>
          <w:rFonts w:ascii="Times New Roman" w:hAnsi="Times New Roman" w:cs="Times New Roman"/>
          <w:b/>
          <w:sz w:val="24"/>
          <w:szCs w:val="24"/>
        </w:rPr>
        <w:t>Республика Казахстан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_Toc70507510"/>
      <w:r w:rsidRPr="00C6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финансировании БРК в </w:t>
      </w:r>
      <w:proofErr w:type="spellStart"/>
      <w:r w:rsidRPr="00C6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Алматинской</w:t>
      </w:r>
      <w:proofErr w:type="spellEnd"/>
      <w:r w:rsidRPr="00C6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построена еще одна СЭС</w:t>
      </w:r>
      <w:bookmarkEnd w:id="52"/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«Каскелен 50 МВт» производится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фотовольтаическим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преобразования солнечной энергии в электрическую с использованием поликристаллических кремниевых солнечных панелей суммарной мощностью 50 МВт на стороне постоянного тока. На участке СЭС, площадью 140 га, таких панелей насчитывается около 140 тысяч единиц.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проекта составила 13,37 млрд тенге, 80% из которых предоставлены государственным институтом развития АО «Банк Развития Казахстана» (БРК, дочерняя структура Холдинга «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 виде займа, остальные 20% - собственные средства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реализатора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ТОО «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Mistral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момент, помимо СЭС «Каскелен 50 МВт», в копилке проектов Банка Развития находятся 2 солнечные электростанции: СЭС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Nurgisa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100 МВт вблизи города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Капшагай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фотовольтаическая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электростанция «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Жылга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мощностью 20 МВт в Туркестанской области.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3" w:name="_Toc70507511"/>
      <w:r w:rsidRPr="00C6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 проведет первые аукционы на строительство маневренной генерации в конце 2021 года</w:t>
      </w:r>
      <w:bookmarkEnd w:id="53"/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энергетики в конце 2021 года планирует провести аукционные торги по отбору проектов строительства маневренных мощностей, сообщил министр энергетики Н. </w:t>
      </w:r>
      <w:proofErr w:type="spellStart"/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Ногаев</w:t>
      </w:r>
      <w:proofErr w:type="spellEnd"/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расширенной коллегии ведомства. 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сообщалось, в текущем году Минэнерго </w:t>
      </w:r>
      <w:hyperlink r:id="rId14" w:tgtFrame="_blank" w:tooltip="https://kursiv.kz/news/otraslevye-temy/2021-02/v-kazakhstane-postroyat-manevrennye-moschnosti-na-1500-mvt-k-2025-godu (click to open in a new window)" w:history="1">
        <w:r w:rsidRPr="00C675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планирует провести</w:t>
        </w:r>
      </w:hyperlink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аукционные торги на строительство четырех парогазовых установок (ПГУ) с вводом в 2025 году на юге Казахстана. Это ПГУ в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220 МВт, Туркестанской – на 250 МВт,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400 МВт и Алматы – 450 МВт.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главы Казахстанской электроэнергетической ассоциации </w:t>
      </w:r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Куанышбаева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Казахстан нуждается в строительстве маневренных мощностей как минимум на 1–1,5 тыс. МВт.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4" w:name="_Toc70507512"/>
      <w:r w:rsidRPr="00C6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тарифов на электроэнергию разъяснили в Минэнерго</w:t>
      </w:r>
      <w:bookmarkEnd w:id="54"/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вторник, 9 марта, появилась информация о том, что в Казахстане </w:t>
      </w:r>
      <w:hyperlink r:id="rId15" w:tgtFrame="_blank" w:history="1">
        <w:r w:rsidRPr="00C6753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могут повысить предельные тарифы на электроэнергию</w:t>
        </w:r>
      </w:hyperlink>
      <w:r w:rsidRPr="00C6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Минэнерго прокомментировали эту новость.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 пояснили, что в сентябре 2020 года им поступила заявка от 37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энергопроизводящих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(из 45, по которым устанавливаются предельные тарифы) на корректировку предельных тарифов электрической энергии.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развития электроэнергетики МЭ РК А.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Дарибаев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в 2020 году и с начала 2021 года увеличились независящие от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энергопроизводящих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следующие затраты: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стоимости топлива (цена угля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Каражыра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8,6%, цена угля ТОО "Богатырь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Комир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" увеличена в 2020 году на 9,9%, затраты по его транспортировке увеличены на 7%);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обязательной покупки электроэнергии, производимой ВИЭ (в 2021 году объем увеличен на 68% в сравнении с 2020 годом, затраты на ВИЭ увеличены на 49%);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затрат по обязательным платежам в бюджет, в связи с увеличением МРП (с 2 778 тенге в 2020 году до 2 917 тенге в 2021 году);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транспортировки газа;</w:t>
      </w:r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затрат на проведение ремонтных работ.</w:t>
      </w:r>
    </w:p>
    <w:p w:rsidR="006C5FA9" w:rsidRPr="00C67537" w:rsidRDefault="006C5FA9" w:rsidP="00BF417E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5FA9" w:rsidRPr="00C67537" w:rsidRDefault="006C5FA9" w:rsidP="00BF417E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5" w:name="_Toc70507513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Почему казахстанские власти продают </w:t>
      </w:r>
      <w:proofErr w:type="spellStart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>Усть-Каменогорскую</w:t>
      </w:r>
      <w:proofErr w:type="spellEnd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proofErr w:type="spellStart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>Шульбинскую</w:t>
      </w:r>
      <w:proofErr w:type="spellEnd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ГЭС</w:t>
      </w:r>
      <w:bookmarkEnd w:id="55"/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bCs/>
        </w:rPr>
      </w:pPr>
      <w:r w:rsidRPr="00C67537">
        <w:rPr>
          <w:b/>
          <w:bCs/>
        </w:rPr>
        <w:t xml:space="preserve">В феврале этого года правительство Казахстана опубликовало постановление, в котором говорится о продаже государственных долей </w:t>
      </w:r>
      <w:proofErr w:type="spellStart"/>
      <w:r w:rsidRPr="00C67537">
        <w:rPr>
          <w:b/>
          <w:bCs/>
        </w:rPr>
        <w:t>Усть-Каменогорской</w:t>
      </w:r>
      <w:proofErr w:type="spellEnd"/>
      <w:r w:rsidRPr="00C67537">
        <w:rPr>
          <w:b/>
          <w:bCs/>
        </w:rPr>
        <w:t xml:space="preserve"> и </w:t>
      </w:r>
      <w:proofErr w:type="spellStart"/>
      <w:r w:rsidRPr="00C67537">
        <w:rPr>
          <w:b/>
          <w:bCs/>
        </w:rPr>
        <w:t>Шульбинской</w:t>
      </w:r>
      <w:proofErr w:type="spellEnd"/>
      <w:r w:rsidRPr="00C67537">
        <w:rPr>
          <w:b/>
          <w:bCs/>
        </w:rPr>
        <w:t xml:space="preserve"> гидроэлектростанций (ГЭС).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C67537">
        <w:t xml:space="preserve">Премьер-министр Аскар Мамин поручил провести двухэтапный конкурс по продаже 100% государственных долей участия в уставных капиталах товариществ с ограниченной ответственностью «АЭС </w:t>
      </w:r>
      <w:proofErr w:type="spellStart"/>
      <w:r w:rsidRPr="00C67537">
        <w:t>Усть-Каменогорская</w:t>
      </w:r>
      <w:proofErr w:type="spellEnd"/>
      <w:r w:rsidRPr="00C67537">
        <w:t xml:space="preserve"> ГЭС» и «АЭС </w:t>
      </w:r>
      <w:proofErr w:type="spellStart"/>
      <w:r w:rsidRPr="00C67537">
        <w:t>Шульбинская</w:t>
      </w:r>
      <w:proofErr w:type="spellEnd"/>
      <w:r w:rsidRPr="00C67537">
        <w:t xml:space="preserve"> ГЭС». 9 февраля он подписал соответствующее постановление.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37">
        <w:rPr>
          <w:rFonts w:ascii="Times New Roman" w:hAnsi="Times New Roman" w:cs="Times New Roman"/>
          <w:sz w:val="24"/>
          <w:szCs w:val="24"/>
        </w:rPr>
        <w:t>Постановление вводится в действие со дня его подписания. Данные объекты вошли в комплексный план приватизации на 2021-2025. Работы по оценке объектов начались 11 марта 2021. Определиться со стартовой стоимостью намечено к 25 марта. Торги будут проводиться 4 мая, 17 мая будет заключен договор купли-продажи, сообщается на сайте privatization.gosreestr.kz.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537">
        <w:rPr>
          <w:rFonts w:ascii="Times New Roman" w:hAnsi="Times New Roman" w:cs="Times New Roman"/>
          <w:b/>
          <w:sz w:val="24"/>
          <w:szCs w:val="24"/>
        </w:rPr>
        <w:t>Кыргызская</w:t>
      </w:r>
      <w:proofErr w:type="spellEnd"/>
      <w:r w:rsidRPr="00C67537">
        <w:rPr>
          <w:rFonts w:ascii="Times New Roman" w:hAnsi="Times New Roman" w:cs="Times New Roman"/>
          <w:b/>
          <w:sz w:val="24"/>
          <w:szCs w:val="24"/>
        </w:rPr>
        <w:t xml:space="preserve"> Республика</w:t>
      </w:r>
    </w:p>
    <w:p w:rsidR="006C5FA9" w:rsidRPr="00C67537" w:rsidRDefault="006C5FA9" w:rsidP="00BF41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56" w:name="_Toc70507514"/>
      <w:r w:rsidRPr="00C675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проекту CASA-1000 Кыргызстан будет экспортировать 40% объема электроэнергии, — НЭСК</w:t>
      </w:r>
      <w:bookmarkEnd w:id="56"/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CASA-1000 Кыргызстан будет экспортировать 40% объема электроэнергии, а 60% — Таджикистан, сообщил исполнительный директор по реализации проектов ОАО «Национальная электрическая сеть Кыргызстана» А.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Тюменбаев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цена электроэнергии для Пакистана составит 5,15 цента за 1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(себестоимость для получения ОАО «Электрические станции»), для Афганистана цена такая же.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общая цена со всеми затратами составит 9,41 цента для Пакистана, сказал он.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57" w:name="_Toc70507515"/>
      <w:r w:rsidRPr="00C675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 Казахстаном уже достигнута договорённость о поставке 900 млн </w:t>
      </w:r>
      <w:proofErr w:type="spellStart"/>
      <w:r w:rsidRPr="00C675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кВтч</w:t>
      </w:r>
      <w:proofErr w:type="spellEnd"/>
      <w:r w:rsidRPr="00C675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электроэнергии, этот объем мы должны вернуть до 2023 года, — министр Р. </w:t>
      </w:r>
      <w:proofErr w:type="spellStart"/>
      <w:r w:rsidRPr="00C675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Казакбаев</w:t>
      </w:r>
      <w:bookmarkEnd w:id="57"/>
      <w:proofErr w:type="spellEnd"/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требуется импорт электроэнергии в объеме 1,5 млрд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ведутся переговоры с узбекской и казахстанской сторонами. Об этом рассказал министр иностранных дел Р.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Казакбаев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Казахстаном уже достигнута договорённость о поставке электроэнергии в объеме до 900 млн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году. Этот же объем электроэнергии будет возвращен Казахстану до 2023 года. В настоящий момент также ведутся переговоры с узбекской стороной. Надеемся, что уполномоченные органы двух стран найдут взаимоприемлемые решения по импорту электроэнергии, в том числе с учетом взаимозависимости наших государств в водно-энергетической сфере», — сказал он.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риск выйти на апрель 2022 года с объемом воды в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Токтогульском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 в 5,5 млрд кубометров, —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Нацэнергохолдинг</w:t>
      </w:r>
      <w:proofErr w:type="spellEnd"/>
    </w:p>
    <w:p w:rsidR="006C5FA9" w:rsidRPr="00C67537" w:rsidRDefault="006C5FA9" w:rsidP="00B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подчеркнул, что в связи с наступлением маловодья в бассейне реки Нарын на сегодняшний день существуют реальные риски по недостаточному накоплению воды в </w:t>
      </w:r>
      <w:proofErr w:type="spellStart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Токтогульском</w:t>
      </w:r>
      <w:proofErr w:type="spellEnd"/>
      <w:r w:rsidRPr="00C6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водохранилище.</w:t>
      </w: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FA9" w:rsidRPr="00C67537" w:rsidRDefault="006C5FA9" w:rsidP="00BF41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C5FA9" w:rsidRPr="00C67537" w:rsidRDefault="006C5FA9" w:rsidP="00BF417E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58" w:name="_Toc70507516"/>
      <w:r w:rsidRPr="00C67537">
        <w:rPr>
          <w:rFonts w:ascii="Times New Roman" w:hAnsi="Times New Roman" w:cs="Times New Roman"/>
          <w:bCs/>
          <w:color w:val="auto"/>
          <w:sz w:val="24"/>
          <w:szCs w:val="24"/>
        </w:rPr>
        <w:t>РФПИ и «</w:t>
      </w:r>
      <w:proofErr w:type="spellStart"/>
      <w:r w:rsidRPr="00C67537">
        <w:rPr>
          <w:rFonts w:ascii="Times New Roman" w:hAnsi="Times New Roman" w:cs="Times New Roman"/>
          <w:bCs/>
          <w:color w:val="auto"/>
          <w:sz w:val="24"/>
          <w:szCs w:val="24"/>
        </w:rPr>
        <w:t>Фортум</w:t>
      </w:r>
      <w:proofErr w:type="spellEnd"/>
      <w:r w:rsidRPr="00C67537">
        <w:rPr>
          <w:rFonts w:ascii="Times New Roman" w:hAnsi="Times New Roman" w:cs="Times New Roman"/>
          <w:bCs/>
          <w:color w:val="auto"/>
          <w:sz w:val="24"/>
          <w:szCs w:val="24"/>
        </w:rPr>
        <w:t>» инвестируют в строительство крупнейшей солнечной электростанции</w:t>
      </w:r>
      <w:bookmarkEnd w:id="58"/>
    </w:p>
    <w:p w:rsidR="006C5FA9" w:rsidRPr="00C67537" w:rsidRDefault="006C5FA9" w:rsidP="00BF4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37">
        <w:rPr>
          <w:rFonts w:ascii="Times New Roman" w:hAnsi="Times New Roman" w:cs="Times New Roman"/>
          <w:sz w:val="24"/>
          <w:szCs w:val="24"/>
        </w:rPr>
        <w:t>Первые поставки электроэнергии на оптовый рынок могут начаться уже в четвертом квартале 2021 года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aps/>
          <w:spacing w:val="15"/>
        </w:rPr>
      </w:pPr>
      <w:r w:rsidRPr="00C67537">
        <w:t>Российский фонд прямых инвестиций (РФПИ) и «</w:t>
      </w:r>
      <w:proofErr w:type="spellStart"/>
      <w:r w:rsidRPr="00C67537">
        <w:t>Фортум</w:t>
      </w:r>
      <w:proofErr w:type="spellEnd"/>
      <w:r w:rsidRPr="00C67537">
        <w:t xml:space="preserve">», ведущая энергетическая компания в Северной Европе и лидер в области возобновляемой энергетики России, инвестируют в проект строительства солнечной электростанции (СЭС) мощностью 116 МВт в Республике Калмыкия. </w:t>
      </w:r>
    </w:p>
    <w:p w:rsidR="006C5FA9" w:rsidRPr="00C67537" w:rsidRDefault="006C5FA9" w:rsidP="00BF417E">
      <w:pPr>
        <w:pStyle w:val="2"/>
        <w:spacing w:before="0" w:line="240" w:lineRule="auto"/>
        <w:ind w:firstLine="709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5FA9" w:rsidRPr="00C67537" w:rsidRDefault="006C5FA9" w:rsidP="00BF417E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9" w:name="_Toc70507517"/>
      <w:r w:rsidRPr="00C67537">
        <w:rPr>
          <w:rFonts w:ascii="Times New Roman" w:hAnsi="Times New Roman" w:cs="Times New Roman"/>
          <w:b/>
          <w:color w:val="auto"/>
          <w:sz w:val="24"/>
          <w:szCs w:val="24"/>
        </w:rPr>
        <w:t>Новые ВИЭ-объекты будут штрафовать за низкую выработку</w:t>
      </w:r>
      <w:bookmarkEnd w:id="59"/>
    </w:p>
    <w:p w:rsidR="006C5FA9" w:rsidRPr="00C67537" w:rsidRDefault="006C5FA9" w:rsidP="00BF417E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67537">
        <w:rPr>
          <w:rStyle w:val="b-articleintro"/>
          <w:bCs/>
          <w:bdr w:val="none" w:sz="0" w:space="0" w:color="auto" w:frame="1"/>
        </w:rPr>
        <w:t>Правительство опубликовало правила новой программы поддержки ВИЭ на 2025–2035 годы, и они оказались неожиданно строгими. По новым требованиям генератор может потерять 30–80% общего платежа при невыполнении плана выработки в первый год работы. За недостаточный объем продаж оборудования за рубеж инвесторам грозит штраф в пределах трети платежа, за низкую локализацию — 75–85%. Правила утверждены, хотя неизвестен денежный объем программы, возмущаются инвесторы. При его снижении, полагают аналитики, часть игроков уйдут с рынка.</w:t>
      </w:r>
    </w:p>
    <w:p w:rsidR="006C5FA9" w:rsidRPr="00C67537" w:rsidRDefault="006C5FA9" w:rsidP="00BF417E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67537">
        <w:t xml:space="preserve">Правительство опубликовало постановление, вводящее правила новой программы поддержки ВИЭ на 2025–2035 годы. Теперь отборы проектов солнечных и ветровых электростанций (СЭС и ВЭС), а также мини-ГЭС до 50 МВт будут проходить по минимальной </w:t>
      </w:r>
      <w:proofErr w:type="spellStart"/>
      <w:r w:rsidRPr="00C67537">
        <w:t>одноставочной</w:t>
      </w:r>
      <w:proofErr w:type="spellEnd"/>
      <w:r w:rsidRPr="00C67537">
        <w:t xml:space="preserve"> цене за киловатт-час (включает капитальные и эксплуатационные затраты). По тому же критерию будут отбираться и проекты СЭС на 2023 и 2024 годы из первой программы поддержки ВИЭ (480 МВт). Первые конкурсы по новым правилам должны пройти до 4 сентября.</w:t>
      </w:r>
    </w:p>
    <w:p w:rsidR="006C5FA9" w:rsidRPr="00C67537" w:rsidRDefault="006C5FA9" w:rsidP="00BF417E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67537">
        <w:t>Постановление также вводит штрафы за невыполнение целевого показателя по экспорту (доля выручки от продажи ВИЭ-оборудования за рубеж в стоимости станции). Для СЭС и ВЭС штраф в 2025–2029 годах составит 10% от гарантированного платежа, в 2030–2032 годах вырастет до 21%, а в 2033–2035 годах достигнет 33%. Постановление увеличивает и штрафы за недостаточную локализацию оборудования ВИЭ-объектов: штраф для СЭС — 85%, для ВЭС и мини-ГЭС — 75%.</w:t>
      </w:r>
    </w:p>
    <w:p w:rsidR="006C5FA9" w:rsidRPr="00C67537" w:rsidRDefault="006C5FA9" w:rsidP="00BF417E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6C5FA9" w:rsidRPr="00C67537" w:rsidRDefault="006C5FA9" w:rsidP="00BF417E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67537">
        <w:rPr>
          <w:b/>
        </w:rPr>
        <w:t xml:space="preserve">Правительство внесло изменения в условия отбора проектов модернизации ТЭС 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>Правительство России опубликовало </w:t>
      </w:r>
      <w:hyperlink r:id="rId16" w:history="1">
        <w:r w:rsidRPr="00C67537">
          <w:rPr>
            <w:rStyle w:val="aa"/>
            <w:color w:val="auto"/>
            <w:u w:val="none"/>
          </w:rPr>
          <w:t>Постановление о внесении изменений Правила оптового рынка электрической энергии и мощности</w:t>
        </w:r>
      </w:hyperlink>
      <w:r w:rsidRPr="00C67537">
        <w:t>, касающееся проектов модернизации тепловых электростанций (ТЭС).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>Согласно Постановлению, срок проведения отбора проектов модернизации ТЭС на 2027 год и дополнительных отборов проектов модернизации с применением инновационного энергетического оборудования на 2027-2029 годы перенесён с 1 апреля на 1 мая 2021 года.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>Предельный размер суммарной мощности проектов модернизации с применением инновационного энергетического оборудования установлен на уровне 1610 МВт по двум ценовым зонам оптового рынка. Таким образом, в целях создания дополнительных мер развития отечественного машиностроения, в том числе газовых турбин большей мощности, Правительством России предусмотрен отбор проектов модернизации ТЭС с применением до двух газовых турбин с мощностью в диапазоне от 65 МВт до 80 МВт, до трёх газовых турбин с мощностью в диапазоне от 100 МВт до 130 МВт и до четырёх газовых турбин с мощностью в диапазоне от 150 МВт до 190 МВт в указанные сроки их реализации. Принятое решение позволит снизить стоимостную нагрузку на потребителей и при этом обеспечить поддержку отечественного энергомашиностроения.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>Также Постановлением предоставлена возможность вывода генерирующих объектов (одного или нескольких) из эксплуатации на одной электростанции и ввода новых объектов на иной электростанции собственника, расположенной в той же ценовой зоне оптового рынка.</w:t>
      </w:r>
    </w:p>
    <w:p w:rsidR="006C5FA9" w:rsidRPr="00C67537" w:rsidRDefault="006C5FA9" w:rsidP="00BF417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67537">
        <w:t>Предельный размер капитальных затрат для проектов модернизации ТЭС с применением инновационных газовых турбин мощностью не менее 100 МВт установлен на уровне 73 437 рублей за 1 кВт (индексация значения 70 000 рублей за 1 кВт, установленного для отбора в 2020 году), мощностью менее 100 МВт – 100 000 рублей за 1 кВт.</w:t>
      </w:r>
    </w:p>
    <w:p w:rsidR="001338ED" w:rsidRPr="0021630F" w:rsidRDefault="001338ED" w:rsidP="00BF417E">
      <w:pPr>
        <w:pStyle w:val="ad"/>
        <w:shd w:val="clear" w:color="auto" w:fill="FFFFFF"/>
        <w:spacing w:before="0" w:beforeAutospacing="0" w:after="0" w:afterAutospacing="0"/>
        <w:jc w:val="both"/>
      </w:pPr>
    </w:p>
    <w:sectPr w:rsidR="001338ED" w:rsidRPr="0021630F" w:rsidSect="00EC42B5">
      <w:headerReference w:type="default" r:id="rId17"/>
      <w:footerReference w:type="default" r:id="rId18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29" w:rsidRDefault="00A16829" w:rsidP="00AD7754">
      <w:pPr>
        <w:spacing w:after="0" w:line="240" w:lineRule="auto"/>
      </w:pPr>
      <w:r>
        <w:separator/>
      </w:r>
    </w:p>
  </w:endnote>
  <w:endnote w:type="continuationSeparator" w:id="0">
    <w:p w:rsidR="00A16829" w:rsidRDefault="00A16829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A16829" w:rsidRDefault="00A168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16829" w:rsidRDefault="00A168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29" w:rsidRDefault="00A16829" w:rsidP="00AD7754">
      <w:pPr>
        <w:spacing w:after="0" w:line="240" w:lineRule="auto"/>
      </w:pPr>
      <w:r>
        <w:separator/>
      </w:r>
    </w:p>
  </w:footnote>
  <w:footnote w:type="continuationSeparator" w:id="0">
    <w:p w:rsidR="00A16829" w:rsidRDefault="00A16829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A16829" w:rsidTr="009437D6">
      <w:tc>
        <w:tcPr>
          <w:tcW w:w="2235" w:type="dxa"/>
        </w:tcPr>
        <w:p w:rsidR="00A16829" w:rsidRDefault="00A16829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A16829" w:rsidRDefault="00A1682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A16829" w:rsidRDefault="00A1682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A16829" w:rsidRPr="009437D6" w:rsidRDefault="00A16829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531"/>
    <w:multiLevelType w:val="hybridMultilevel"/>
    <w:tmpl w:val="8CDC5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EC4341"/>
    <w:multiLevelType w:val="hybridMultilevel"/>
    <w:tmpl w:val="184C8E70"/>
    <w:lvl w:ilvl="0" w:tplc="717C2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F60C18"/>
    <w:multiLevelType w:val="hybridMultilevel"/>
    <w:tmpl w:val="4E9E8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DC7EB6"/>
    <w:multiLevelType w:val="hybridMultilevel"/>
    <w:tmpl w:val="C0B6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8F0F66"/>
    <w:multiLevelType w:val="hybridMultilevel"/>
    <w:tmpl w:val="01E4E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A239B2"/>
    <w:multiLevelType w:val="multilevel"/>
    <w:tmpl w:val="60B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12BB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B7AEB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338ED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07DB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4D0E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7B"/>
    <w:rsid w:val="001E69C3"/>
    <w:rsid w:val="001F20CE"/>
    <w:rsid w:val="001F2459"/>
    <w:rsid w:val="001F404F"/>
    <w:rsid w:val="001F6F4F"/>
    <w:rsid w:val="00210D30"/>
    <w:rsid w:val="00213A8D"/>
    <w:rsid w:val="0021630F"/>
    <w:rsid w:val="00217D54"/>
    <w:rsid w:val="00223C5D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0D5"/>
    <w:rsid w:val="00285ACB"/>
    <w:rsid w:val="00295877"/>
    <w:rsid w:val="002A37CB"/>
    <w:rsid w:val="002A3F39"/>
    <w:rsid w:val="002B2269"/>
    <w:rsid w:val="002C14BF"/>
    <w:rsid w:val="002C4506"/>
    <w:rsid w:val="002C5519"/>
    <w:rsid w:val="002C78E7"/>
    <w:rsid w:val="002D2E71"/>
    <w:rsid w:val="002D4807"/>
    <w:rsid w:val="002D6BEB"/>
    <w:rsid w:val="002E17D6"/>
    <w:rsid w:val="002E3ABD"/>
    <w:rsid w:val="002E6CD9"/>
    <w:rsid w:val="002F0073"/>
    <w:rsid w:val="002F18C0"/>
    <w:rsid w:val="002F20CC"/>
    <w:rsid w:val="002F29CC"/>
    <w:rsid w:val="003021BF"/>
    <w:rsid w:val="00302337"/>
    <w:rsid w:val="00302DA3"/>
    <w:rsid w:val="00303E26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09A4"/>
    <w:rsid w:val="003417C6"/>
    <w:rsid w:val="00343B5A"/>
    <w:rsid w:val="00344536"/>
    <w:rsid w:val="00346CFD"/>
    <w:rsid w:val="003507C0"/>
    <w:rsid w:val="00350BC9"/>
    <w:rsid w:val="003521D1"/>
    <w:rsid w:val="003527BF"/>
    <w:rsid w:val="0035461D"/>
    <w:rsid w:val="003570CA"/>
    <w:rsid w:val="003625A7"/>
    <w:rsid w:val="0036365D"/>
    <w:rsid w:val="00363B4B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0538E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52FF3"/>
    <w:rsid w:val="00454043"/>
    <w:rsid w:val="004550F2"/>
    <w:rsid w:val="00457F45"/>
    <w:rsid w:val="00461EC4"/>
    <w:rsid w:val="00462247"/>
    <w:rsid w:val="00465C07"/>
    <w:rsid w:val="00470FD3"/>
    <w:rsid w:val="0047172D"/>
    <w:rsid w:val="00476D7B"/>
    <w:rsid w:val="00485E7B"/>
    <w:rsid w:val="00493051"/>
    <w:rsid w:val="00495B86"/>
    <w:rsid w:val="00495FA2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35DC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86AF8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1A16"/>
    <w:rsid w:val="005D3780"/>
    <w:rsid w:val="005D3AAA"/>
    <w:rsid w:val="005E30D5"/>
    <w:rsid w:val="005E65ED"/>
    <w:rsid w:val="005E794F"/>
    <w:rsid w:val="005F04DD"/>
    <w:rsid w:val="005F127E"/>
    <w:rsid w:val="005F2719"/>
    <w:rsid w:val="005F6A67"/>
    <w:rsid w:val="00600B80"/>
    <w:rsid w:val="0060528E"/>
    <w:rsid w:val="00615B56"/>
    <w:rsid w:val="00620733"/>
    <w:rsid w:val="00623E43"/>
    <w:rsid w:val="00633669"/>
    <w:rsid w:val="006338AC"/>
    <w:rsid w:val="006348F4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73496"/>
    <w:rsid w:val="006808D0"/>
    <w:rsid w:val="00681D7C"/>
    <w:rsid w:val="00682876"/>
    <w:rsid w:val="0068431E"/>
    <w:rsid w:val="00684AE4"/>
    <w:rsid w:val="00684BAE"/>
    <w:rsid w:val="0068656F"/>
    <w:rsid w:val="00687FC9"/>
    <w:rsid w:val="00691F19"/>
    <w:rsid w:val="006A0785"/>
    <w:rsid w:val="006A2723"/>
    <w:rsid w:val="006A3A88"/>
    <w:rsid w:val="006A4A69"/>
    <w:rsid w:val="006A740E"/>
    <w:rsid w:val="006B060A"/>
    <w:rsid w:val="006B0CEA"/>
    <w:rsid w:val="006B0E95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A9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408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524"/>
    <w:rsid w:val="00794953"/>
    <w:rsid w:val="007A0FD1"/>
    <w:rsid w:val="007A552A"/>
    <w:rsid w:val="007A7BD1"/>
    <w:rsid w:val="007A7C5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6813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67C14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C76C2"/>
    <w:rsid w:val="008D1FF5"/>
    <w:rsid w:val="008D1FF8"/>
    <w:rsid w:val="008E6C08"/>
    <w:rsid w:val="008F0834"/>
    <w:rsid w:val="008F33E4"/>
    <w:rsid w:val="008F5437"/>
    <w:rsid w:val="008F6ECD"/>
    <w:rsid w:val="008F728C"/>
    <w:rsid w:val="00900409"/>
    <w:rsid w:val="009025E2"/>
    <w:rsid w:val="009125D1"/>
    <w:rsid w:val="00914769"/>
    <w:rsid w:val="00916401"/>
    <w:rsid w:val="009165DF"/>
    <w:rsid w:val="009165E4"/>
    <w:rsid w:val="00932394"/>
    <w:rsid w:val="00934661"/>
    <w:rsid w:val="0093560C"/>
    <w:rsid w:val="00935771"/>
    <w:rsid w:val="00936844"/>
    <w:rsid w:val="009373CD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752D1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1698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9F04C2"/>
    <w:rsid w:val="00A001EE"/>
    <w:rsid w:val="00A0438E"/>
    <w:rsid w:val="00A067AB"/>
    <w:rsid w:val="00A10559"/>
    <w:rsid w:val="00A11161"/>
    <w:rsid w:val="00A11183"/>
    <w:rsid w:val="00A11C70"/>
    <w:rsid w:val="00A1434F"/>
    <w:rsid w:val="00A15D30"/>
    <w:rsid w:val="00A16829"/>
    <w:rsid w:val="00A208FB"/>
    <w:rsid w:val="00A23008"/>
    <w:rsid w:val="00A23548"/>
    <w:rsid w:val="00A32670"/>
    <w:rsid w:val="00A3310F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1FE3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427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0A19"/>
    <w:rsid w:val="00B116AC"/>
    <w:rsid w:val="00B1307B"/>
    <w:rsid w:val="00B16DC3"/>
    <w:rsid w:val="00B17273"/>
    <w:rsid w:val="00B17590"/>
    <w:rsid w:val="00B17665"/>
    <w:rsid w:val="00B179B3"/>
    <w:rsid w:val="00B205A6"/>
    <w:rsid w:val="00B205B5"/>
    <w:rsid w:val="00B244C2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6B4D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158D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000"/>
    <w:rsid w:val="00BD4E75"/>
    <w:rsid w:val="00BD6322"/>
    <w:rsid w:val="00BD648D"/>
    <w:rsid w:val="00BD7175"/>
    <w:rsid w:val="00BD7F80"/>
    <w:rsid w:val="00BE0F2B"/>
    <w:rsid w:val="00BE1470"/>
    <w:rsid w:val="00BE2DD3"/>
    <w:rsid w:val="00BE7C0C"/>
    <w:rsid w:val="00BF2E27"/>
    <w:rsid w:val="00BF417E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1172"/>
    <w:rsid w:val="00C44CE6"/>
    <w:rsid w:val="00C45458"/>
    <w:rsid w:val="00C45BFF"/>
    <w:rsid w:val="00C46649"/>
    <w:rsid w:val="00C509B9"/>
    <w:rsid w:val="00C530EA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4F6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3B42"/>
    <w:rsid w:val="00CF4FDB"/>
    <w:rsid w:val="00CF62E6"/>
    <w:rsid w:val="00CF64DA"/>
    <w:rsid w:val="00CF6711"/>
    <w:rsid w:val="00D04771"/>
    <w:rsid w:val="00D06266"/>
    <w:rsid w:val="00D11B1F"/>
    <w:rsid w:val="00D11B94"/>
    <w:rsid w:val="00D13F60"/>
    <w:rsid w:val="00D14364"/>
    <w:rsid w:val="00D1483A"/>
    <w:rsid w:val="00D14E82"/>
    <w:rsid w:val="00D16459"/>
    <w:rsid w:val="00D309A9"/>
    <w:rsid w:val="00D36832"/>
    <w:rsid w:val="00D4090E"/>
    <w:rsid w:val="00D446CD"/>
    <w:rsid w:val="00D479CD"/>
    <w:rsid w:val="00D52355"/>
    <w:rsid w:val="00D53102"/>
    <w:rsid w:val="00D53D13"/>
    <w:rsid w:val="00D5557E"/>
    <w:rsid w:val="00D55CCA"/>
    <w:rsid w:val="00D5619F"/>
    <w:rsid w:val="00D57B07"/>
    <w:rsid w:val="00D618E9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D538F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2412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10EE"/>
    <w:rsid w:val="00E628B9"/>
    <w:rsid w:val="00E62D3B"/>
    <w:rsid w:val="00E62DD4"/>
    <w:rsid w:val="00E62F32"/>
    <w:rsid w:val="00E63E04"/>
    <w:rsid w:val="00E644FC"/>
    <w:rsid w:val="00E64F87"/>
    <w:rsid w:val="00E72279"/>
    <w:rsid w:val="00E77C53"/>
    <w:rsid w:val="00E80479"/>
    <w:rsid w:val="00E8165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0B1"/>
    <w:rsid w:val="00EA7B25"/>
    <w:rsid w:val="00EB04ED"/>
    <w:rsid w:val="00EB3E00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2AD8"/>
    <w:rsid w:val="00EF4AE4"/>
    <w:rsid w:val="00EF5889"/>
    <w:rsid w:val="00EF6EFC"/>
    <w:rsid w:val="00F01E7E"/>
    <w:rsid w:val="00F02413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2FD5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0140"/>
    <w:rsid w:val="00FB2C11"/>
    <w:rsid w:val="00FB554A"/>
    <w:rsid w:val="00FB6356"/>
    <w:rsid w:val="00FD0E52"/>
    <w:rsid w:val="00FD596B"/>
    <w:rsid w:val="00FD6F9F"/>
    <w:rsid w:val="00FD7683"/>
    <w:rsid w:val="00FE37D0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0012BB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  <w:style w:type="character" w:customStyle="1" w:styleId="extended-textshort">
    <w:name w:val="extended-text__short"/>
    <w:basedOn w:val="a0"/>
    <w:rsid w:val="0021630F"/>
  </w:style>
  <w:style w:type="paragraph" w:customStyle="1" w:styleId="currentboxtext">
    <w:name w:val="current_box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1630F"/>
  </w:style>
  <w:style w:type="paragraph" w:customStyle="1" w:styleId="info">
    <w:name w:val="info"/>
    <w:basedOn w:val="a"/>
    <w:rsid w:val="006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armeniasputnik.am/tags/keyword_news_armeni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armeniasputnik.am/tags/keyword_news_armeni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103190002?index=0&amp;rangeSize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www.zakon.kz/5061243-v-kazahstane-planiruyut-povysit-tarify.html" TargetMode="External"/><Relationship Id="rId10" Type="http://schemas.openxmlformats.org/officeDocument/2006/relationships/hyperlink" Target="http://www.stat.gov.k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kursiv.kz/news/otraslevye-temy/2021-02/v-kazakhstane-postroyat-manevrennye-moschnosti-na-1500-mvt-k-2025-go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sus\Desktop\&#1080;&#1088;&#1072;\12.04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90244179766338E-2"/>
          <c:y val="2.8479242911537469E-2"/>
          <c:w val="0.96988727128533392"/>
          <c:h val="0.9271743003955491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1965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-14,7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23E-3"/>
                  <c:y val="-1.4786884033861965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78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-4,7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67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-2,3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34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440545635115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4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687E-3"/>
                  <c:y val="-3.75586854460093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6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1716E-3"/>
                  <c:y val="-1.4786884033861965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392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6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171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2.8757854766371244E-2"/>
                  <c:y val="-5.63529720180625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5571249552181954E-2"/>
                  <c:y val="5.2567392351729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9589141111435E-3"/>
                  <c:y val="4.2959864614134949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'[eks обл.xls]рус'!$A$3:$A$19</c:f>
              <c:strCache>
                <c:ptCount val="17"/>
                <c:pt idx="6">
                  <c:v>Павлодарская</c:v>
                </c:pt>
                <c:pt idx="7">
                  <c:v>Жамбылская</c:v>
                </c:pt>
                <c:pt idx="8">
                  <c:v>Актюбинская</c:v>
                </c:pt>
                <c:pt idx="9">
                  <c:v>Восточно-Казахстанская</c:v>
                </c:pt>
                <c:pt idx="10">
                  <c:v>Костанайская</c:v>
                </c:pt>
                <c:pt idx="11">
                  <c:v>Акмолинская</c:v>
                </c:pt>
                <c:pt idx="12">
                  <c:v>Северо-Казахстанская</c:v>
                </c:pt>
                <c:pt idx="13">
                  <c:v>г. Шымкент</c:v>
                </c:pt>
                <c:pt idx="14">
                  <c:v>Алматинская</c:v>
                </c:pt>
                <c:pt idx="15">
                  <c:v>г. Алматы</c:v>
                </c:pt>
                <c:pt idx="16">
                  <c:v>г. Нур-Султан</c:v>
                </c:pt>
              </c:strCache>
            </c:strRef>
          </c:cat>
          <c:val>
            <c:numRef>
              <c:f>'[eks обл.xls]рус'!$B$3:$B$19</c:f>
              <c:numCache>
                <c:formatCode>0.0</c:formatCode>
                <c:ptCount val="17"/>
                <c:pt idx="0">
                  <c:v>-14.700000000000003</c:v>
                </c:pt>
                <c:pt idx="1">
                  <c:v>-7.4000000000000057</c:v>
                </c:pt>
                <c:pt idx="2">
                  <c:v>-4.7000000000000028</c:v>
                </c:pt>
                <c:pt idx="3">
                  <c:v>-2.2999999999999972</c:v>
                </c:pt>
                <c:pt idx="4">
                  <c:v>-0.90000000000000568</c:v>
                </c:pt>
                <c:pt idx="5">
                  <c:v>-0.59999999999999432</c:v>
                </c:pt>
                <c:pt idx="6">
                  <c:v>3.7000000000000028</c:v>
                </c:pt>
                <c:pt idx="7">
                  <c:v>7.2999999999999972</c:v>
                </c:pt>
                <c:pt idx="8">
                  <c:v>7.2999999999999972</c:v>
                </c:pt>
                <c:pt idx="9">
                  <c:v>8.0999999999999943</c:v>
                </c:pt>
                <c:pt idx="10">
                  <c:v>8.5999999999999943</c:v>
                </c:pt>
                <c:pt idx="11">
                  <c:v>9.0999999999999943</c:v>
                </c:pt>
                <c:pt idx="12">
                  <c:v>10.200000000000003</c:v>
                </c:pt>
                <c:pt idx="13">
                  <c:v>12.700000000000003</c:v>
                </c:pt>
                <c:pt idx="14">
                  <c:v>14.799999999999997</c:v>
                </c:pt>
                <c:pt idx="15">
                  <c:v>18.299999999999997</c:v>
                </c:pt>
                <c:pt idx="16">
                  <c:v>25.299999999999997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5772408"/>
        <c:axId val="635768880"/>
      </c:barChart>
      <c:catAx>
        <c:axId val="635772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35768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35768880"/>
        <c:scaling>
          <c:orientation val="minMax"/>
          <c:max val="30"/>
          <c:min val="-20"/>
        </c:scaling>
        <c:delete val="0"/>
        <c:axPos val="b"/>
        <c:numFmt formatCode="0.0" sourceLinked="1"/>
        <c:majorTickMark val="out"/>
        <c:minorTickMark val="none"/>
        <c:tickLblPos val="none"/>
        <c:crossAx val="635772408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0.41767</cdr:x>
      <cdr:y>0.62514</cdr:y>
    </cdr:from>
    <cdr:to>
      <cdr:x>0.58124</cdr:x>
      <cdr:y>0.669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0451" y="2117559"/>
          <a:ext cx="865666" cy="148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0.4188</cdr:x>
      <cdr:y>0.85211</cdr:y>
    </cdr:from>
    <cdr:to>
      <cdr:x>0.61848</cdr:x>
      <cdr:y>0.89597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6432" y="2886376"/>
          <a:ext cx="1056772" cy="148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Мангистауская</a:t>
          </a:r>
        </a:p>
      </cdr:txBody>
    </cdr:sp>
  </cdr:relSizeAnchor>
  <cdr:relSizeAnchor xmlns:cdr="http://schemas.openxmlformats.org/drawingml/2006/chartDrawing">
    <cdr:from>
      <cdr:x>0.41655</cdr:x>
      <cdr:y>0.74296</cdr:y>
    </cdr:from>
    <cdr:to>
      <cdr:x>0.58012</cdr:x>
      <cdr:y>0.78682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4524" y="2516649"/>
          <a:ext cx="865666" cy="148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Туркестанская</a:t>
          </a:r>
        </a:p>
      </cdr:txBody>
    </cdr:sp>
  </cdr:relSizeAnchor>
  <cdr:relSizeAnchor xmlns:cdr="http://schemas.openxmlformats.org/drawingml/2006/chartDrawing">
    <cdr:from>
      <cdr:x>0.42074</cdr:x>
      <cdr:y>0.90043</cdr:y>
    </cdr:from>
    <cdr:to>
      <cdr:x>0.58431</cdr:x>
      <cdr:y>0.94429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7929" y="2391162"/>
          <a:ext cx="866146" cy="1164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0.41813</cdr:x>
      <cdr:y>0.68582</cdr:y>
    </cdr:from>
    <cdr:to>
      <cdr:x>0.61781</cdr:x>
      <cdr:y>0.72968</cdr:y>
    </cdr:to>
    <cdr:sp macro="" textlink="">
      <cdr:nvSpPr>
        <cdr:cNvPr id="10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2887" y="2323094"/>
          <a:ext cx="1056772" cy="148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Карагандинская</a:t>
          </a:r>
        </a:p>
      </cdr:txBody>
    </cdr:sp>
  </cdr:relSizeAnchor>
  <cdr:relSizeAnchor xmlns:cdr="http://schemas.openxmlformats.org/drawingml/2006/chartDrawing">
    <cdr:from>
      <cdr:x>0.41767</cdr:x>
      <cdr:y>0.79577</cdr:y>
    </cdr:from>
    <cdr:to>
      <cdr:x>0.63766</cdr:x>
      <cdr:y>0.87667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0423" y="2695525"/>
          <a:ext cx="1164260" cy="2740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Западно-Казахстанская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E315-F873-4EEB-BCB1-EC9436E0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19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210</cp:revision>
  <cp:lastPrinted>2018-09-04T08:39:00Z</cp:lastPrinted>
  <dcterms:created xsi:type="dcterms:W3CDTF">2018-09-04T11:04:00Z</dcterms:created>
  <dcterms:modified xsi:type="dcterms:W3CDTF">2021-04-28T07:05:00Z</dcterms:modified>
</cp:coreProperties>
</file>