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50" w:rsidRPr="00C13150" w:rsidRDefault="00C13150" w:rsidP="00C13150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150">
        <w:rPr>
          <w:rFonts w:ascii="Times New Roman" w:hAnsi="Times New Roman" w:cs="Times New Roman"/>
          <w:b/>
          <w:sz w:val="28"/>
          <w:szCs w:val="28"/>
        </w:rPr>
        <w:t xml:space="preserve">          Заседание от 10 февраля 2023 года.</w:t>
      </w:r>
    </w:p>
    <w:p w:rsidR="00C13150" w:rsidRPr="00C13150" w:rsidRDefault="00C13150" w:rsidP="00C1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10 февраля 2023 года, в соответствии с Уставом </w:t>
      </w:r>
      <w:r w:rsidRPr="00C1315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C1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C1315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C13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 рассмотрен следующий вопрос: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Отчет Председателя Правления (CEO) Общества о деятельнос</w:t>
      </w:r>
      <w:r>
        <w:rPr>
          <w:rFonts w:ascii="Times New Roman" w:hAnsi="Times New Roman" w:cs="Times New Roman"/>
          <w:sz w:val="28"/>
          <w:szCs w:val="28"/>
        </w:rPr>
        <w:t>ти Общества за прошедший период;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Отчет Управляющего директора по экон</w:t>
      </w:r>
      <w:r>
        <w:rPr>
          <w:rFonts w:ascii="Times New Roman" w:hAnsi="Times New Roman" w:cs="Times New Roman"/>
          <w:sz w:val="28"/>
          <w:szCs w:val="28"/>
        </w:rPr>
        <w:t>омике и финансам (CFO) Общества;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 заключении сделки, в совершении которой у Общества имеется заинтересованность, путем подписания договора возобновляемой кредитной линии с Forum Muider B.V.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Об увеличении обязательств Общества на величину, составляющую десять и более процентов ра</w:t>
      </w:r>
      <w:r>
        <w:rPr>
          <w:rFonts w:ascii="Times New Roman" w:hAnsi="Times New Roman" w:cs="Times New Roman"/>
          <w:sz w:val="28"/>
          <w:szCs w:val="28"/>
        </w:rPr>
        <w:t>змера его собственного капитала;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Об установлении лимитов Общества по балансовым и внебалансовым обязательствам на банки второго уровня, пр</w:t>
      </w:r>
      <w:r>
        <w:rPr>
          <w:rFonts w:ascii="Times New Roman" w:hAnsi="Times New Roman" w:cs="Times New Roman"/>
          <w:sz w:val="28"/>
          <w:szCs w:val="28"/>
        </w:rPr>
        <w:t>евышающих рассчитанное значение;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 некоторых вопросах заключения сделок между Общес</w:t>
      </w:r>
      <w:r>
        <w:rPr>
          <w:rFonts w:ascii="Times New Roman" w:hAnsi="Times New Roman" w:cs="Times New Roman"/>
          <w:sz w:val="28"/>
          <w:szCs w:val="28"/>
        </w:rPr>
        <w:t>твом и Qazaq Green Power PLC;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Об увеличении количества объявленных простых акций АО «Алм</w:t>
      </w:r>
      <w:r>
        <w:rPr>
          <w:rFonts w:ascii="Times New Roman" w:hAnsi="Times New Roman" w:cs="Times New Roman"/>
          <w:sz w:val="28"/>
          <w:szCs w:val="28"/>
        </w:rPr>
        <w:t>атинские Электрические Станции»;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Отчеты Комит</w:t>
      </w:r>
      <w:r>
        <w:rPr>
          <w:rFonts w:ascii="Times New Roman" w:hAnsi="Times New Roman" w:cs="Times New Roman"/>
          <w:sz w:val="28"/>
          <w:szCs w:val="28"/>
        </w:rPr>
        <w:t>етов Совета директоров Общества;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 рассмотрении отчета об освоении инвестиций по инвестиционным проектам Общества</w:t>
      </w:r>
      <w:r>
        <w:rPr>
          <w:rFonts w:ascii="Times New Roman" w:hAnsi="Times New Roman" w:cs="Times New Roman"/>
          <w:sz w:val="28"/>
          <w:szCs w:val="28"/>
        </w:rPr>
        <w:t xml:space="preserve"> по итогам 2022 года;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 xml:space="preserve">- Об определении срока </w:t>
      </w:r>
      <w:r>
        <w:rPr>
          <w:rFonts w:ascii="Times New Roman" w:hAnsi="Times New Roman" w:cs="Times New Roman"/>
          <w:sz w:val="28"/>
          <w:szCs w:val="28"/>
        </w:rPr>
        <w:t>полномочий Омбудсмена Общества;</w:t>
      </w:r>
    </w:p>
    <w:p w:rsidR="00C13150" w:rsidRP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 рассмотрении Отчета о работе в области безопасности и охраны труда и производственном травматизме за 2022 год, Отчёт по исполнению Плана мероприятий по управлению вопросами охраны труда в группе</w:t>
      </w:r>
      <w:r>
        <w:rPr>
          <w:rFonts w:ascii="Times New Roman" w:hAnsi="Times New Roman" w:cs="Times New Roman"/>
          <w:sz w:val="28"/>
          <w:szCs w:val="28"/>
        </w:rPr>
        <w:t xml:space="preserve"> компаний Общества на 2022 год;</w:t>
      </w:r>
    </w:p>
    <w:p w:rsidR="00C13150" w:rsidRDefault="00C13150" w:rsidP="00C13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150">
        <w:rPr>
          <w:rFonts w:ascii="Times New Roman" w:hAnsi="Times New Roman" w:cs="Times New Roman"/>
          <w:sz w:val="28"/>
          <w:szCs w:val="28"/>
        </w:rPr>
        <w:t>- О рассмотрении Отчета о работе в области охра</w:t>
      </w:r>
      <w:r w:rsidR="004A6FC4">
        <w:rPr>
          <w:rFonts w:ascii="Times New Roman" w:hAnsi="Times New Roman" w:cs="Times New Roman"/>
          <w:sz w:val="28"/>
          <w:szCs w:val="28"/>
        </w:rPr>
        <w:t>ны окружающей среды за 2022 год;</w:t>
      </w:r>
    </w:p>
    <w:p w:rsidR="004A6FC4" w:rsidRPr="004A6FC4" w:rsidRDefault="004A6FC4" w:rsidP="004A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FC4">
        <w:rPr>
          <w:rFonts w:ascii="Times New Roman" w:hAnsi="Times New Roman" w:cs="Times New Roman"/>
          <w:sz w:val="28"/>
          <w:szCs w:val="28"/>
        </w:rPr>
        <w:t>Об увеличении обязательств АО «Самрук-Энерго» на величину, составляющую десять и более процентов размера собственного капитала АО «Самрук-Энерго», путем заключении договора гарантии между АО «Самрук-Энерго» и АО «Самрук-Қазына» в рамках проекта «Модернизация Алматинской ТЭЦ-2 с минимизацией в</w:t>
      </w:r>
      <w:r>
        <w:rPr>
          <w:rFonts w:ascii="Times New Roman" w:hAnsi="Times New Roman" w:cs="Times New Roman"/>
          <w:sz w:val="28"/>
          <w:szCs w:val="28"/>
        </w:rPr>
        <w:t>оздействия на окружающую среду;</w:t>
      </w:r>
    </w:p>
    <w:p w:rsidR="004A6FC4" w:rsidRDefault="004A6FC4" w:rsidP="004A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6FC4">
        <w:rPr>
          <w:rFonts w:ascii="Times New Roman" w:hAnsi="Times New Roman" w:cs="Times New Roman"/>
          <w:sz w:val="28"/>
          <w:szCs w:val="28"/>
        </w:rPr>
        <w:t xml:space="preserve"> О заключении Договора о предоставлении гарантии и возмещении расходов между АО «АлЭС» и АО «Фонд национального благосостояния «Самрук-Қазына» на сумму 130 000 000 000 (сто тридцать миллиардов) тенге.</w:t>
      </w:r>
    </w:p>
    <w:p w:rsidR="00C13150" w:rsidRDefault="00C13150" w:rsidP="00C1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C13150" w:rsidRDefault="00C13150" w:rsidP="00C1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C13150" w:rsidRDefault="00C13150" w:rsidP="00C13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C13150" w:rsidRDefault="00C13150" w:rsidP="00C13150"/>
    <w:p w:rsidR="00C13150" w:rsidRDefault="00C13150" w:rsidP="00C1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37" w:rsidRDefault="00CA3E37"/>
    <w:sectPr w:rsidR="00CA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0"/>
    <w:rsid w:val="004A6FC4"/>
    <w:rsid w:val="00C13150"/>
    <w:rsid w:val="00CA3E37"/>
    <w:rsid w:val="00D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1FFA-A44E-42F7-AE23-859E71B9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2023-02-03T09:28:00Z</dcterms:created>
  <dcterms:modified xsi:type="dcterms:W3CDTF">2023-02-10T08:24:00Z</dcterms:modified>
</cp:coreProperties>
</file>