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CB" w:rsidRPr="008B4A64" w:rsidRDefault="00A44ACB" w:rsidP="00A44ACB">
      <w:pPr>
        <w:spacing w:after="240" w:line="276" w:lineRule="auto"/>
        <w:jc w:val="center"/>
        <w:rPr>
          <w:szCs w:val="28"/>
        </w:rPr>
      </w:pPr>
      <w:r w:rsidRPr="008B4A64">
        <w:rPr>
          <w:szCs w:val="28"/>
        </w:rPr>
        <w:t xml:space="preserve">Доклад Председателя Правления </w:t>
      </w:r>
      <w:r>
        <w:rPr>
          <w:szCs w:val="28"/>
        </w:rPr>
        <w:br/>
      </w:r>
      <w:r w:rsidRPr="008B4A64">
        <w:rPr>
          <w:szCs w:val="28"/>
        </w:rPr>
        <w:t xml:space="preserve">АО «Самрук-Энерго» Саткалиева А.М. </w:t>
      </w:r>
    </w:p>
    <w:p w:rsidR="00A44ACB" w:rsidRPr="008B4A64" w:rsidRDefault="00A44ACB" w:rsidP="00A44ACB">
      <w:pPr>
        <w:pStyle w:val="a3"/>
        <w:pBdr>
          <w:bottom w:val="single" w:sz="8" w:space="5" w:color="4F81BD" w:themeColor="accent1"/>
        </w:pBdr>
        <w:spacing w:after="20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D018DC">
        <w:rPr>
          <w:rFonts w:ascii="Times New Roman" w:hAnsi="Times New Roman" w:cs="Times New Roman"/>
          <w:sz w:val="36"/>
          <w:szCs w:val="36"/>
          <w:lang w:val="ru-RU"/>
        </w:rPr>
        <w:t>«</w:t>
      </w:r>
      <w:r>
        <w:rPr>
          <w:rFonts w:ascii="Times New Roman" w:eastAsiaTheme="minorEastAsia" w:hAnsi="Times New Roman" w:cs="Times New Roman"/>
          <w:sz w:val="36"/>
          <w:szCs w:val="36"/>
          <w:lang w:val="ru-RU" w:eastAsia="zh-CN"/>
        </w:rPr>
        <w:t xml:space="preserve">Смягчение противоречий между целями по климату </w:t>
      </w:r>
      <w:r>
        <w:rPr>
          <w:rFonts w:ascii="Times New Roman" w:eastAsiaTheme="minorEastAsia" w:hAnsi="Times New Roman" w:cs="Times New Roman"/>
          <w:sz w:val="36"/>
          <w:szCs w:val="36"/>
          <w:lang w:val="ru-RU" w:eastAsia="zh-CN"/>
        </w:rPr>
        <w:br/>
        <w:t xml:space="preserve">и развитию для экономик, </w:t>
      </w:r>
      <w:r>
        <w:rPr>
          <w:rFonts w:ascii="Times New Roman" w:eastAsiaTheme="minorEastAsia" w:hAnsi="Times New Roman" w:cs="Times New Roman"/>
          <w:sz w:val="36"/>
          <w:szCs w:val="36"/>
          <w:lang w:val="ru-RU" w:eastAsia="zh-CN"/>
        </w:rPr>
        <w:br/>
      </w:r>
      <w:r w:rsidRPr="008B4A64">
        <w:rPr>
          <w:rFonts w:ascii="Times New Roman" w:eastAsiaTheme="minorEastAsia" w:hAnsi="Times New Roman" w:cs="Times New Roman"/>
          <w:sz w:val="36"/>
          <w:szCs w:val="36"/>
          <w:lang w:val="ru-RU" w:eastAsia="zh-CN"/>
        </w:rPr>
        <w:t>опирающихся на ископаемое топливо</w:t>
      </w:r>
      <w:r w:rsidRPr="008B4A64">
        <w:rPr>
          <w:rFonts w:ascii="Times New Roman" w:hAnsi="Times New Roman" w:cs="Times New Roman"/>
          <w:sz w:val="36"/>
          <w:szCs w:val="36"/>
          <w:lang w:val="ru-RU"/>
        </w:rPr>
        <w:t>»</w:t>
      </w:r>
    </w:p>
    <w:p w:rsidR="00A44ACB" w:rsidRPr="008B4A64" w:rsidRDefault="00A44ACB" w:rsidP="00A44ACB">
      <w:pPr>
        <w:spacing w:line="276" w:lineRule="auto"/>
        <w:contextualSpacing/>
        <w:jc w:val="center"/>
        <w:rPr>
          <w:i/>
          <w:sz w:val="26"/>
          <w:szCs w:val="26"/>
          <w:highlight w:val="yellow"/>
        </w:rPr>
      </w:pPr>
      <w:r w:rsidRPr="008B4A64">
        <w:rPr>
          <w:i/>
          <w:sz w:val="26"/>
          <w:szCs w:val="26"/>
        </w:rPr>
        <w:t>ИНТЕРАКТИВНАЯ ДИСКУССИЯ «ЭНЕРГЕТИЧЕСКИЙ ПЕРЕХОД: БЕЗОПАСНОСТЬ,</w:t>
      </w:r>
      <w:r>
        <w:rPr>
          <w:i/>
          <w:sz w:val="26"/>
          <w:szCs w:val="26"/>
        </w:rPr>
        <w:t xml:space="preserve"> </w:t>
      </w:r>
      <w:r w:rsidRPr="008B4A64">
        <w:rPr>
          <w:i/>
          <w:sz w:val="26"/>
          <w:szCs w:val="26"/>
        </w:rPr>
        <w:t>ДОСТУПНОСТЬ И УСТОЙЧИВОСТЬ»</w:t>
      </w:r>
    </w:p>
    <w:p w:rsidR="00A44ACB" w:rsidRPr="008B4A64" w:rsidRDefault="00A44ACB" w:rsidP="00A44ACB">
      <w:pPr>
        <w:spacing w:line="276" w:lineRule="auto"/>
        <w:contextualSpacing/>
        <w:jc w:val="center"/>
        <w:rPr>
          <w:i/>
          <w:sz w:val="26"/>
          <w:szCs w:val="26"/>
        </w:rPr>
      </w:pPr>
      <w:r w:rsidRPr="008B4A64">
        <w:rPr>
          <w:i/>
          <w:sz w:val="26"/>
          <w:szCs w:val="26"/>
        </w:rPr>
        <w:t xml:space="preserve">(7 Сентября 2017 года, 11.00-12.30, </w:t>
      </w:r>
      <w:r w:rsidRPr="008B4A64">
        <w:rPr>
          <w:i/>
          <w:szCs w:val="28"/>
        </w:rPr>
        <w:t>Дворец мира и согласия, Пленарный зал</w:t>
      </w:r>
      <w:r w:rsidRPr="008B4A64">
        <w:rPr>
          <w:i/>
          <w:sz w:val="26"/>
          <w:szCs w:val="26"/>
        </w:rPr>
        <w:t>)</w:t>
      </w:r>
    </w:p>
    <w:p w:rsidR="00A44ACB" w:rsidRPr="008B4A64" w:rsidRDefault="00A44ACB" w:rsidP="00A44ACB">
      <w:pPr>
        <w:spacing w:line="276" w:lineRule="auto"/>
        <w:contextualSpacing/>
        <w:jc w:val="center"/>
        <w:rPr>
          <w:i/>
          <w:sz w:val="26"/>
          <w:szCs w:val="26"/>
        </w:rPr>
      </w:pPr>
    </w:p>
    <w:p w:rsidR="00C43B23" w:rsidRPr="000C42F1" w:rsidRDefault="00C43B23" w:rsidP="002631F4">
      <w:pPr>
        <w:autoSpaceDE w:val="0"/>
        <w:autoSpaceDN w:val="0"/>
        <w:spacing w:after="120"/>
        <w:jc w:val="center"/>
        <w:rPr>
          <w:b/>
          <w:szCs w:val="28"/>
        </w:rPr>
      </w:pPr>
      <w:r w:rsidRPr="000C42F1">
        <w:rPr>
          <w:b/>
          <w:szCs w:val="28"/>
        </w:rPr>
        <w:t xml:space="preserve">Уважаемые участники </w:t>
      </w:r>
      <w:r>
        <w:rPr>
          <w:b/>
          <w:szCs w:val="28"/>
        </w:rPr>
        <w:t>Форума</w:t>
      </w:r>
      <w:r w:rsidRPr="000C42F1">
        <w:rPr>
          <w:b/>
          <w:szCs w:val="28"/>
        </w:rPr>
        <w:t xml:space="preserve">, коллеги! </w:t>
      </w:r>
    </w:p>
    <w:p w:rsidR="00C43B23" w:rsidRPr="000C42F1" w:rsidRDefault="00C43B23" w:rsidP="002631F4">
      <w:pPr>
        <w:spacing w:after="120"/>
        <w:ind w:firstLine="709"/>
        <w:rPr>
          <w:szCs w:val="28"/>
        </w:rPr>
      </w:pPr>
      <w:r w:rsidRPr="000C42F1">
        <w:rPr>
          <w:szCs w:val="28"/>
        </w:rPr>
        <w:t xml:space="preserve">Позвольте поприветствовать Вас на презентации Национального Энергетического Доклада и выразить особую благодарность за вклад всех членов Ассоциации «KAZENERGY», </w:t>
      </w:r>
      <w:r w:rsidR="00803C71">
        <w:rPr>
          <w:szCs w:val="28"/>
        </w:rPr>
        <w:t>включая компанию</w:t>
      </w:r>
      <w:r w:rsidRPr="000C42F1">
        <w:rPr>
          <w:szCs w:val="28"/>
        </w:rPr>
        <w:t xml:space="preserve"> IHS.</w:t>
      </w:r>
    </w:p>
    <w:p w:rsidR="00C43B23" w:rsidRPr="000C42F1" w:rsidRDefault="00C43B23" w:rsidP="002631F4">
      <w:pPr>
        <w:spacing w:after="120"/>
        <w:ind w:firstLine="709"/>
        <w:rPr>
          <w:szCs w:val="28"/>
        </w:rPr>
      </w:pPr>
      <w:r w:rsidRPr="000C42F1">
        <w:rPr>
          <w:szCs w:val="28"/>
        </w:rPr>
        <w:t>За годы своего существования Ассоциация «KAZENERGY» зарекомендовала себя в качестве авторитетной площадки, где происход</w:t>
      </w:r>
      <w:r>
        <w:rPr>
          <w:szCs w:val="28"/>
        </w:rPr>
        <w:t>я</w:t>
      </w:r>
      <w:r w:rsidRPr="000C42F1">
        <w:rPr>
          <w:szCs w:val="28"/>
        </w:rPr>
        <w:t>т активный обмен мнениями и конструктивный диалог между бизнесом и властью, обеспечивающий баланс интересов государства и энергетических компаний.</w:t>
      </w:r>
    </w:p>
    <w:p w:rsidR="00C43B23" w:rsidRPr="000C42F1" w:rsidRDefault="00C43B23" w:rsidP="002631F4">
      <w:pPr>
        <w:spacing w:after="120"/>
        <w:ind w:firstLine="709"/>
        <w:rPr>
          <w:szCs w:val="28"/>
        </w:rPr>
      </w:pPr>
      <w:r w:rsidRPr="000C42F1">
        <w:rPr>
          <w:szCs w:val="28"/>
        </w:rPr>
        <w:t>Благодаря этому у нас есть возможность оценивать энергетические вызовы и вырабатывать совместные упреждающие меры, содействовать</w:t>
      </w:r>
      <w:r w:rsidR="005B7640">
        <w:rPr>
          <w:szCs w:val="28"/>
        </w:rPr>
        <w:t xml:space="preserve"> </w:t>
      </w:r>
      <w:r w:rsidRPr="000C42F1">
        <w:rPr>
          <w:szCs w:val="28"/>
        </w:rPr>
        <w:t xml:space="preserve">устойчивому развитию топливно-энергетического комплекса Республики Казахстан. </w:t>
      </w:r>
    </w:p>
    <w:p w:rsidR="00C43B23" w:rsidRDefault="00C43B23" w:rsidP="002631F4">
      <w:pPr>
        <w:spacing w:after="120"/>
        <w:ind w:firstLine="709"/>
        <w:rPr>
          <w:szCs w:val="28"/>
        </w:rPr>
      </w:pPr>
      <w:r w:rsidRPr="005B7640">
        <w:rPr>
          <w:szCs w:val="28"/>
        </w:rPr>
        <w:t>Третий</w:t>
      </w:r>
      <w:r w:rsidRPr="000C42F1">
        <w:rPr>
          <w:szCs w:val="28"/>
        </w:rPr>
        <w:t xml:space="preserve"> выпуск Национального энергетического доклада </w:t>
      </w:r>
      <w:r>
        <w:rPr>
          <w:szCs w:val="28"/>
        </w:rPr>
        <w:t xml:space="preserve">отражает </w:t>
      </w:r>
      <w:r w:rsidRPr="000C42F1">
        <w:rPr>
          <w:szCs w:val="28"/>
        </w:rPr>
        <w:t xml:space="preserve">единое, комплексное представление о взаимосвязи энергетической ситуации в мире и в Республике Казахстан, независимый </w:t>
      </w:r>
      <w:r>
        <w:rPr>
          <w:szCs w:val="28"/>
        </w:rPr>
        <w:t xml:space="preserve">аналитический </w:t>
      </w:r>
      <w:r w:rsidRPr="000C42F1">
        <w:rPr>
          <w:szCs w:val="28"/>
        </w:rPr>
        <w:t>обзор базовых отраслей топливно-энергетического комплекса страны, определение долгосрочной перспективы развития ТЭК.</w:t>
      </w:r>
    </w:p>
    <w:p w:rsidR="002C3E4C" w:rsidRPr="000C42F1" w:rsidRDefault="002C3E4C" w:rsidP="002631F4">
      <w:pPr>
        <w:spacing w:after="120"/>
        <w:ind w:firstLine="709"/>
        <w:rPr>
          <w:szCs w:val="28"/>
        </w:rPr>
      </w:pPr>
      <w:r w:rsidRPr="000C42F1">
        <w:rPr>
          <w:szCs w:val="28"/>
        </w:rPr>
        <w:t>Республика Казахстан, в качестве пример</w:t>
      </w:r>
      <w:r>
        <w:rPr>
          <w:szCs w:val="28"/>
        </w:rPr>
        <w:t>а</w:t>
      </w:r>
      <w:r w:rsidRPr="000C42F1">
        <w:rPr>
          <w:szCs w:val="28"/>
        </w:rPr>
        <w:t xml:space="preserve"> устойчивого и стабильного политического и экономического развития в регионе, остается надежным и </w:t>
      </w:r>
      <w:r w:rsidRPr="000C42F1">
        <w:rPr>
          <w:szCs w:val="28"/>
        </w:rPr>
        <w:lastRenderedPageBreak/>
        <w:t>ответственным участником системы обеспечения международной энергетической безопасности.</w:t>
      </w:r>
    </w:p>
    <w:p w:rsidR="00C43B23" w:rsidRPr="00C43B23" w:rsidRDefault="00C43B23" w:rsidP="002631F4">
      <w:pPr>
        <w:spacing w:after="120"/>
        <w:ind w:firstLine="709"/>
        <w:rPr>
          <w:szCs w:val="28"/>
        </w:rPr>
      </w:pPr>
      <w:r w:rsidRPr="00C43B23">
        <w:rPr>
          <w:szCs w:val="28"/>
        </w:rPr>
        <w:t>Доступность ресурсов, окупаемость, социальная ответственность и природоохранные меры являются ключевыми составляющими энергетической трилеммы, требующей комплексного решения со стороны общества в целом.</w:t>
      </w:r>
      <w:r w:rsidR="005B7640">
        <w:rPr>
          <w:szCs w:val="28"/>
        </w:rPr>
        <w:t xml:space="preserve"> </w:t>
      </w:r>
    </w:p>
    <w:p w:rsidR="00C43B23" w:rsidRPr="00C43B23" w:rsidRDefault="00C43B23" w:rsidP="002631F4">
      <w:pPr>
        <w:spacing w:after="120"/>
        <w:ind w:firstLine="709"/>
        <w:rPr>
          <w:szCs w:val="28"/>
        </w:rPr>
      </w:pPr>
      <w:r w:rsidRPr="00C43B23">
        <w:rPr>
          <w:szCs w:val="28"/>
        </w:rPr>
        <w:t>Готовность Республики Казахстан к реализации международных стандартов проявляется и в ратификации международных договоров, соглашений и конвенций в области природопользования и охраны окружающей среды, которые традиционно рассматриваются в качестве источников национального экологического права.</w:t>
      </w:r>
    </w:p>
    <w:p w:rsidR="000C0117" w:rsidRDefault="000C0117" w:rsidP="002631F4">
      <w:pPr>
        <w:spacing w:after="120"/>
        <w:ind w:firstLine="708"/>
      </w:pPr>
      <w:r>
        <w:t>Финансовое содействие развив</w:t>
      </w:r>
      <w:r w:rsidR="001A5F19">
        <w:t>ающимся странам в области смяг</w:t>
      </w:r>
      <w:r>
        <w:t xml:space="preserve">чения изменений климата и адаптации к ним — необходимый </w:t>
      </w:r>
      <w:r w:rsidR="002D2771">
        <w:t>атрибут мировой экономики XXI века.</w:t>
      </w:r>
      <w:r>
        <w:t xml:space="preserve"> </w:t>
      </w:r>
      <w:r w:rsidR="009357BF">
        <w:t>В среднесрочной перспективе, выделение средств на</w:t>
      </w:r>
      <w:r w:rsidR="005B7640">
        <w:t xml:space="preserve"> </w:t>
      </w:r>
      <w:r>
        <w:t>смягчение климатических изменений и адапта</w:t>
      </w:r>
      <w:r w:rsidR="001A5F19">
        <w:t>цию к ним в развивающихся стра</w:t>
      </w:r>
      <w:r>
        <w:t>нах</w:t>
      </w:r>
      <w:r w:rsidR="009357BF">
        <w:t xml:space="preserve"> становится </w:t>
      </w:r>
      <w:r>
        <w:t>сопоставимы</w:t>
      </w:r>
      <w:r w:rsidR="009357BF">
        <w:t>м</w:t>
      </w:r>
      <w:r>
        <w:t xml:space="preserve"> </w:t>
      </w:r>
      <w:r w:rsidR="009357BF">
        <w:t xml:space="preserve">со всем объемом финансовой поддержки </w:t>
      </w:r>
      <w:r>
        <w:t>международно</w:t>
      </w:r>
      <w:r w:rsidR="009357BF">
        <w:t>го</w:t>
      </w:r>
      <w:r>
        <w:t xml:space="preserve"> развити</w:t>
      </w:r>
      <w:r w:rsidR="009357BF">
        <w:t>я</w:t>
      </w:r>
      <w:r>
        <w:t xml:space="preserve">. </w:t>
      </w:r>
    </w:p>
    <w:p w:rsidR="004573CE" w:rsidRDefault="00251C2F" w:rsidP="002631F4">
      <w:pPr>
        <w:spacing w:after="120"/>
        <w:ind w:firstLine="708"/>
      </w:pPr>
      <w:r>
        <w:t>Важным сравнительным м</w:t>
      </w:r>
      <w:r w:rsidR="001C74A8">
        <w:t>акроэкономическ</w:t>
      </w:r>
      <w:r>
        <w:t>им</w:t>
      </w:r>
      <w:r w:rsidR="001C74A8">
        <w:t xml:space="preserve"> п</w:t>
      </w:r>
      <w:r>
        <w:t>араметром для оценки</w:t>
      </w:r>
      <w:r w:rsidR="005B7640">
        <w:t xml:space="preserve"> </w:t>
      </w:r>
      <w:r>
        <w:t>действенности снижения приведенных выбросов парниковых газов является так называемая социальная стоимость углерода</w:t>
      </w:r>
      <w:r w:rsidR="008A6F17">
        <w:t xml:space="preserve">. Оценка этого </w:t>
      </w:r>
      <w:r w:rsidR="002A5AD6">
        <w:t xml:space="preserve">параметра </w:t>
      </w:r>
      <w:bookmarkStart w:id="0" w:name="_GoBack"/>
      <w:bookmarkEnd w:id="0"/>
      <w:r w:rsidR="0027546E">
        <w:t>является непростой задачей, но целый ряд исследований указывает на величину</w:t>
      </w:r>
      <w:r w:rsidR="005B7640">
        <w:t xml:space="preserve"> </w:t>
      </w:r>
      <w:r w:rsidR="0027546E">
        <w:t xml:space="preserve">соразмерную примерно </w:t>
      </w:r>
      <w:r w:rsidR="004573CE">
        <w:t>ста условным единицам ($)</w:t>
      </w:r>
      <w:r w:rsidR="0027546E">
        <w:t xml:space="preserve"> за тонну СО2. </w:t>
      </w:r>
      <w:r w:rsidR="00DC3FE0">
        <w:t>Меры по снижению выбросов парниковых газов, находящиеся или приближающиеся к этому уровню являются малоэффективными или разрушающими</w:t>
      </w:r>
      <w:r w:rsidR="004573CE">
        <w:t xml:space="preserve"> экономическую стоимость.</w:t>
      </w:r>
      <w:r w:rsidR="00DC3FE0">
        <w:t xml:space="preserve"> </w:t>
      </w:r>
    </w:p>
    <w:p w:rsidR="00597492" w:rsidRDefault="004573CE" w:rsidP="002631F4">
      <w:pPr>
        <w:spacing w:after="120"/>
        <w:ind w:firstLine="708"/>
      </w:pPr>
      <w:r>
        <w:t>Э</w:t>
      </w:r>
      <w:r w:rsidR="001C74A8">
        <w:t xml:space="preserve">ффективность инвестиций во многом определяется </w:t>
      </w:r>
      <w:r w:rsidR="00341923">
        <w:t xml:space="preserve">предельной </w:t>
      </w:r>
      <w:r w:rsidR="001C74A8">
        <w:t>стоимостью упреждения выбросов парниковых газов, приведенную на условную тонну СО2.</w:t>
      </w:r>
      <w:r w:rsidR="005B7640">
        <w:t xml:space="preserve"> </w:t>
      </w:r>
      <w:r w:rsidR="00AE5E50">
        <w:t>П</w:t>
      </w:r>
      <w:r w:rsidR="002320B9">
        <w:t xml:space="preserve">ромышленные секторы с наименьшей предельной </w:t>
      </w:r>
      <w:r w:rsidR="002320B9">
        <w:lastRenderedPageBreak/>
        <w:t>стоимостью</w:t>
      </w:r>
      <w:r w:rsidR="00AE5E50">
        <w:t xml:space="preserve"> сокращения выбросом должны получать приоритет при распределении </w:t>
      </w:r>
      <w:r w:rsidR="003D19D3">
        <w:t xml:space="preserve">внутренних или внешних </w:t>
      </w:r>
      <w:r w:rsidR="00AE5E50">
        <w:t>инвестиционных средств.</w:t>
      </w:r>
      <w:r w:rsidR="00597492">
        <w:t xml:space="preserve"> </w:t>
      </w:r>
    </w:p>
    <w:p w:rsidR="00B51B18" w:rsidRDefault="00597492" w:rsidP="002631F4">
      <w:pPr>
        <w:spacing w:after="120"/>
        <w:ind w:firstLine="708"/>
      </w:pPr>
      <w:r>
        <w:t xml:space="preserve">По разным оценкам, в условиях Казахстана, повышение энергоэффективности потребителей и модернизация </w:t>
      </w:r>
      <w:r w:rsidR="00415E06">
        <w:t>установленных</w:t>
      </w:r>
      <w:r w:rsidR="005B7640">
        <w:t xml:space="preserve"> </w:t>
      </w:r>
      <w:r>
        <w:t xml:space="preserve">генерирующих мощностей </w:t>
      </w:r>
      <w:r w:rsidR="00415E06">
        <w:t xml:space="preserve">имеют существенный потенциал по снижению ПГ и имеют улучшенную экономическую эффективность ввиду пониженной </w:t>
      </w:r>
      <w:r w:rsidR="00960284">
        <w:t>предельной стоимости упреждения выбросов СО2.</w:t>
      </w:r>
      <w:r w:rsidR="005B7640">
        <w:t xml:space="preserve"> </w:t>
      </w:r>
      <w:r w:rsidR="00B51B18">
        <w:t>Инвестиции только в</w:t>
      </w:r>
      <w:r w:rsidR="005B7640">
        <w:t xml:space="preserve"> </w:t>
      </w:r>
      <w:r w:rsidR="00B51B18">
        <w:t xml:space="preserve">эти направления могут быть вполне достаточны в среднесрочной перспективе для выполнения обязательств по парижскому климатическому соглашению. </w:t>
      </w:r>
    </w:p>
    <w:p w:rsidR="00D245B3" w:rsidRDefault="00D245B3" w:rsidP="002631F4">
      <w:pPr>
        <w:spacing w:after="120"/>
        <w:ind w:firstLine="708"/>
      </w:pPr>
      <w:r>
        <w:t>Эволюционность и консерватизм такого</w:t>
      </w:r>
      <w:r w:rsidR="005B7640">
        <w:t xml:space="preserve"> </w:t>
      </w:r>
      <w:r>
        <w:t xml:space="preserve">подхода определяется не только совместимостью с </w:t>
      </w:r>
      <w:r w:rsidR="00924AAC">
        <w:t>существующей тарифной политик</w:t>
      </w:r>
      <w:r>
        <w:t>ой</w:t>
      </w:r>
      <w:r w:rsidR="00924AAC">
        <w:t xml:space="preserve"> </w:t>
      </w:r>
      <w:r>
        <w:t xml:space="preserve">и нормативно-правовой базой, но и заделом улучшения </w:t>
      </w:r>
      <w:r w:rsidR="00856C7B">
        <w:t>экономической эффективности при их совершенствовании.</w:t>
      </w:r>
      <w:r w:rsidR="00220D8D">
        <w:t xml:space="preserve"> По мере освоения этих ресурсов понижения выбросов СО2, обширное внедрение низкоуглеродных форм энергопроизводства, как ВИЭ, в энергобаланс государства неизбежно приобрет</w:t>
      </w:r>
      <w:r w:rsidR="009357BF">
        <w:t>ае</w:t>
      </w:r>
      <w:r w:rsidR="00021A5A">
        <w:t>т</w:t>
      </w:r>
      <w:r w:rsidR="00220D8D">
        <w:t xml:space="preserve"> экономическую актуальность.</w:t>
      </w:r>
    </w:p>
    <w:p w:rsidR="002D2771" w:rsidRPr="002D2771" w:rsidRDefault="00356230" w:rsidP="002631F4">
      <w:pPr>
        <w:spacing w:after="120"/>
        <w:ind w:firstLine="708"/>
      </w:pPr>
      <w:r>
        <w:rPr>
          <w:szCs w:val="28"/>
        </w:rPr>
        <w:t>Таким образом, в</w:t>
      </w:r>
      <w:r w:rsidR="002D2771" w:rsidRPr="00C43B23">
        <w:rPr>
          <w:szCs w:val="28"/>
        </w:rPr>
        <w:t xml:space="preserve">ыбор направления, в котором возобновляемые источники энергии будут использоваться наряду с традиционными, представляется наиболее рациональным вектором развития ТЭК. </w:t>
      </w:r>
      <w:r w:rsidR="002D2771">
        <w:rPr>
          <w:szCs w:val="28"/>
        </w:rPr>
        <w:t>Д</w:t>
      </w:r>
      <w:r w:rsidR="002D2771" w:rsidRPr="00C43B23">
        <w:rPr>
          <w:szCs w:val="28"/>
        </w:rPr>
        <w:t>иверсификация «генерирующего портфеля» позволит, с одной стороны, наиболее полно использовать богатейший ресурсный потенциал нашей страны, а с другой – обезопасит от чрезмерной углеводородной зависимости, в особенности учитывая современные тренды по квотированию выбросов СО2. Думаю, что такой подход является рациональным не только в нашем регионе.</w:t>
      </w:r>
    </w:p>
    <w:sectPr w:rsidR="002D2771" w:rsidRPr="002D2771" w:rsidSect="00F2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506A"/>
    <w:rsid w:val="00021A5A"/>
    <w:rsid w:val="000C0117"/>
    <w:rsid w:val="001A5F19"/>
    <w:rsid w:val="001C74A8"/>
    <w:rsid w:val="001D3B4B"/>
    <w:rsid w:val="00220D8D"/>
    <w:rsid w:val="002320B9"/>
    <w:rsid w:val="00251C2F"/>
    <w:rsid w:val="002631F4"/>
    <w:rsid w:val="0027546E"/>
    <w:rsid w:val="002A5AD6"/>
    <w:rsid w:val="002C3E4C"/>
    <w:rsid w:val="002D2771"/>
    <w:rsid w:val="00341923"/>
    <w:rsid w:val="00356230"/>
    <w:rsid w:val="003D19D3"/>
    <w:rsid w:val="00415E06"/>
    <w:rsid w:val="004369C9"/>
    <w:rsid w:val="004570C9"/>
    <w:rsid w:val="004573CE"/>
    <w:rsid w:val="00597492"/>
    <w:rsid w:val="005B7640"/>
    <w:rsid w:val="00803C71"/>
    <w:rsid w:val="00856C7B"/>
    <w:rsid w:val="008A6F17"/>
    <w:rsid w:val="00924AAC"/>
    <w:rsid w:val="009357BF"/>
    <w:rsid w:val="00960284"/>
    <w:rsid w:val="009A3B89"/>
    <w:rsid w:val="00A44ACB"/>
    <w:rsid w:val="00AE5E50"/>
    <w:rsid w:val="00B51B18"/>
    <w:rsid w:val="00C34C84"/>
    <w:rsid w:val="00C43B23"/>
    <w:rsid w:val="00CF14E8"/>
    <w:rsid w:val="00D245B3"/>
    <w:rsid w:val="00DC3FE0"/>
    <w:rsid w:val="00E0506A"/>
    <w:rsid w:val="00EE108A"/>
    <w:rsid w:val="00F2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55B47-F3F0-4D16-A41F-0DB2F3C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2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3B23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10"/>
    <w:rsid w:val="00C43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Абилкасимова Ризагуль</dc:creator>
  <cp:lastModifiedBy>Бердигулов Ернат</cp:lastModifiedBy>
  <cp:revision>26</cp:revision>
  <cp:lastPrinted>2017-09-06T08:58:00Z</cp:lastPrinted>
  <dcterms:created xsi:type="dcterms:W3CDTF">2017-09-06T07:17:00Z</dcterms:created>
  <dcterms:modified xsi:type="dcterms:W3CDTF">2017-09-07T10:09:00Z</dcterms:modified>
</cp:coreProperties>
</file>