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F5" w:rsidRDefault="00F421F5" w:rsidP="00F421F5">
      <w:pPr>
        <w:spacing w:after="160" w:line="252" w:lineRule="auto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 xml:space="preserve">          Meeting </w:t>
      </w:r>
      <w:r>
        <w:rPr>
          <w:rFonts w:eastAsiaTheme="minorHAnsi"/>
          <w:b/>
          <w:sz w:val="28"/>
          <w:szCs w:val="28"/>
          <w:lang w:val="en-US" w:eastAsia="en-US"/>
        </w:rPr>
        <w:t>March 27</w:t>
      </w:r>
      <w:r>
        <w:rPr>
          <w:rFonts w:eastAsiaTheme="minorHAnsi"/>
          <w:b/>
          <w:sz w:val="28"/>
          <w:szCs w:val="28"/>
          <w:lang w:val="en-US" w:eastAsia="en-US"/>
        </w:rPr>
        <w:t>, 2020.</w:t>
      </w:r>
    </w:p>
    <w:p w:rsidR="00F421F5" w:rsidRDefault="00F421F5" w:rsidP="00F421F5">
      <w:pPr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The following item </w:t>
      </w:r>
      <w:proofErr w:type="gramStart"/>
      <w:r>
        <w:rPr>
          <w:rFonts w:eastAsiaTheme="minorHAnsi"/>
          <w:sz w:val="28"/>
          <w:szCs w:val="28"/>
          <w:lang w:val="en-US" w:eastAsia="en-US"/>
        </w:rPr>
        <w:t>was considered</w:t>
      </w:r>
      <w:proofErr w:type="gramEnd"/>
      <w:r>
        <w:rPr>
          <w:rFonts w:eastAsiaTheme="minorHAnsi"/>
          <w:sz w:val="28"/>
          <w:szCs w:val="28"/>
          <w:lang w:val="en-US" w:eastAsia="en-US"/>
        </w:rPr>
        <w:t xml:space="preserve"> at the meeting of the Company’s Board of Directors dated </w:t>
      </w:r>
      <w:r>
        <w:rPr>
          <w:rFonts w:eastAsiaTheme="minorHAnsi"/>
          <w:sz w:val="28"/>
          <w:szCs w:val="28"/>
          <w:lang w:val="en-US" w:eastAsia="en-US"/>
        </w:rPr>
        <w:t>March 27</w:t>
      </w:r>
      <w:r>
        <w:rPr>
          <w:rFonts w:eastAsiaTheme="minorHAnsi"/>
          <w:sz w:val="28"/>
          <w:szCs w:val="28"/>
          <w:lang w:val="en-US" w:eastAsia="en-US"/>
        </w:rPr>
        <w:t>, 2020 in accordance with the Company’s Charter, the Regulations on the Board of Directors of the Company, the Law of the Republic of Kazakhstan “On Joint-Stock Companies”:</w:t>
      </w:r>
    </w:p>
    <w:p w:rsidR="00F421F5" w:rsidRDefault="00F421F5" w:rsidP="00F421F5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D90998">
        <w:rPr>
          <w:sz w:val="28"/>
          <w:szCs w:val="28"/>
          <w:lang w:val="en-US"/>
        </w:rPr>
        <w:t>Some matters of the Management Board of the Company</w:t>
      </w:r>
    </w:p>
    <w:p w:rsidR="00F421F5" w:rsidRPr="00D10D4C" w:rsidRDefault="00F421F5" w:rsidP="00F421F5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Pr="00D10D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D10D4C">
        <w:rPr>
          <w:sz w:val="28"/>
          <w:szCs w:val="28"/>
          <w:lang w:val="en-US"/>
        </w:rPr>
        <w:t>pproval of motivational KPI maps of the Managing Director for R</w:t>
      </w:r>
      <w:r>
        <w:rPr>
          <w:sz w:val="28"/>
          <w:szCs w:val="28"/>
          <w:lang w:val="en-US"/>
        </w:rPr>
        <w:t>isks and Legal Affairs for 2020.</w:t>
      </w:r>
    </w:p>
    <w:p w:rsidR="00F421F5" w:rsidRDefault="00F421F5" w:rsidP="00F421F5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867B77">
        <w:rPr>
          <w:sz w:val="28"/>
          <w:szCs w:val="28"/>
          <w:lang w:val="en-US"/>
        </w:rPr>
        <w:t>Approval of the Report on the implementation of “Samruk-Energy” JSC Business Plan for 2019.</w:t>
      </w:r>
    </w:p>
    <w:p w:rsidR="00F421F5" w:rsidRPr="00867B77" w:rsidRDefault="00F421F5" w:rsidP="00F421F5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867B77">
        <w:rPr>
          <w:sz w:val="28"/>
          <w:szCs w:val="28"/>
          <w:lang w:val="en-US"/>
        </w:rPr>
        <w:t xml:space="preserve">Execution of the Action plan for implementation of “Samruk-Energy” JSC Development Strategy for 2018-2028 based on results of 2019.  </w:t>
      </w:r>
    </w:p>
    <w:p w:rsidR="00F421F5" w:rsidRPr="00867B77" w:rsidRDefault="00F421F5" w:rsidP="00F421F5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Pr="00867B77">
        <w:rPr>
          <w:sz w:val="28"/>
          <w:szCs w:val="28"/>
          <w:lang w:val="en-US"/>
        </w:rPr>
        <w:t xml:space="preserve"> Execution of the Action plan for meeting expectations of “Samruk-Energy” JSC sole shareholder for 2019-2023 based on results of </w:t>
      </w:r>
      <w:r>
        <w:rPr>
          <w:sz w:val="28"/>
          <w:szCs w:val="28"/>
          <w:lang w:val="en-US"/>
        </w:rPr>
        <w:t>2019.</w:t>
      </w:r>
    </w:p>
    <w:p w:rsidR="00F421F5" w:rsidRDefault="00F421F5" w:rsidP="00F421F5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Pr="00867B77">
        <w:rPr>
          <w:sz w:val="28"/>
          <w:szCs w:val="28"/>
          <w:lang w:val="en-US"/>
        </w:rPr>
        <w:t xml:space="preserve"> On preliminary approval of the consolidated financial statements of </w:t>
      </w:r>
      <w:r>
        <w:rPr>
          <w:sz w:val="28"/>
          <w:szCs w:val="28"/>
          <w:lang w:val="en-US"/>
        </w:rPr>
        <w:t>“</w:t>
      </w:r>
      <w:r w:rsidRPr="00867B77">
        <w:rPr>
          <w:sz w:val="28"/>
          <w:szCs w:val="28"/>
          <w:lang w:val="en-US"/>
        </w:rPr>
        <w:t>Samruk-Energy</w:t>
      </w:r>
      <w:r>
        <w:rPr>
          <w:sz w:val="28"/>
          <w:szCs w:val="28"/>
          <w:lang w:val="en-US"/>
        </w:rPr>
        <w:t>”</w:t>
      </w:r>
      <w:r w:rsidRPr="00867B77">
        <w:rPr>
          <w:sz w:val="28"/>
          <w:szCs w:val="28"/>
          <w:lang w:val="en-US"/>
        </w:rPr>
        <w:t xml:space="preserve"> JSC for 2019 and</w:t>
      </w:r>
      <w:r w:rsidRPr="00867B77">
        <w:rPr>
          <w:lang w:val="en-US"/>
        </w:rPr>
        <w:t xml:space="preserve"> </w:t>
      </w:r>
      <w:r w:rsidRPr="00867B77">
        <w:rPr>
          <w:sz w:val="28"/>
          <w:szCs w:val="28"/>
          <w:lang w:val="en-US"/>
        </w:rPr>
        <w:t xml:space="preserve">submitting it for approval by the Sole Shareholder of </w:t>
      </w:r>
      <w:r>
        <w:rPr>
          <w:sz w:val="28"/>
          <w:szCs w:val="28"/>
          <w:lang w:val="en-US"/>
        </w:rPr>
        <w:t>“</w:t>
      </w:r>
      <w:r w:rsidRPr="00867B77">
        <w:rPr>
          <w:sz w:val="28"/>
          <w:szCs w:val="28"/>
          <w:lang w:val="en-US"/>
        </w:rPr>
        <w:t>Samruk-Energy</w:t>
      </w:r>
      <w:r>
        <w:rPr>
          <w:sz w:val="28"/>
          <w:szCs w:val="28"/>
          <w:lang w:val="en-US"/>
        </w:rPr>
        <w:t>”</w:t>
      </w:r>
      <w:r w:rsidRPr="00867B77">
        <w:rPr>
          <w:sz w:val="28"/>
          <w:szCs w:val="28"/>
          <w:lang w:val="en-US"/>
        </w:rPr>
        <w:t xml:space="preserve"> JSC, on providing the Sole Shareholder of </w:t>
      </w:r>
      <w:r>
        <w:rPr>
          <w:sz w:val="28"/>
          <w:szCs w:val="28"/>
          <w:lang w:val="en-US"/>
        </w:rPr>
        <w:t>“</w:t>
      </w:r>
      <w:r w:rsidRPr="00867B77">
        <w:rPr>
          <w:sz w:val="28"/>
          <w:szCs w:val="28"/>
          <w:lang w:val="en-US"/>
        </w:rPr>
        <w:t>Samruk-Energy</w:t>
      </w:r>
      <w:r>
        <w:rPr>
          <w:sz w:val="28"/>
          <w:szCs w:val="28"/>
          <w:lang w:val="en-US"/>
        </w:rPr>
        <w:t>”</w:t>
      </w:r>
      <w:r w:rsidRPr="00867B77">
        <w:rPr>
          <w:sz w:val="28"/>
          <w:szCs w:val="28"/>
          <w:lang w:val="en-US"/>
        </w:rPr>
        <w:t xml:space="preserve"> JSC with proposals on the distribution of net income of </w:t>
      </w:r>
      <w:r>
        <w:rPr>
          <w:sz w:val="28"/>
          <w:szCs w:val="28"/>
          <w:lang w:val="en-US"/>
        </w:rPr>
        <w:t>“</w:t>
      </w:r>
      <w:r w:rsidRPr="00867B77">
        <w:rPr>
          <w:sz w:val="28"/>
          <w:szCs w:val="28"/>
          <w:lang w:val="en-US"/>
        </w:rPr>
        <w:t>Samruk-Energy</w:t>
      </w:r>
      <w:r>
        <w:rPr>
          <w:sz w:val="28"/>
          <w:szCs w:val="28"/>
          <w:lang w:val="en-US"/>
        </w:rPr>
        <w:t>”</w:t>
      </w:r>
      <w:r w:rsidRPr="00867B77">
        <w:rPr>
          <w:sz w:val="28"/>
          <w:szCs w:val="28"/>
          <w:lang w:val="en-US"/>
        </w:rPr>
        <w:t xml:space="preserve"> JSC and the amount of dividend per common share of </w:t>
      </w:r>
      <w:r>
        <w:rPr>
          <w:sz w:val="28"/>
          <w:szCs w:val="28"/>
          <w:lang w:val="en-US"/>
        </w:rPr>
        <w:t>“</w:t>
      </w:r>
      <w:r w:rsidRPr="00867B77">
        <w:rPr>
          <w:sz w:val="28"/>
          <w:szCs w:val="28"/>
          <w:lang w:val="en-US"/>
        </w:rPr>
        <w:t>Samruk-Energy</w:t>
      </w:r>
      <w:r>
        <w:rPr>
          <w:sz w:val="28"/>
          <w:szCs w:val="28"/>
          <w:lang w:val="en-US"/>
        </w:rPr>
        <w:t>”</w:t>
      </w:r>
      <w:r w:rsidRPr="00867B77">
        <w:rPr>
          <w:sz w:val="28"/>
          <w:szCs w:val="28"/>
          <w:lang w:val="en-US"/>
        </w:rPr>
        <w:t xml:space="preserve"> JSC</w:t>
      </w:r>
      <w:r>
        <w:rPr>
          <w:sz w:val="28"/>
          <w:szCs w:val="28"/>
          <w:lang w:val="en-US"/>
        </w:rPr>
        <w:t>.</w:t>
      </w:r>
    </w:p>
    <w:p w:rsidR="00F421F5" w:rsidRDefault="00F421F5" w:rsidP="00F421F5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867B77">
        <w:rPr>
          <w:sz w:val="28"/>
          <w:szCs w:val="28"/>
          <w:lang w:val="en-US"/>
        </w:rPr>
        <w:t>Approval of the risk management report with a description and analysis of key risks, as well as information on the implementation of plans and programs to minimize the risks of</w:t>
      </w:r>
      <w:r>
        <w:rPr>
          <w:sz w:val="28"/>
          <w:szCs w:val="28"/>
          <w:lang w:val="en-US"/>
        </w:rPr>
        <w:t xml:space="preserve"> “</w:t>
      </w:r>
      <w:r w:rsidRPr="00867B77">
        <w:rPr>
          <w:sz w:val="28"/>
          <w:szCs w:val="28"/>
          <w:lang w:val="en-US"/>
        </w:rPr>
        <w:t>Samruk-Energy</w:t>
      </w:r>
      <w:r>
        <w:rPr>
          <w:sz w:val="28"/>
          <w:szCs w:val="28"/>
          <w:lang w:val="en-US"/>
        </w:rPr>
        <w:t>”</w:t>
      </w:r>
      <w:r w:rsidRPr="00867B77">
        <w:rPr>
          <w:sz w:val="28"/>
          <w:szCs w:val="28"/>
          <w:lang w:val="en-US"/>
        </w:rPr>
        <w:t xml:space="preserve"> JSC for the </w:t>
      </w:r>
      <w:r>
        <w:rPr>
          <w:sz w:val="28"/>
          <w:szCs w:val="28"/>
          <w:lang w:val="en-US"/>
        </w:rPr>
        <w:t>4Q</w:t>
      </w:r>
      <w:r w:rsidRPr="00867B77">
        <w:rPr>
          <w:sz w:val="28"/>
          <w:szCs w:val="28"/>
          <w:lang w:val="en-US"/>
        </w:rPr>
        <w:t xml:space="preserve"> of 2019.</w:t>
      </w:r>
    </w:p>
    <w:p w:rsidR="00F421F5" w:rsidRDefault="00F421F5" w:rsidP="00F421F5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Pr="00D90998">
        <w:rPr>
          <w:sz w:val="28"/>
          <w:szCs w:val="28"/>
          <w:lang w:val="en-US"/>
        </w:rPr>
        <w:t xml:space="preserve"> Consideration of the Report on compliance/non-compliance with principles and provisions of “Samruk-Energy” JSC Corporate Governance Code following the results of 201</w:t>
      </w:r>
      <w:r>
        <w:rPr>
          <w:sz w:val="28"/>
          <w:szCs w:val="28"/>
          <w:lang w:val="en-US"/>
        </w:rPr>
        <w:t>9</w:t>
      </w:r>
      <w:r w:rsidRPr="00D90998">
        <w:rPr>
          <w:sz w:val="28"/>
          <w:szCs w:val="28"/>
          <w:lang w:val="en-US"/>
        </w:rPr>
        <w:t>.</w:t>
      </w:r>
    </w:p>
    <w:p w:rsidR="00F421F5" w:rsidRDefault="00F421F5" w:rsidP="00F421F5">
      <w:pPr>
        <w:ind w:firstLine="708"/>
        <w:jc w:val="both"/>
        <w:rPr>
          <w:sz w:val="28"/>
          <w:szCs w:val="28"/>
          <w:lang w:val="en-US"/>
        </w:rPr>
      </w:pPr>
    </w:p>
    <w:p w:rsidR="00F421F5" w:rsidRDefault="00F421F5" w:rsidP="00F421F5">
      <w:pPr>
        <w:ind w:firstLine="567"/>
        <w:jc w:val="both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 xml:space="preserve">The following BOD members participated: </w:t>
      </w:r>
    </w:p>
    <w:p w:rsidR="00F421F5" w:rsidRDefault="00F421F5" w:rsidP="00F421F5">
      <w:pPr>
        <w:jc w:val="both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 xml:space="preserve">        B. Karymsakov, A. Zhamiyev, Luca Sutera, </w:t>
      </w:r>
    </w:p>
    <w:p w:rsidR="00F421F5" w:rsidRDefault="00F421F5" w:rsidP="00F421F5">
      <w:pPr>
        <w:jc w:val="both"/>
        <w:rPr>
          <w:rFonts w:eastAsiaTheme="minorHAnsi"/>
          <w:b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en-US" w:eastAsia="en-US"/>
        </w:rPr>
        <w:t xml:space="preserve">        Andreas Stoerzel, Joaquin Galindo, B. Zhulamanov.</w:t>
      </w:r>
    </w:p>
    <w:p w:rsidR="00F421F5" w:rsidRPr="00D90998" w:rsidRDefault="00F421F5" w:rsidP="00F421F5">
      <w:pPr>
        <w:ind w:firstLine="708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F421F5" w:rsidRPr="00D90998" w:rsidRDefault="00F421F5" w:rsidP="00F421F5">
      <w:pPr>
        <w:rPr>
          <w:lang w:val="en-US"/>
        </w:rPr>
      </w:pPr>
    </w:p>
    <w:p w:rsidR="00F421F5" w:rsidRDefault="00F421F5" w:rsidP="00F421F5">
      <w:pPr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</w:p>
    <w:p w:rsidR="00D27DE7" w:rsidRPr="00F421F5" w:rsidRDefault="00D27DE7">
      <w:pPr>
        <w:rPr>
          <w:lang w:val="en-US"/>
        </w:rPr>
      </w:pPr>
    </w:p>
    <w:sectPr w:rsidR="00D27DE7" w:rsidRPr="00F4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F5"/>
    <w:rsid w:val="00D27DE7"/>
    <w:rsid w:val="00F4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DD36F-E814-478B-9EDB-8141E7E3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2020-04-07T05:04:00Z</dcterms:created>
  <dcterms:modified xsi:type="dcterms:W3CDTF">2020-04-07T05:10:00Z</dcterms:modified>
</cp:coreProperties>
</file>