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F92" w:rsidRPr="00D95AE3" w:rsidRDefault="00D92F92" w:rsidP="00D92F92">
      <w:pPr>
        <w:spacing w:after="160" w:line="259"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D95AE3">
        <w:rPr>
          <w:rFonts w:ascii="Times New Roman" w:hAnsi="Times New Roman" w:cs="Times New Roman"/>
          <w:b/>
          <w:sz w:val="28"/>
          <w:szCs w:val="28"/>
          <w:lang w:val="en-US"/>
        </w:rPr>
        <w:t xml:space="preserve">Meeting </w:t>
      </w:r>
      <w:r>
        <w:rPr>
          <w:rFonts w:ascii="Times New Roman" w:hAnsi="Times New Roman" w:cs="Times New Roman"/>
          <w:b/>
          <w:sz w:val="28"/>
          <w:szCs w:val="28"/>
          <w:lang w:val="en-US"/>
        </w:rPr>
        <w:t>Ma</w:t>
      </w:r>
      <w:r w:rsidR="00C37EF2">
        <w:rPr>
          <w:rFonts w:ascii="Times New Roman" w:hAnsi="Times New Roman" w:cs="Times New Roman"/>
          <w:b/>
          <w:sz w:val="28"/>
          <w:szCs w:val="28"/>
          <w:lang w:val="en-US"/>
        </w:rPr>
        <w:t>y 22</w:t>
      </w:r>
      <w:r w:rsidRPr="00D95AE3">
        <w:rPr>
          <w:rFonts w:ascii="Times New Roman" w:hAnsi="Times New Roman" w:cs="Times New Roman"/>
          <w:b/>
          <w:sz w:val="28"/>
          <w:szCs w:val="28"/>
          <w:lang w:val="en-US"/>
        </w:rPr>
        <w:t>, 201</w:t>
      </w:r>
      <w:r>
        <w:rPr>
          <w:rFonts w:ascii="Times New Roman" w:hAnsi="Times New Roman" w:cs="Times New Roman"/>
          <w:b/>
          <w:sz w:val="28"/>
          <w:szCs w:val="28"/>
          <w:lang w:val="en-US"/>
        </w:rPr>
        <w:t>9</w:t>
      </w:r>
      <w:r w:rsidRPr="00D95AE3">
        <w:rPr>
          <w:rFonts w:ascii="Times New Roman" w:hAnsi="Times New Roman" w:cs="Times New Roman"/>
          <w:b/>
          <w:sz w:val="28"/>
          <w:szCs w:val="28"/>
          <w:lang w:val="en-US"/>
        </w:rPr>
        <w:t>.</w:t>
      </w:r>
    </w:p>
    <w:p w:rsidR="00D92F92" w:rsidRDefault="00D92F92" w:rsidP="00D92F92">
      <w:pPr>
        <w:spacing w:after="0" w:line="240" w:lineRule="auto"/>
        <w:ind w:firstLine="709"/>
        <w:jc w:val="both"/>
        <w:rPr>
          <w:rFonts w:ascii="Times New Roman" w:hAnsi="Times New Roman" w:cs="Times New Roman"/>
          <w:sz w:val="28"/>
          <w:szCs w:val="28"/>
          <w:lang w:val="en-US"/>
        </w:rPr>
      </w:pPr>
      <w:r w:rsidRPr="00D95AE3">
        <w:rPr>
          <w:rFonts w:ascii="Times New Roman" w:hAnsi="Times New Roman" w:cs="Times New Roman"/>
          <w:sz w:val="28"/>
          <w:szCs w:val="28"/>
          <w:lang w:val="en-US"/>
        </w:rPr>
        <w:t xml:space="preserve">The following items were considered at the meeting of the Company’s Board of Directors dated </w:t>
      </w:r>
      <w:r>
        <w:rPr>
          <w:rFonts w:ascii="Times New Roman" w:hAnsi="Times New Roman" w:cs="Times New Roman"/>
          <w:sz w:val="28"/>
          <w:szCs w:val="28"/>
          <w:lang w:val="en-US"/>
        </w:rPr>
        <w:t>Ma</w:t>
      </w:r>
      <w:r w:rsidR="00C37EF2">
        <w:rPr>
          <w:rFonts w:ascii="Times New Roman" w:hAnsi="Times New Roman" w:cs="Times New Roman"/>
          <w:sz w:val="28"/>
          <w:szCs w:val="28"/>
          <w:lang w:val="en-US"/>
        </w:rPr>
        <w:t>y 22</w:t>
      </w:r>
      <w:r w:rsidRPr="00D95AE3">
        <w:rPr>
          <w:rFonts w:ascii="Times New Roman" w:hAnsi="Times New Roman" w:cs="Times New Roman"/>
          <w:sz w:val="28"/>
          <w:szCs w:val="28"/>
          <w:lang w:val="en-US"/>
        </w:rPr>
        <w:t>, 201</w:t>
      </w:r>
      <w:r>
        <w:rPr>
          <w:rFonts w:ascii="Times New Roman" w:hAnsi="Times New Roman" w:cs="Times New Roman"/>
          <w:sz w:val="28"/>
          <w:szCs w:val="28"/>
          <w:lang w:val="en-US"/>
        </w:rPr>
        <w:t>9</w:t>
      </w:r>
      <w:r w:rsidRPr="00D95AE3">
        <w:rPr>
          <w:rFonts w:ascii="Times New Roman" w:hAnsi="Times New Roman" w:cs="Times New Roman"/>
          <w:sz w:val="28"/>
          <w:szCs w:val="28"/>
          <w:lang w:val="en-US"/>
        </w:rPr>
        <w:t xml:space="preserve"> in accordance with the Company’s Charter, the Regulations on the Board of Directors of the Company, the Law of the Republic of Kazakhstan “On Joint-Stock Companies”:</w:t>
      </w:r>
    </w:p>
    <w:p w:rsidR="006E1FF9" w:rsidRPr="006E1FF9" w:rsidRDefault="006E1FF9" w:rsidP="006E1FF9">
      <w:pPr>
        <w:spacing w:after="0" w:line="240" w:lineRule="auto"/>
        <w:ind w:firstLine="709"/>
        <w:jc w:val="both"/>
        <w:rPr>
          <w:rFonts w:ascii="Times New Roman" w:hAnsi="Times New Roman" w:cs="Times New Roman"/>
          <w:sz w:val="28"/>
          <w:szCs w:val="28"/>
          <w:lang w:val="en-US"/>
        </w:rPr>
      </w:pPr>
      <w:r w:rsidRPr="006E1FF9">
        <w:rPr>
          <w:rFonts w:ascii="Times New Roman" w:hAnsi="Times New Roman" w:cs="Times New Roman"/>
          <w:sz w:val="28"/>
          <w:szCs w:val="28"/>
          <w:lang w:val="en-US"/>
        </w:rPr>
        <w:t xml:space="preserve">- </w:t>
      </w:r>
      <w:r w:rsidRPr="006E1FF9">
        <w:rPr>
          <w:rFonts w:ascii="Times New Roman" w:hAnsi="Times New Roman" w:cs="Times New Roman"/>
          <w:sz w:val="28"/>
          <w:szCs w:val="28"/>
          <w:lang w:val="en-US"/>
        </w:rPr>
        <w:t>On approval of the condensed consolidated interim financial statements of “Samruk-Energy” JSC as of 31 March 2019.</w:t>
      </w:r>
    </w:p>
    <w:p w:rsidR="006E1FF9" w:rsidRPr="006E1FF9" w:rsidRDefault="006E1FF9" w:rsidP="006E1FF9">
      <w:pPr>
        <w:spacing w:after="0" w:line="240" w:lineRule="auto"/>
        <w:ind w:firstLine="709"/>
        <w:jc w:val="both"/>
        <w:rPr>
          <w:rFonts w:ascii="Times New Roman" w:hAnsi="Times New Roman" w:cs="Times New Roman"/>
          <w:sz w:val="28"/>
          <w:szCs w:val="28"/>
          <w:lang w:val="en-US"/>
        </w:rPr>
      </w:pPr>
      <w:r w:rsidRPr="006E1FF9">
        <w:rPr>
          <w:rFonts w:ascii="Times New Roman" w:hAnsi="Times New Roman" w:cs="Times New Roman"/>
          <w:sz w:val="28"/>
          <w:szCs w:val="28"/>
          <w:lang w:val="en-US"/>
        </w:rPr>
        <w:t>-</w:t>
      </w:r>
      <w:r w:rsidRPr="006E1FF9">
        <w:rPr>
          <w:rFonts w:ascii="Times New Roman" w:hAnsi="Times New Roman" w:cs="Times New Roman"/>
          <w:sz w:val="28"/>
          <w:szCs w:val="28"/>
          <w:lang w:val="en-US"/>
        </w:rPr>
        <w:t xml:space="preserve"> Approval of the main parameters of the Treasury Portfolio of “Samruk-Energy” JSC for the years 2019-2021 in a new wording.</w:t>
      </w:r>
    </w:p>
    <w:p w:rsidR="006E1FF9" w:rsidRPr="006E1FF9" w:rsidRDefault="006E1FF9" w:rsidP="006E1FF9">
      <w:pPr>
        <w:spacing w:after="0" w:line="240" w:lineRule="auto"/>
        <w:ind w:firstLine="709"/>
        <w:jc w:val="both"/>
        <w:rPr>
          <w:rFonts w:ascii="Times New Roman" w:hAnsi="Times New Roman" w:cs="Times New Roman"/>
          <w:sz w:val="28"/>
          <w:szCs w:val="28"/>
          <w:lang w:val="en-US"/>
        </w:rPr>
      </w:pPr>
      <w:r w:rsidRPr="006E1FF9">
        <w:rPr>
          <w:rFonts w:ascii="Times New Roman" w:hAnsi="Times New Roman" w:cs="Times New Roman"/>
          <w:sz w:val="28"/>
          <w:szCs w:val="28"/>
          <w:lang w:val="en-US"/>
        </w:rPr>
        <w:t>-</w:t>
      </w:r>
      <w:r w:rsidRPr="006E1FF9">
        <w:rPr>
          <w:rFonts w:ascii="Times New Roman" w:hAnsi="Times New Roman" w:cs="Times New Roman"/>
          <w:sz w:val="28"/>
          <w:szCs w:val="28"/>
          <w:lang w:val="en-US"/>
        </w:rPr>
        <w:t xml:space="preserve"> Report on concluded related party transactions and their solutions adopted by the Management Board of «Samruk-Energy» JSC in I quarter of 2019.</w:t>
      </w:r>
    </w:p>
    <w:p w:rsidR="006E1FF9" w:rsidRPr="006E1FF9" w:rsidRDefault="006E1FF9" w:rsidP="006E1FF9">
      <w:pPr>
        <w:spacing w:after="0" w:line="240" w:lineRule="auto"/>
        <w:ind w:firstLine="709"/>
        <w:jc w:val="both"/>
        <w:rPr>
          <w:rFonts w:ascii="Times New Roman" w:hAnsi="Times New Roman" w:cs="Times New Roman"/>
          <w:sz w:val="28"/>
          <w:szCs w:val="28"/>
          <w:lang w:val="en-US"/>
        </w:rPr>
      </w:pPr>
      <w:r w:rsidRPr="006E1FF9">
        <w:rPr>
          <w:rFonts w:ascii="Times New Roman" w:hAnsi="Times New Roman" w:cs="Times New Roman"/>
          <w:sz w:val="28"/>
          <w:szCs w:val="28"/>
          <w:lang w:val="en-US"/>
        </w:rPr>
        <w:t>-</w:t>
      </w:r>
      <w:r w:rsidRPr="006E1FF9">
        <w:rPr>
          <w:rFonts w:ascii="Times New Roman" w:hAnsi="Times New Roman" w:cs="Times New Roman"/>
          <w:sz w:val="28"/>
          <w:szCs w:val="28"/>
          <w:lang w:val="en-US"/>
        </w:rPr>
        <w:t xml:space="preserve"> Amendments to the Code of conduct of "Samruk-Energy" JSC.</w:t>
      </w:r>
    </w:p>
    <w:p w:rsidR="006E1FF9" w:rsidRPr="006E1FF9" w:rsidRDefault="006E1FF9" w:rsidP="006E1FF9">
      <w:pPr>
        <w:spacing w:after="0" w:line="240" w:lineRule="auto"/>
        <w:ind w:firstLine="709"/>
        <w:jc w:val="both"/>
        <w:rPr>
          <w:rFonts w:ascii="Times New Roman" w:hAnsi="Times New Roman" w:cs="Times New Roman"/>
          <w:sz w:val="28"/>
          <w:szCs w:val="28"/>
          <w:lang w:val="en-US"/>
        </w:rPr>
      </w:pPr>
      <w:r w:rsidRPr="006E1FF9">
        <w:rPr>
          <w:rFonts w:ascii="Times New Roman" w:hAnsi="Times New Roman" w:cs="Times New Roman"/>
          <w:sz w:val="28"/>
          <w:szCs w:val="28"/>
          <w:lang w:val="en-US"/>
        </w:rPr>
        <w:t>-</w:t>
      </w:r>
      <w:r w:rsidRPr="006E1FF9">
        <w:rPr>
          <w:rFonts w:ascii="Times New Roman" w:hAnsi="Times New Roman" w:cs="Times New Roman"/>
          <w:sz w:val="28"/>
          <w:szCs w:val="28"/>
          <w:lang w:val="en-US"/>
        </w:rPr>
        <w:t xml:space="preserve"> Early termination of powers and election of the Chairman and members of the Board of Directors of “Moynak HPP” JSC, determining the quantitative composition, term of office, amount and terms of remuneration payments to members of the Board of Directors of “Moynak HPP” JSC.</w:t>
      </w:r>
    </w:p>
    <w:p w:rsidR="006E1FF9" w:rsidRPr="006E1FF9" w:rsidRDefault="006E1FF9" w:rsidP="006E1FF9">
      <w:pPr>
        <w:spacing w:after="0" w:line="240" w:lineRule="auto"/>
        <w:ind w:firstLine="709"/>
        <w:jc w:val="both"/>
        <w:rPr>
          <w:rFonts w:ascii="Times New Roman" w:hAnsi="Times New Roman" w:cs="Times New Roman"/>
          <w:sz w:val="28"/>
          <w:szCs w:val="28"/>
          <w:lang w:val="en-US"/>
        </w:rPr>
      </w:pPr>
      <w:r w:rsidRPr="006E1FF9">
        <w:rPr>
          <w:rFonts w:ascii="Times New Roman" w:hAnsi="Times New Roman" w:cs="Times New Roman"/>
          <w:sz w:val="28"/>
          <w:szCs w:val="28"/>
          <w:lang w:val="en-US"/>
        </w:rPr>
        <w:t>-</w:t>
      </w:r>
      <w:r w:rsidRPr="006E1FF9">
        <w:rPr>
          <w:rFonts w:ascii="Times New Roman" w:hAnsi="Times New Roman" w:cs="Times New Roman"/>
          <w:sz w:val="28"/>
          <w:szCs w:val="28"/>
          <w:lang w:val="en-US"/>
        </w:rPr>
        <w:t xml:space="preserve"> Approval of the risk management report with a description and analysis of key risks, as well as information on the implementation of plans and programs to minimize the risks of Samruk-Energy JSC for the 1st quarter of 2019.</w:t>
      </w:r>
    </w:p>
    <w:p w:rsidR="006E1FF9" w:rsidRPr="006E1FF9" w:rsidRDefault="006E1FF9" w:rsidP="006E1FF9">
      <w:pPr>
        <w:spacing w:after="0" w:line="240" w:lineRule="auto"/>
        <w:ind w:firstLine="709"/>
        <w:jc w:val="both"/>
        <w:rPr>
          <w:rFonts w:ascii="Times New Roman" w:hAnsi="Times New Roman" w:cs="Times New Roman"/>
          <w:sz w:val="28"/>
          <w:szCs w:val="28"/>
          <w:lang w:val="en-US"/>
        </w:rPr>
      </w:pPr>
      <w:r w:rsidRPr="006E1FF9">
        <w:rPr>
          <w:rFonts w:ascii="Times New Roman" w:hAnsi="Times New Roman" w:cs="Times New Roman"/>
          <w:sz w:val="28"/>
          <w:szCs w:val="28"/>
          <w:lang w:val="en-US"/>
        </w:rPr>
        <w:t>-</w:t>
      </w:r>
      <w:r w:rsidRPr="006E1FF9">
        <w:rPr>
          <w:rFonts w:ascii="Times New Roman" w:hAnsi="Times New Roman" w:cs="Times New Roman"/>
          <w:sz w:val="28"/>
          <w:szCs w:val="28"/>
          <w:lang w:val="en-US"/>
        </w:rPr>
        <w:t xml:space="preserve"> Investments development report of “Samruk-Energy” JSC’s investment projects for first quarter of 2019.</w:t>
      </w:r>
    </w:p>
    <w:p w:rsidR="00D92F92" w:rsidRPr="00D95AE3" w:rsidRDefault="00D92F92" w:rsidP="00D92F92">
      <w:pPr>
        <w:spacing w:after="0" w:line="240" w:lineRule="auto"/>
        <w:ind w:firstLine="709"/>
        <w:jc w:val="both"/>
        <w:rPr>
          <w:rFonts w:ascii="Times New Roman" w:hAnsi="Times New Roman" w:cs="Times New Roman"/>
          <w:sz w:val="28"/>
          <w:szCs w:val="28"/>
          <w:lang w:val="en-US"/>
        </w:rPr>
      </w:pPr>
    </w:p>
    <w:p w:rsidR="00D92F92" w:rsidRPr="00D95AE3" w:rsidRDefault="00D92F92" w:rsidP="00D92F92">
      <w:pPr>
        <w:spacing w:after="0" w:line="240" w:lineRule="auto"/>
        <w:ind w:firstLine="567"/>
        <w:jc w:val="both"/>
        <w:rPr>
          <w:rFonts w:ascii="Times New Roman" w:hAnsi="Times New Roman" w:cs="Times New Roman"/>
          <w:b/>
          <w:sz w:val="28"/>
          <w:szCs w:val="28"/>
          <w:lang w:val="en-US"/>
        </w:rPr>
      </w:pPr>
      <w:bookmarkStart w:id="0" w:name="_GoBack"/>
      <w:bookmarkEnd w:id="0"/>
      <w:r w:rsidRPr="00D95AE3">
        <w:rPr>
          <w:rFonts w:ascii="Times New Roman" w:hAnsi="Times New Roman" w:cs="Times New Roman"/>
          <w:b/>
          <w:sz w:val="28"/>
          <w:szCs w:val="28"/>
          <w:lang w:val="en-US"/>
        </w:rPr>
        <w:t xml:space="preserve">The following BOD members participated: </w:t>
      </w:r>
    </w:p>
    <w:p w:rsidR="00D92F92" w:rsidRPr="00D95AE3" w:rsidRDefault="00D92F92" w:rsidP="00D92F92">
      <w:pPr>
        <w:spacing w:after="0" w:line="240" w:lineRule="auto"/>
        <w:jc w:val="both"/>
        <w:rPr>
          <w:rFonts w:ascii="Times New Roman" w:hAnsi="Times New Roman" w:cs="Times New Roman"/>
          <w:b/>
          <w:sz w:val="28"/>
          <w:szCs w:val="28"/>
          <w:lang w:val="en-US"/>
        </w:rPr>
      </w:pPr>
      <w:r w:rsidRPr="00D95AE3">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B. Karymsakov, </w:t>
      </w:r>
      <w:r w:rsidRPr="00D95AE3">
        <w:rPr>
          <w:rFonts w:ascii="Times New Roman" w:hAnsi="Times New Roman" w:cs="Times New Roman"/>
          <w:b/>
          <w:sz w:val="28"/>
          <w:szCs w:val="28"/>
          <w:lang w:val="en-US"/>
        </w:rPr>
        <w:t xml:space="preserve">Luca Sutera, </w:t>
      </w:r>
      <w:r>
        <w:rPr>
          <w:rFonts w:ascii="Times New Roman" w:hAnsi="Times New Roman" w:cs="Times New Roman"/>
          <w:b/>
          <w:sz w:val="28"/>
          <w:szCs w:val="28"/>
          <w:lang w:val="en-US"/>
        </w:rPr>
        <w:t>N. Rakhmetov</w:t>
      </w:r>
      <w:r w:rsidRPr="00D95AE3">
        <w:rPr>
          <w:rFonts w:ascii="Times New Roman" w:hAnsi="Times New Roman" w:cs="Times New Roman"/>
          <w:b/>
          <w:sz w:val="28"/>
          <w:szCs w:val="28"/>
          <w:lang w:val="en-US"/>
        </w:rPr>
        <w:t>, Andreas Stoerzel,</w:t>
      </w:r>
    </w:p>
    <w:p w:rsidR="00D92F92" w:rsidRPr="00D95AE3" w:rsidRDefault="00D92F92" w:rsidP="00D92F92">
      <w:pPr>
        <w:spacing w:after="0" w:line="240" w:lineRule="auto"/>
        <w:jc w:val="both"/>
        <w:rPr>
          <w:rFonts w:ascii="Times New Roman" w:hAnsi="Times New Roman" w:cs="Times New Roman"/>
          <w:b/>
          <w:sz w:val="28"/>
          <w:szCs w:val="28"/>
          <w:lang w:val="en-US"/>
        </w:rPr>
      </w:pPr>
      <w:r w:rsidRPr="00D95AE3">
        <w:rPr>
          <w:rFonts w:ascii="Times New Roman" w:hAnsi="Times New Roman" w:cs="Times New Roman"/>
          <w:b/>
          <w:sz w:val="28"/>
          <w:szCs w:val="28"/>
          <w:lang w:val="en-US"/>
        </w:rPr>
        <w:t xml:space="preserve">        Joaquin Galindo, </w:t>
      </w:r>
      <w:r>
        <w:rPr>
          <w:rFonts w:ascii="Times New Roman" w:hAnsi="Times New Roman" w:cs="Times New Roman"/>
          <w:b/>
          <w:sz w:val="28"/>
          <w:szCs w:val="28"/>
          <w:lang w:val="en-US"/>
        </w:rPr>
        <w:t xml:space="preserve">B. </w:t>
      </w:r>
      <w:r w:rsidRPr="00D95AE3">
        <w:rPr>
          <w:rFonts w:ascii="Times New Roman" w:hAnsi="Times New Roman" w:cs="Times New Roman"/>
          <w:b/>
          <w:sz w:val="28"/>
          <w:szCs w:val="28"/>
          <w:lang w:val="en-US"/>
        </w:rPr>
        <w:t xml:space="preserve">Zhulamanov, </w:t>
      </w:r>
      <w:r>
        <w:rPr>
          <w:rFonts w:ascii="Times New Roman" w:hAnsi="Times New Roman" w:cs="Times New Roman"/>
          <w:b/>
          <w:sz w:val="28"/>
          <w:szCs w:val="28"/>
          <w:lang w:val="en-US"/>
        </w:rPr>
        <w:t xml:space="preserve">A. </w:t>
      </w:r>
      <w:r w:rsidRPr="00D95AE3">
        <w:rPr>
          <w:rFonts w:ascii="Times New Roman" w:hAnsi="Times New Roman" w:cs="Times New Roman"/>
          <w:b/>
          <w:sz w:val="28"/>
          <w:szCs w:val="28"/>
          <w:lang w:val="en-US"/>
        </w:rPr>
        <w:t>Spitsyn.</w:t>
      </w:r>
    </w:p>
    <w:p w:rsidR="00D92F92" w:rsidRPr="00D95AE3" w:rsidRDefault="00D92F92" w:rsidP="00D92F92">
      <w:pPr>
        <w:spacing w:after="160" w:line="254" w:lineRule="auto"/>
        <w:rPr>
          <w:lang w:val="en-US"/>
        </w:rPr>
      </w:pPr>
    </w:p>
    <w:p w:rsidR="00D92F92" w:rsidRPr="00D92F92" w:rsidRDefault="00D92F92">
      <w:pPr>
        <w:rPr>
          <w:lang w:val="en-US"/>
        </w:rPr>
      </w:pPr>
    </w:p>
    <w:sectPr w:rsidR="00D92F92" w:rsidRPr="00D92F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F92"/>
    <w:rsid w:val="006E1FF9"/>
    <w:rsid w:val="008D3C2C"/>
    <w:rsid w:val="00C37EF2"/>
    <w:rsid w:val="00D92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246DE-5FB5-4C62-A1BB-D7427ECE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F9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Байузакова Айгерим Абиырбековна</dc:creator>
  <cp:keywords/>
  <dc:description/>
  <cp:lastModifiedBy>Байузакова Айгерим Абиырбековна</cp:lastModifiedBy>
  <cp:revision>3</cp:revision>
  <dcterms:created xsi:type="dcterms:W3CDTF">2019-05-29T05:57:00Z</dcterms:created>
  <dcterms:modified xsi:type="dcterms:W3CDTF">2019-05-29T05:58:00Z</dcterms:modified>
</cp:coreProperties>
</file>