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53" w:rsidRPr="00B17953" w:rsidRDefault="00B17953" w:rsidP="00B17953">
      <w:pPr>
        <w:ind w:firstLine="708"/>
        <w:rPr>
          <w:rFonts w:ascii="Times New Roman" w:hAnsi="Times New Roman"/>
          <w:b/>
          <w:sz w:val="28"/>
          <w:szCs w:val="28"/>
          <w:lang w:val="en-US"/>
        </w:rPr>
      </w:pPr>
      <w:r w:rsidRPr="00B17953">
        <w:rPr>
          <w:rFonts w:ascii="Times New Roman" w:hAnsi="Times New Roman"/>
          <w:b/>
          <w:sz w:val="28"/>
          <w:szCs w:val="28"/>
          <w:lang w:val="en-US"/>
        </w:rPr>
        <w:t>Management report on the results of 2014</w:t>
      </w:r>
    </w:p>
    <w:p w:rsidR="00B17953" w:rsidRPr="00B17953" w:rsidRDefault="00B17953" w:rsidP="00B17953">
      <w:pPr>
        <w:ind w:firstLine="708"/>
        <w:rPr>
          <w:rFonts w:ascii="Times New Roman" w:hAnsi="Times New Roman"/>
          <w:sz w:val="28"/>
          <w:szCs w:val="28"/>
          <w:lang w:val="en-US"/>
        </w:rPr>
      </w:pPr>
      <w:r w:rsidRPr="00B17953">
        <w:rPr>
          <w:rFonts w:ascii="Times New Roman" w:hAnsi="Times New Roman"/>
          <w:sz w:val="28"/>
          <w:szCs w:val="28"/>
          <w:lang w:val="en-US"/>
        </w:rPr>
        <w:t xml:space="preserve">To date, the Company is the largest diversified </w:t>
      </w:r>
      <w:r>
        <w:rPr>
          <w:rFonts w:ascii="Times New Roman" w:hAnsi="Times New Roman"/>
          <w:sz w:val="28"/>
          <w:szCs w:val="28"/>
          <w:lang w:val="en-US"/>
        </w:rPr>
        <w:t>energy</w:t>
      </w:r>
      <w:r w:rsidRPr="00B17953">
        <w:rPr>
          <w:rFonts w:ascii="Times New Roman" w:hAnsi="Times New Roman"/>
          <w:sz w:val="28"/>
          <w:szCs w:val="28"/>
          <w:lang w:val="en-US"/>
        </w:rPr>
        <w:t xml:space="preserve"> holding company</w:t>
      </w:r>
      <w:r>
        <w:rPr>
          <w:rFonts w:ascii="Times New Roman" w:hAnsi="Times New Roman"/>
          <w:sz w:val="28"/>
          <w:szCs w:val="28"/>
          <w:lang w:val="en-US"/>
        </w:rPr>
        <w:t xml:space="preserve"> that has</w:t>
      </w:r>
      <w:r w:rsidRPr="00B17953">
        <w:rPr>
          <w:rFonts w:ascii="Times New Roman" w:hAnsi="Times New Roman"/>
          <w:sz w:val="28"/>
          <w:szCs w:val="28"/>
          <w:lang w:val="en-US"/>
        </w:rPr>
        <w:t xml:space="preserve"> successfully integrated into the international power balance, forming a highly efficient power supply, as well as </w:t>
      </w:r>
      <w:r>
        <w:rPr>
          <w:rFonts w:ascii="Times New Roman" w:hAnsi="Times New Roman"/>
          <w:sz w:val="28"/>
          <w:szCs w:val="28"/>
          <w:lang w:val="en-US"/>
        </w:rPr>
        <w:t xml:space="preserve">providing </w:t>
      </w:r>
      <w:r w:rsidRPr="00B17953">
        <w:rPr>
          <w:rFonts w:ascii="Times New Roman" w:hAnsi="Times New Roman"/>
          <w:sz w:val="28"/>
          <w:szCs w:val="28"/>
          <w:lang w:val="en-US"/>
        </w:rPr>
        <w:t>sustainable development of all sectors of Kazakhstan.</w:t>
      </w:r>
    </w:p>
    <w:p w:rsidR="00B17953" w:rsidRPr="00B17953" w:rsidRDefault="00B17953" w:rsidP="00B17953">
      <w:pPr>
        <w:ind w:firstLine="708"/>
        <w:rPr>
          <w:rFonts w:ascii="Times New Roman" w:hAnsi="Times New Roman"/>
          <w:sz w:val="28"/>
          <w:szCs w:val="28"/>
          <w:lang w:val="en-US"/>
        </w:rPr>
      </w:pPr>
      <w:r>
        <w:rPr>
          <w:rFonts w:ascii="Times New Roman" w:hAnsi="Times New Roman"/>
          <w:sz w:val="28"/>
          <w:szCs w:val="28"/>
          <w:lang w:val="en-US"/>
        </w:rPr>
        <w:t>In 2014 Company’s operations in power and coal industries were carried out</w:t>
      </w:r>
      <w:r w:rsidRPr="00B17953">
        <w:rPr>
          <w:rFonts w:ascii="Times New Roman" w:hAnsi="Times New Roman"/>
          <w:sz w:val="28"/>
          <w:szCs w:val="28"/>
          <w:lang w:val="en-US"/>
        </w:rPr>
        <w:t xml:space="preserve"> in accordance with approved plans. Below is an overview of the electricity and coal industries.</w:t>
      </w:r>
    </w:p>
    <w:p w:rsidR="00B17953" w:rsidRPr="00DA1D7E" w:rsidRDefault="00B17953" w:rsidP="00B17953">
      <w:pPr>
        <w:ind w:firstLine="708"/>
        <w:rPr>
          <w:rFonts w:ascii="Times New Roman" w:hAnsi="Times New Roman"/>
          <w:b/>
          <w:sz w:val="28"/>
          <w:szCs w:val="28"/>
          <w:lang w:val="en-US"/>
        </w:rPr>
      </w:pPr>
      <w:r w:rsidRPr="00DA1D7E">
        <w:rPr>
          <w:rFonts w:ascii="Times New Roman" w:hAnsi="Times New Roman"/>
          <w:b/>
          <w:sz w:val="28"/>
          <w:szCs w:val="28"/>
          <w:lang w:val="en-US"/>
        </w:rPr>
        <w:t>I. Electricity market</w:t>
      </w:r>
    </w:p>
    <w:p w:rsidR="00B17953" w:rsidRPr="00B17953" w:rsidRDefault="00B17953" w:rsidP="00B17953">
      <w:pPr>
        <w:ind w:firstLine="708"/>
        <w:rPr>
          <w:rFonts w:ascii="Times New Roman" w:hAnsi="Times New Roman"/>
          <w:sz w:val="28"/>
          <w:szCs w:val="28"/>
          <w:lang w:val="en-US"/>
        </w:rPr>
      </w:pPr>
      <w:r w:rsidRPr="00B17953">
        <w:rPr>
          <w:rFonts w:ascii="Times New Roman" w:hAnsi="Times New Roman"/>
          <w:sz w:val="28"/>
          <w:szCs w:val="28"/>
          <w:lang w:val="en-US"/>
        </w:rPr>
        <w:t xml:space="preserve">Electricity production in </w:t>
      </w:r>
      <w:r w:rsidR="00732F55">
        <w:rPr>
          <w:rFonts w:ascii="Times New Roman" w:hAnsi="Times New Roman"/>
          <w:sz w:val="28"/>
          <w:szCs w:val="28"/>
          <w:lang w:val="en-US"/>
        </w:rPr>
        <w:t xml:space="preserve">the Republic of </w:t>
      </w:r>
      <w:r w:rsidRPr="00B17953">
        <w:rPr>
          <w:rFonts w:ascii="Times New Roman" w:hAnsi="Times New Roman"/>
          <w:sz w:val="28"/>
          <w:szCs w:val="28"/>
          <w:lang w:val="en-US"/>
        </w:rPr>
        <w:t xml:space="preserve">Kazakhstan </w:t>
      </w:r>
      <w:r w:rsidR="00732F55">
        <w:rPr>
          <w:rFonts w:ascii="Times New Roman" w:hAnsi="Times New Roman"/>
          <w:sz w:val="28"/>
          <w:szCs w:val="28"/>
          <w:lang w:val="en-US"/>
        </w:rPr>
        <w:t xml:space="preserve">following the results </w:t>
      </w:r>
      <w:r w:rsidR="00732F55" w:rsidRPr="00B17953">
        <w:rPr>
          <w:rFonts w:ascii="Times New Roman" w:hAnsi="Times New Roman"/>
          <w:sz w:val="28"/>
          <w:szCs w:val="28"/>
          <w:lang w:val="en-US"/>
        </w:rPr>
        <w:t>of</w:t>
      </w:r>
      <w:r w:rsidRPr="00B17953">
        <w:rPr>
          <w:rFonts w:ascii="Times New Roman" w:hAnsi="Times New Roman"/>
          <w:sz w:val="28"/>
          <w:szCs w:val="28"/>
          <w:lang w:val="en-US"/>
        </w:rPr>
        <w:t xml:space="preserve"> 2014 amounted to </w:t>
      </w:r>
      <w:r w:rsidR="00732F55">
        <w:rPr>
          <w:rFonts w:ascii="Times New Roman" w:hAnsi="Times New Roman"/>
          <w:sz w:val="28"/>
          <w:szCs w:val="28"/>
          <w:lang w:val="en-US"/>
        </w:rPr>
        <w:t>93 935,</w:t>
      </w:r>
      <w:r w:rsidR="00732F55" w:rsidRPr="00B17953">
        <w:rPr>
          <w:rFonts w:ascii="Times New Roman" w:hAnsi="Times New Roman"/>
          <w:sz w:val="28"/>
          <w:szCs w:val="28"/>
          <w:lang w:val="en-US"/>
        </w:rPr>
        <w:t xml:space="preserve"> 2</w:t>
      </w:r>
      <w:r w:rsidRPr="00B17953">
        <w:rPr>
          <w:rFonts w:ascii="Times New Roman" w:hAnsi="Times New Roman"/>
          <w:sz w:val="28"/>
          <w:szCs w:val="28"/>
          <w:lang w:val="en-US"/>
        </w:rPr>
        <w:t xml:space="preserve"> million </w:t>
      </w:r>
      <w:r w:rsidR="00732F55" w:rsidRPr="00B17953">
        <w:rPr>
          <w:rFonts w:ascii="Times New Roman" w:hAnsi="Times New Roman"/>
          <w:sz w:val="28"/>
          <w:szCs w:val="28"/>
          <w:lang w:val="en-US"/>
        </w:rPr>
        <w:t>kWh which</w:t>
      </w:r>
      <w:r w:rsidRPr="00B17953">
        <w:rPr>
          <w:rFonts w:ascii="Times New Roman" w:hAnsi="Times New Roman"/>
          <w:sz w:val="28"/>
          <w:szCs w:val="28"/>
          <w:lang w:val="en-US"/>
        </w:rPr>
        <w:t xml:space="preserve"> is higher than the outcome for 2013 </w:t>
      </w:r>
      <w:r w:rsidR="00732F55">
        <w:rPr>
          <w:rFonts w:ascii="Times New Roman" w:hAnsi="Times New Roman"/>
          <w:sz w:val="28"/>
          <w:szCs w:val="28"/>
          <w:lang w:val="en-US"/>
        </w:rPr>
        <w:t>by</w:t>
      </w:r>
      <w:r w:rsidRPr="00B17953">
        <w:rPr>
          <w:rFonts w:ascii="Times New Roman" w:hAnsi="Times New Roman"/>
          <w:sz w:val="28"/>
          <w:szCs w:val="28"/>
          <w:lang w:val="en-US"/>
        </w:rPr>
        <w:t xml:space="preserve"> 2</w:t>
      </w:r>
      <w:r w:rsidR="00732F55">
        <w:rPr>
          <w:rFonts w:ascii="Times New Roman" w:hAnsi="Times New Roman"/>
          <w:sz w:val="28"/>
          <w:szCs w:val="28"/>
          <w:lang w:val="en-US"/>
        </w:rPr>
        <w:t>,</w:t>
      </w:r>
      <w:r w:rsidR="00732F55" w:rsidRPr="00B17953">
        <w:rPr>
          <w:rFonts w:ascii="Times New Roman" w:hAnsi="Times New Roman"/>
          <w:sz w:val="28"/>
          <w:szCs w:val="28"/>
          <w:lang w:val="en-US"/>
        </w:rPr>
        <w:t xml:space="preserve"> 1</w:t>
      </w:r>
      <w:r w:rsidRPr="00B17953">
        <w:rPr>
          <w:rFonts w:ascii="Times New Roman" w:hAnsi="Times New Roman"/>
          <w:sz w:val="28"/>
          <w:szCs w:val="28"/>
          <w:lang w:val="en-US"/>
        </w:rPr>
        <w:t>%</w:t>
      </w:r>
      <w:r w:rsidR="00732F55" w:rsidRPr="00B17953">
        <w:rPr>
          <w:rFonts w:ascii="Times New Roman" w:hAnsi="Times New Roman"/>
          <w:sz w:val="28"/>
          <w:szCs w:val="28"/>
          <w:lang w:val="en-US"/>
        </w:rPr>
        <w:t>,</w:t>
      </w:r>
      <w:r w:rsidR="00732F55">
        <w:rPr>
          <w:rFonts w:ascii="Times New Roman" w:hAnsi="Times New Roman"/>
          <w:sz w:val="28"/>
          <w:szCs w:val="28"/>
          <w:lang w:val="en-US"/>
        </w:rPr>
        <w:t xml:space="preserve"> power generation by power plant types was as follows</w:t>
      </w:r>
      <w:r w:rsidRPr="00B17953">
        <w:rPr>
          <w:rFonts w:ascii="Times New Roman" w:hAnsi="Times New Roman"/>
          <w:sz w:val="28"/>
          <w:szCs w:val="28"/>
          <w:lang w:val="en-US"/>
        </w:rPr>
        <w:t>:</w:t>
      </w:r>
    </w:p>
    <w:tbl>
      <w:tblPr>
        <w:tblW w:w="82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1"/>
        <w:gridCol w:w="1250"/>
        <w:gridCol w:w="1125"/>
        <w:gridCol w:w="1251"/>
        <w:gridCol w:w="875"/>
      </w:tblGrid>
      <w:tr w:rsidR="00DE5279" w:rsidRPr="002757FA" w:rsidTr="00DA51D7">
        <w:trPr>
          <w:trHeight w:val="55"/>
        </w:trPr>
        <w:tc>
          <w:tcPr>
            <w:tcW w:w="3751" w:type="dxa"/>
            <w:shd w:val="clear" w:color="auto" w:fill="auto"/>
            <w:noWrap/>
            <w:vAlign w:val="center"/>
            <w:hideMark/>
          </w:tcPr>
          <w:p w:rsidR="00DE5279" w:rsidRPr="00732F55" w:rsidRDefault="00732F55" w:rsidP="00DA51D7">
            <w:pPr>
              <w:rPr>
                <w:rFonts w:ascii="Times New Roman" w:hAnsi="Times New Roman"/>
                <w:b/>
                <w:bCs/>
                <w:sz w:val="20"/>
                <w:szCs w:val="20"/>
                <w:lang w:val="en-US" w:eastAsia="ru-RU"/>
              </w:rPr>
            </w:pPr>
            <w:r>
              <w:rPr>
                <w:rFonts w:ascii="Times New Roman" w:hAnsi="Times New Roman"/>
                <w:b/>
                <w:bCs/>
                <w:sz w:val="20"/>
                <w:szCs w:val="20"/>
                <w:lang w:val="en-US" w:eastAsia="ru-RU"/>
              </w:rPr>
              <w:t>Power generation, mln.kWh</w:t>
            </w:r>
          </w:p>
        </w:tc>
        <w:tc>
          <w:tcPr>
            <w:tcW w:w="1250" w:type="dxa"/>
            <w:shd w:val="clear" w:color="auto" w:fill="auto"/>
            <w:noWrap/>
            <w:vAlign w:val="center"/>
            <w:hideMark/>
          </w:tcPr>
          <w:p w:rsidR="00DE5279" w:rsidRPr="00A65DAD" w:rsidRDefault="00DE5279" w:rsidP="00DA51D7">
            <w:pPr>
              <w:jc w:val="center"/>
              <w:rPr>
                <w:rFonts w:ascii="Times New Roman" w:hAnsi="Times New Roman"/>
                <w:b/>
                <w:bCs/>
                <w:sz w:val="20"/>
                <w:szCs w:val="20"/>
                <w:lang w:eastAsia="ru-RU"/>
              </w:rPr>
            </w:pPr>
            <w:r w:rsidRPr="00A65DAD">
              <w:rPr>
                <w:rFonts w:ascii="Times New Roman" w:hAnsi="Times New Roman"/>
                <w:b/>
                <w:bCs/>
                <w:sz w:val="20"/>
                <w:szCs w:val="20"/>
                <w:lang w:eastAsia="ru-RU"/>
              </w:rPr>
              <w:t>2013</w:t>
            </w:r>
          </w:p>
        </w:tc>
        <w:tc>
          <w:tcPr>
            <w:tcW w:w="1125" w:type="dxa"/>
            <w:shd w:val="clear" w:color="auto" w:fill="auto"/>
            <w:noWrap/>
            <w:vAlign w:val="center"/>
            <w:hideMark/>
          </w:tcPr>
          <w:p w:rsidR="00DE5279" w:rsidRPr="00A65DAD" w:rsidRDefault="00DE5279" w:rsidP="00DA51D7">
            <w:pPr>
              <w:jc w:val="center"/>
              <w:rPr>
                <w:rFonts w:ascii="Times New Roman" w:hAnsi="Times New Roman"/>
                <w:b/>
                <w:bCs/>
                <w:sz w:val="20"/>
                <w:szCs w:val="20"/>
                <w:lang w:eastAsia="ru-RU"/>
              </w:rPr>
            </w:pPr>
            <w:r w:rsidRPr="00A65DAD">
              <w:rPr>
                <w:rFonts w:ascii="Times New Roman" w:hAnsi="Times New Roman"/>
                <w:b/>
                <w:bCs/>
                <w:sz w:val="20"/>
                <w:szCs w:val="20"/>
                <w:lang w:eastAsia="ru-RU"/>
              </w:rPr>
              <w:t>2014</w:t>
            </w:r>
          </w:p>
        </w:tc>
        <w:tc>
          <w:tcPr>
            <w:tcW w:w="1251" w:type="dxa"/>
            <w:shd w:val="clear" w:color="auto" w:fill="auto"/>
            <w:noWrap/>
            <w:vAlign w:val="center"/>
            <w:hideMark/>
          </w:tcPr>
          <w:p w:rsidR="00DE5279" w:rsidRPr="00075CE3" w:rsidRDefault="00075CE3" w:rsidP="00DA51D7">
            <w:pPr>
              <w:jc w:val="center"/>
              <w:rPr>
                <w:rFonts w:ascii="Times New Roman" w:hAnsi="Times New Roman"/>
                <w:b/>
                <w:bCs/>
                <w:sz w:val="20"/>
                <w:szCs w:val="20"/>
                <w:u w:val="single"/>
                <w:lang w:val="en-US" w:eastAsia="ru-RU"/>
              </w:rPr>
            </w:pPr>
            <w:r>
              <w:rPr>
                <w:rFonts w:ascii="Times New Roman" w:hAnsi="Times New Roman"/>
                <w:b/>
                <w:bCs/>
                <w:sz w:val="20"/>
                <w:szCs w:val="20"/>
                <w:lang w:val="en-US" w:eastAsia="ru-RU"/>
              </w:rPr>
              <w:t>2014 against 2013</w:t>
            </w:r>
          </w:p>
        </w:tc>
        <w:tc>
          <w:tcPr>
            <w:tcW w:w="875" w:type="dxa"/>
            <w:shd w:val="clear" w:color="auto" w:fill="auto"/>
            <w:noWrap/>
            <w:vAlign w:val="center"/>
            <w:hideMark/>
          </w:tcPr>
          <w:p w:rsidR="00DE5279" w:rsidRPr="00A65DAD" w:rsidRDefault="00DE5279" w:rsidP="00DA51D7">
            <w:pPr>
              <w:jc w:val="center"/>
              <w:rPr>
                <w:rFonts w:ascii="Times New Roman" w:hAnsi="Times New Roman"/>
                <w:b/>
                <w:bCs/>
                <w:sz w:val="20"/>
                <w:szCs w:val="20"/>
                <w:lang w:eastAsia="ru-RU"/>
              </w:rPr>
            </w:pPr>
            <w:r w:rsidRPr="00A65DAD">
              <w:rPr>
                <w:rFonts w:ascii="Times New Roman" w:hAnsi="Times New Roman"/>
                <w:b/>
                <w:bCs/>
                <w:sz w:val="20"/>
                <w:szCs w:val="20"/>
                <w:lang w:eastAsia="ru-RU"/>
              </w:rPr>
              <w:t xml:space="preserve"> %</w:t>
            </w:r>
          </w:p>
        </w:tc>
      </w:tr>
      <w:tr w:rsidR="00DE5279" w:rsidRPr="002757FA" w:rsidTr="00DA51D7">
        <w:trPr>
          <w:trHeight w:val="55"/>
        </w:trPr>
        <w:tc>
          <w:tcPr>
            <w:tcW w:w="3751" w:type="dxa"/>
            <w:shd w:val="clear" w:color="auto" w:fill="auto"/>
            <w:noWrap/>
            <w:vAlign w:val="center"/>
            <w:hideMark/>
          </w:tcPr>
          <w:p w:rsidR="00DE5279" w:rsidRPr="00732F55" w:rsidRDefault="00732F55" w:rsidP="00DA51D7">
            <w:pPr>
              <w:ind w:firstLineChars="300" w:firstLine="600"/>
              <w:rPr>
                <w:rFonts w:ascii="Times New Roman" w:hAnsi="Times New Roman"/>
                <w:iCs/>
                <w:sz w:val="20"/>
                <w:szCs w:val="20"/>
                <w:lang w:val="en-US" w:eastAsia="ru-RU"/>
              </w:rPr>
            </w:pPr>
            <w:r>
              <w:rPr>
                <w:rFonts w:ascii="Times New Roman" w:hAnsi="Times New Roman"/>
                <w:iCs/>
                <w:sz w:val="20"/>
                <w:szCs w:val="20"/>
                <w:lang w:val="en-US" w:eastAsia="ru-RU"/>
              </w:rPr>
              <w:t>TPP</w:t>
            </w:r>
          </w:p>
        </w:tc>
        <w:tc>
          <w:tcPr>
            <w:tcW w:w="1250"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77 622,0</w:t>
            </w:r>
          </w:p>
        </w:tc>
        <w:tc>
          <w:tcPr>
            <w:tcW w:w="112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78 772,9</w:t>
            </w:r>
          </w:p>
        </w:tc>
        <w:tc>
          <w:tcPr>
            <w:tcW w:w="1251"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1 150,9</w:t>
            </w:r>
          </w:p>
        </w:tc>
        <w:tc>
          <w:tcPr>
            <w:tcW w:w="87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101,5</w:t>
            </w:r>
          </w:p>
        </w:tc>
      </w:tr>
      <w:tr w:rsidR="00DE5279" w:rsidRPr="002757FA" w:rsidTr="00DA51D7">
        <w:trPr>
          <w:trHeight w:val="55"/>
        </w:trPr>
        <w:tc>
          <w:tcPr>
            <w:tcW w:w="3751" w:type="dxa"/>
            <w:shd w:val="clear" w:color="auto" w:fill="auto"/>
            <w:noWrap/>
            <w:vAlign w:val="center"/>
            <w:hideMark/>
          </w:tcPr>
          <w:p w:rsidR="00DE5279" w:rsidRPr="00732F55" w:rsidRDefault="00732F55" w:rsidP="00DA51D7">
            <w:pPr>
              <w:ind w:firstLineChars="300" w:firstLine="600"/>
              <w:rPr>
                <w:rFonts w:ascii="Times New Roman" w:hAnsi="Times New Roman"/>
                <w:iCs/>
                <w:sz w:val="20"/>
                <w:szCs w:val="20"/>
                <w:lang w:val="en-US" w:eastAsia="ru-RU"/>
              </w:rPr>
            </w:pPr>
            <w:r>
              <w:rPr>
                <w:rFonts w:ascii="Times New Roman" w:hAnsi="Times New Roman"/>
                <w:iCs/>
                <w:sz w:val="20"/>
                <w:szCs w:val="20"/>
                <w:lang w:val="en-US" w:eastAsia="ru-RU"/>
              </w:rPr>
              <w:t>HPP</w:t>
            </w:r>
          </w:p>
        </w:tc>
        <w:tc>
          <w:tcPr>
            <w:tcW w:w="1250"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7 701,0</w:t>
            </w:r>
          </w:p>
        </w:tc>
        <w:tc>
          <w:tcPr>
            <w:tcW w:w="112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8 235,8</w:t>
            </w:r>
          </w:p>
        </w:tc>
        <w:tc>
          <w:tcPr>
            <w:tcW w:w="1251"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534,8</w:t>
            </w:r>
          </w:p>
        </w:tc>
        <w:tc>
          <w:tcPr>
            <w:tcW w:w="87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106,9</w:t>
            </w:r>
          </w:p>
        </w:tc>
      </w:tr>
      <w:tr w:rsidR="00DE5279" w:rsidRPr="002757FA" w:rsidTr="00DA51D7">
        <w:trPr>
          <w:trHeight w:val="55"/>
        </w:trPr>
        <w:tc>
          <w:tcPr>
            <w:tcW w:w="3751" w:type="dxa"/>
            <w:shd w:val="clear" w:color="auto" w:fill="auto"/>
            <w:noWrap/>
            <w:vAlign w:val="center"/>
            <w:hideMark/>
          </w:tcPr>
          <w:p w:rsidR="00DE5279" w:rsidRPr="00732F55" w:rsidRDefault="00732F55" w:rsidP="00DA51D7">
            <w:pPr>
              <w:ind w:firstLineChars="300" w:firstLine="600"/>
              <w:rPr>
                <w:rFonts w:ascii="Times New Roman" w:hAnsi="Times New Roman"/>
                <w:iCs/>
                <w:sz w:val="20"/>
                <w:szCs w:val="20"/>
                <w:lang w:val="en-US" w:eastAsia="ru-RU"/>
              </w:rPr>
            </w:pPr>
            <w:r>
              <w:rPr>
                <w:rFonts w:ascii="Times New Roman" w:hAnsi="Times New Roman"/>
                <w:iCs/>
                <w:sz w:val="20"/>
                <w:szCs w:val="20"/>
                <w:lang w:val="en-US" w:eastAsia="ru-RU"/>
              </w:rPr>
              <w:t>GTPP</w:t>
            </w:r>
          </w:p>
        </w:tc>
        <w:tc>
          <w:tcPr>
            <w:tcW w:w="1250"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6 645,8</w:t>
            </w:r>
          </w:p>
        </w:tc>
        <w:tc>
          <w:tcPr>
            <w:tcW w:w="112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6 915,9</w:t>
            </w:r>
          </w:p>
        </w:tc>
        <w:tc>
          <w:tcPr>
            <w:tcW w:w="1251"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270,1</w:t>
            </w:r>
          </w:p>
        </w:tc>
        <w:tc>
          <w:tcPr>
            <w:tcW w:w="87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104,1</w:t>
            </w:r>
          </w:p>
        </w:tc>
      </w:tr>
      <w:tr w:rsidR="00DE5279" w:rsidRPr="002757FA" w:rsidTr="00DA51D7">
        <w:trPr>
          <w:trHeight w:val="55"/>
        </w:trPr>
        <w:tc>
          <w:tcPr>
            <w:tcW w:w="3751" w:type="dxa"/>
            <w:shd w:val="clear" w:color="auto" w:fill="auto"/>
            <w:noWrap/>
            <w:vAlign w:val="center"/>
            <w:hideMark/>
          </w:tcPr>
          <w:p w:rsidR="00DE5279" w:rsidRPr="00732F55" w:rsidRDefault="00732F55" w:rsidP="00732F55">
            <w:pPr>
              <w:rPr>
                <w:rFonts w:ascii="Times New Roman" w:hAnsi="Times New Roman"/>
                <w:iCs/>
                <w:sz w:val="20"/>
                <w:szCs w:val="20"/>
                <w:lang w:val="en-US" w:eastAsia="ru-RU"/>
              </w:rPr>
            </w:pPr>
            <w:r>
              <w:rPr>
                <w:rFonts w:ascii="Times New Roman" w:hAnsi="Times New Roman"/>
                <w:iCs/>
                <w:sz w:val="20"/>
                <w:szCs w:val="20"/>
                <w:lang w:val="en-US" w:eastAsia="ru-RU"/>
              </w:rPr>
              <w:t xml:space="preserve">            WPP</w:t>
            </w:r>
          </w:p>
        </w:tc>
        <w:tc>
          <w:tcPr>
            <w:tcW w:w="1250"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3,1</w:t>
            </w:r>
          </w:p>
        </w:tc>
        <w:tc>
          <w:tcPr>
            <w:tcW w:w="112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9,4</w:t>
            </w:r>
          </w:p>
        </w:tc>
        <w:tc>
          <w:tcPr>
            <w:tcW w:w="1251"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6,3</w:t>
            </w:r>
          </w:p>
        </w:tc>
        <w:tc>
          <w:tcPr>
            <w:tcW w:w="87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303,2</w:t>
            </w:r>
          </w:p>
        </w:tc>
      </w:tr>
      <w:tr w:rsidR="00DE5279" w:rsidRPr="002757FA" w:rsidTr="00DA51D7">
        <w:trPr>
          <w:trHeight w:val="55"/>
        </w:trPr>
        <w:tc>
          <w:tcPr>
            <w:tcW w:w="3751" w:type="dxa"/>
            <w:shd w:val="clear" w:color="auto" w:fill="auto"/>
            <w:noWrap/>
            <w:vAlign w:val="center"/>
            <w:hideMark/>
          </w:tcPr>
          <w:p w:rsidR="00DE5279" w:rsidRPr="00732F55" w:rsidRDefault="00732F55" w:rsidP="00DA51D7">
            <w:pPr>
              <w:ind w:firstLineChars="300" w:firstLine="600"/>
              <w:rPr>
                <w:rFonts w:ascii="Times New Roman" w:hAnsi="Times New Roman"/>
                <w:iCs/>
                <w:sz w:val="20"/>
                <w:szCs w:val="20"/>
                <w:lang w:val="en-US" w:eastAsia="ru-RU"/>
              </w:rPr>
            </w:pPr>
            <w:r>
              <w:rPr>
                <w:rFonts w:ascii="Times New Roman" w:hAnsi="Times New Roman"/>
                <w:iCs/>
                <w:sz w:val="20"/>
                <w:szCs w:val="20"/>
                <w:lang w:val="en-US" w:eastAsia="ru-RU"/>
              </w:rPr>
              <w:t>SPP</w:t>
            </w:r>
          </w:p>
        </w:tc>
        <w:tc>
          <w:tcPr>
            <w:tcW w:w="1250"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0,8</w:t>
            </w:r>
          </w:p>
        </w:tc>
        <w:tc>
          <w:tcPr>
            <w:tcW w:w="112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1,2</w:t>
            </w:r>
          </w:p>
        </w:tc>
        <w:tc>
          <w:tcPr>
            <w:tcW w:w="1251"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0,4</w:t>
            </w:r>
          </w:p>
        </w:tc>
        <w:tc>
          <w:tcPr>
            <w:tcW w:w="875" w:type="dxa"/>
            <w:shd w:val="clear" w:color="auto" w:fill="auto"/>
            <w:noWrap/>
            <w:vAlign w:val="center"/>
            <w:hideMark/>
          </w:tcPr>
          <w:p w:rsidR="00DE5279" w:rsidRPr="00A65DAD" w:rsidRDefault="00DE5279" w:rsidP="00DA51D7">
            <w:pPr>
              <w:jc w:val="center"/>
              <w:rPr>
                <w:rFonts w:ascii="Times New Roman" w:hAnsi="Times New Roman"/>
                <w:iCs/>
                <w:sz w:val="20"/>
                <w:szCs w:val="20"/>
                <w:lang w:eastAsia="ru-RU"/>
              </w:rPr>
            </w:pPr>
            <w:r w:rsidRPr="00A65DAD">
              <w:rPr>
                <w:rFonts w:ascii="Times New Roman" w:hAnsi="Times New Roman"/>
                <w:iCs/>
                <w:sz w:val="20"/>
                <w:szCs w:val="20"/>
                <w:lang w:eastAsia="ru-RU"/>
              </w:rPr>
              <w:t>150,0</w:t>
            </w:r>
          </w:p>
        </w:tc>
      </w:tr>
      <w:tr w:rsidR="00DE5279" w:rsidRPr="002757FA" w:rsidTr="00DA51D7">
        <w:trPr>
          <w:trHeight w:val="55"/>
        </w:trPr>
        <w:tc>
          <w:tcPr>
            <w:tcW w:w="3751" w:type="dxa"/>
            <w:shd w:val="clear" w:color="auto" w:fill="auto"/>
            <w:noWrap/>
            <w:vAlign w:val="center"/>
          </w:tcPr>
          <w:p w:rsidR="00DE5279" w:rsidRPr="00732F55" w:rsidRDefault="00732F55" w:rsidP="00732F55">
            <w:pPr>
              <w:ind w:firstLineChars="300" w:firstLine="602"/>
              <w:rPr>
                <w:rFonts w:ascii="Times New Roman" w:hAnsi="Times New Roman"/>
                <w:i/>
                <w:iCs/>
                <w:sz w:val="20"/>
                <w:szCs w:val="20"/>
                <w:lang w:val="en-US" w:eastAsia="ru-RU"/>
              </w:rPr>
            </w:pPr>
            <w:r>
              <w:rPr>
                <w:rFonts w:ascii="Times New Roman" w:hAnsi="Times New Roman"/>
                <w:b/>
                <w:bCs/>
                <w:sz w:val="20"/>
                <w:szCs w:val="20"/>
                <w:lang w:val="en-US" w:eastAsia="ru-RU"/>
              </w:rPr>
              <w:t>Total</w:t>
            </w:r>
          </w:p>
        </w:tc>
        <w:tc>
          <w:tcPr>
            <w:tcW w:w="1250" w:type="dxa"/>
            <w:shd w:val="clear" w:color="auto" w:fill="auto"/>
            <w:noWrap/>
            <w:vAlign w:val="center"/>
          </w:tcPr>
          <w:p w:rsidR="00DE5279" w:rsidRPr="00A65DAD" w:rsidRDefault="00DE5279" w:rsidP="00DA51D7">
            <w:pPr>
              <w:jc w:val="center"/>
              <w:rPr>
                <w:rFonts w:ascii="Times New Roman" w:hAnsi="Times New Roman"/>
                <w:i/>
                <w:iCs/>
                <w:sz w:val="20"/>
                <w:szCs w:val="20"/>
                <w:lang w:eastAsia="ru-RU"/>
              </w:rPr>
            </w:pPr>
            <w:r w:rsidRPr="00A65DAD">
              <w:rPr>
                <w:rFonts w:ascii="Times New Roman" w:hAnsi="Times New Roman"/>
                <w:b/>
                <w:bCs/>
                <w:sz w:val="20"/>
                <w:szCs w:val="20"/>
                <w:lang w:eastAsia="ru-RU"/>
              </w:rPr>
              <w:t>91 972,7</w:t>
            </w:r>
          </w:p>
        </w:tc>
        <w:tc>
          <w:tcPr>
            <w:tcW w:w="1125" w:type="dxa"/>
            <w:shd w:val="clear" w:color="auto" w:fill="auto"/>
            <w:noWrap/>
            <w:vAlign w:val="center"/>
          </w:tcPr>
          <w:p w:rsidR="00DE5279" w:rsidRPr="00A65DAD" w:rsidRDefault="00DE5279" w:rsidP="00DA51D7">
            <w:pPr>
              <w:jc w:val="center"/>
              <w:rPr>
                <w:rFonts w:ascii="Times New Roman" w:hAnsi="Times New Roman"/>
                <w:i/>
                <w:iCs/>
                <w:sz w:val="20"/>
                <w:szCs w:val="20"/>
                <w:lang w:eastAsia="ru-RU"/>
              </w:rPr>
            </w:pPr>
            <w:r w:rsidRPr="00A65DAD">
              <w:rPr>
                <w:rFonts w:ascii="Times New Roman" w:hAnsi="Times New Roman"/>
                <w:b/>
                <w:bCs/>
                <w:sz w:val="20"/>
                <w:szCs w:val="20"/>
                <w:lang w:eastAsia="ru-RU"/>
              </w:rPr>
              <w:t>93 935,2</w:t>
            </w:r>
          </w:p>
        </w:tc>
        <w:tc>
          <w:tcPr>
            <w:tcW w:w="1251" w:type="dxa"/>
            <w:shd w:val="clear" w:color="auto" w:fill="auto"/>
            <w:noWrap/>
            <w:vAlign w:val="center"/>
          </w:tcPr>
          <w:p w:rsidR="00DE5279" w:rsidRPr="00A65DAD" w:rsidRDefault="00DE5279" w:rsidP="00DA51D7">
            <w:pPr>
              <w:jc w:val="center"/>
              <w:rPr>
                <w:rFonts w:ascii="Times New Roman" w:hAnsi="Times New Roman"/>
                <w:i/>
                <w:iCs/>
                <w:sz w:val="20"/>
                <w:szCs w:val="20"/>
                <w:lang w:eastAsia="ru-RU"/>
              </w:rPr>
            </w:pPr>
            <w:r w:rsidRPr="00A65DAD">
              <w:rPr>
                <w:rFonts w:ascii="Times New Roman" w:hAnsi="Times New Roman"/>
                <w:b/>
                <w:bCs/>
                <w:sz w:val="20"/>
                <w:szCs w:val="20"/>
                <w:lang w:eastAsia="ru-RU"/>
              </w:rPr>
              <w:t>1 962,5</w:t>
            </w:r>
          </w:p>
        </w:tc>
        <w:tc>
          <w:tcPr>
            <w:tcW w:w="875" w:type="dxa"/>
            <w:shd w:val="clear" w:color="auto" w:fill="auto"/>
            <w:noWrap/>
            <w:vAlign w:val="center"/>
          </w:tcPr>
          <w:p w:rsidR="00DE5279" w:rsidRPr="00A65DAD" w:rsidRDefault="00DE5279" w:rsidP="00DA51D7">
            <w:pPr>
              <w:jc w:val="center"/>
              <w:rPr>
                <w:rFonts w:ascii="Times New Roman" w:hAnsi="Times New Roman"/>
                <w:i/>
                <w:iCs/>
                <w:sz w:val="20"/>
                <w:szCs w:val="20"/>
                <w:lang w:eastAsia="ru-RU"/>
              </w:rPr>
            </w:pPr>
            <w:r w:rsidRPr="00A65DAD">
              <w:rPr>
                <w:rFonts w:ascii="Times New Roman" w:hAnsi="Times New Roman"/>
                <w:b/>
                <w:bCs/>
                <w:sz w:val="20"/>
                <w:szCs w:val="20"/>
                <w:lang w:eastAsia="ru-RU"/>
              </w:rPr>
              <w:t>102,1</w:t>
            </w:r>
          </w:p>
        </w:tc>
      </w:tr>
    </w:tbl>
    <w:p w:rsidR="00DE5279" w:rsidRDefault="00DE5279" w:rsidP="00DE5279">
      <w:pPr>
        <w:pStyle w:val="a4"/>
        <w:spacing w:after="120"/>
        <w:ind w:left="709"/>
        <w:jc w:val="both"/>
        <w:rPr>
          <w:rFonts w:ascii="Times New Roman" w:hAnsi="Times New Roman"/>
          <w:sz w:val="28"/>
          <w:szCs w:val="28"/>
          <w:lang w:val="en-US"/>
        </w:rPr>
      </w:pPr>
    </w:p>
    <w:p w:rsidR="00F50111" w:rsidRPr="00F448EC" w:rsidRDefault="00F50111" w:rsidP="00F50111">
      <w:pPr>
        <w:pStyle w:val="a4"/>
        <w:spacing w:after="120"/>
        <w:ind w:left="709"/>
        <w:jc w:val="both"/>
        <w:rPr>
          <w:rFonts w:ascii="Times New Roman" w:hAnsi="Times New Roman"/>
          <w:b/>
          <w:sz w:val="28"/>
          <w:szCs w:val="28"/>
          <w:lang w:val="en-US"/>
        </w:rPr>
      </w:pPr>
      <w:r w:rsidRPr="00F448EC">
        <w:rPr>
          <w:rFonts w:ascii="Times New Roman" w:hAnsi="Times New Roman"/>
          <w:b/>
          <w:sz w:val="28"/>
          <w:szCs w:val="28"/>
          <w:lang w:val="en-US"/>
        </w:rPr>
        <w:t>RK electricity market geographically divided into three zones:</w:t>
      </w:r>
    </w:p>
    <w:p w:rsidR="00F448EC" w:rsidRDefault="00F448EC" w:rsidP="00F50111">
      <w:pPr>
        <w:pStyle w:val="a4"/>
        <w:spacing w:after="120"/>
        <w:ind w:left="709"/>
        <w:jc w:val="both"/>
        <w:rPr>
          <w:rFonts w:ascii="Times New Roman" w:hAnsi="Times New Roman"/>
          <w:sz w:val="28"/>
          <w:szCs w:val="28"/>
          <w:lang w:val="en-US"/>
        </w:rPr>
      </w:pPr>
    </w:p>
    <w:p w:rsidR="00F50111" w:rsidRP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North Zone - Akmol</w:t>
      </w:r>
      <w:r w:rsidR="00F448EC">
        <w:rPr>
          <w:rFonts w:ascii="Times New Roman" w:hAnsi="Times New Roman"/>
          <w:sz w:val="28"/>
          <w:szCs w:val="28"/>
          <w:lang w:val="en-US"/>
        </w:rPr>
        <w:t>a</w:t>
      </w:r>
      <w:r w:rsidRPr="00F50111">
        <w:rPr>
          <w:rFonts w:ascii="Times New Roman" w:hAnsi="Times New Roman"/>
          <w:sz w:val="28"/>
          <w:szCs w:val="28"/>
          <w:lang w:val="en-US"/>
        </w:rPr>
        <w:t>, Akt</w:t>
      </w:r>
      <w:r w:rsidR="00F448EC">
        <w:rPr>
          <w:rFonts w:ascii="Times New Roman" w:hAnsi="Times New Roman"/>
          <w:sz w:val="28"/>
          <w:szCs w:val="28"/>
          <w:lang w:val="en-US"/>
        </w:rPr>
        <w:t>obe</w:t>
      </w:r>
      <w:r w:rsidRPr="00F50111">
        <w:rPr>
          <w:rFonts w:ascii="Times New Roman" w:hAnsi="Times New Roman"/>
          <w:sz w:val="28"/>
          <w:szCs w:val="28"/>
          <w:lang w:val="en-US"/>
        </w:rPr>
        <w:t>, East Kazakhstan, Karagand</w:t>
      </w:r>
      <w:r w:rsidR="00F448EC">
        <w:rPr>
          <w:rFonts w:ascii="Times New Roman" w:hAnsi="Times New Roman"/>
          <w:sz w:val="28"/>
          <w:szCs w:val="28"/>
          <w:lang w:val="en-US"/>
        </w:rPr>
        <w:t>a, Kostanay, Pavlodar,North Kazakhstan and Astana city.</w:t>
      </w:r>
      <w:r w:rsidRPr="00F50111">
        <w:rPr>
          <w:rFonts w:ascii="Times New Roman" w:hAnsi="Times New Roman"/>
          <w:sz w:val="28"/>
          <w:szCs w:val="28"/>
          <w:lang w:val="en-US"/>
        </w:rPr>
        <w:t xml:space="preserve"> </w:t>
      </w:r>
      <w:r w:rsidR="00F448EC">
        <w:rPr>
          <w:rFonts w:ascii="Times New Roman" w:hAnsi="Times New Roman"/>
          <w:sz w:val="28"/>
          <w:szCs w:val="28"/>
          <w:lang w:val="en-US"/>
        </w:rPr>
        <w:t>U</w:t>
      </w:r>
      <w:r w:rsidRPr="00F50111">
        <w:rPr>
          <w:rFonts w:ascii="Times New Roman" w:hAnsi="Times New Roman"/>
          <w:sz w:val="28"/>
          <w:szCs w:val="28"/>
          <w:lang w:val="en-US"/>
        </w:rPr>
        <w:t>p to 77% of</w:t>
      </w:r>
      <w:r w:rsidR="00F448EC">
        <w:rPr>
          <w:rFonts w:ascii="Times New Roman" w:hAnsi="Times New Roman"/>
          <w:sz w:val="28"/>
          <w:szCs w:val="28"/>
          <w:lang w:val="en-US"/>
        </w:rPr>
        <w:t xml:space="preserve"> electricity of</w:t>
      </w:r>
      <w:r w:rsidRPr="00F50111">
        <w:rPr>
          <w:rFonts w:ascii="Times New Roman" w:hAnsi="Times New Roman"/>
          <w:sz w:val="28"/>
          <w:szCs w:val="28"/>
          <w:lang w:val="en-US"/>
        </w:rPr>
        <w:t xml:space="preserve"> the total production in the Republic of Kazakhstan</w:t>
      </w:r>
      <w:r w:rsidR="00F448EC">
        <w:rPr>
          <w:rFonts w:ascii="Times New Roman" w:hAnsi="Times New Roman"/>
          <w:sz w:val="28"/>
          <w:szCs w:val="28"/>
          <w:lang w:val="en-US"/>
        </w:rPr>
        <w:t xml:space="preserve"> is produced in the northern znoe</w:t>
      </w:r>
      <w:r w:rsidRPr="00F50111">
        <w:rPr>
          <w:rFonts w:ascii="Times New Roman" w:hAnsi="Times New Roman"/>
          <w:sz w:val="28"/>
          <w:szCs w:val="28"/>
          <w:lang w:val="en-US"/>
        </w:rPr>
        <w:t xml:space="preserve">. </w:t>
      </w:r>
      <w:r w:rsidR="00F448EC">
        <w:rPr>
          <w:rFonts w:ascii="Times New Roman" w:hAnsi="Times New Roman"/>
          <w:sz w:val="28"/>
          <w:szCs w:val="28"/>
          <w:lang w:val="en-US"/>
        </w:rPr>
        <w:t>M</w:t>
      </w:r>
      <w:r w:rsidRPr="00F50111">
        <w:rPr>
          <w:rFonts w:ascii="Times New Roman" w:hAnsi="Times New Roman"/>
          <w:sz w:val="28"/>
          <w:szCs w:val="28"/>
          <w:lang w:val="en-US"/>
        </w:rPr>
        <w:t>ajor coal deposits and hydropower resources</w:t>
      </w:r>
      <w:r w:rsidR="00F448EC">
        <w:rPr>
          <w:rFonts w:ascii="Times New Roman" w:hAnsi="Times New Roman"/>
          <w:sz w:val="28"/>
          <w:szCs w:val="28"/>
          <w:lang w:val="en-US"/>
        </w:rPr>
        <w:t xml:space="preserve"> are located in the northern zone.</w:t>
      </w:r>
    </w:p>
    <w:p w:rsidR="00F448EC" w:rsidRDefault="00F448EC" w:rsidP="00F50111">
      <w:pPr>
        <w:pStyle w:val="a4"/>
        <w:spacing w:after="120"/>
        <w:ind w:left="709"/>
        <w:jc w:val="both"/>
        <w:rPr>
          <w:rFonts w:ascii="Times New Roman" w:hAnsi="Times New Roman"/>
          <w:sz w:val="28"/>
          <w:szCs w:val="28"/>
          <w:lang w:val="en-US"/>
        </w:rPr>
      </w:pPr>
      <w:r>
        <w:rPr>
          <w:rFonts w:ascii="Times New Roman" w:hAnsi="Times New Roman"/>
          <w:sz w:val="28"/>
          <w:szCs w:val="28"/>
          <w:lang w:val="en-US"/>
        </w:rPr>
        <w:t xml:space="preserve">As a consequence the cost of electricity generation is low enough in the northern zone. </w:t>
      </w:r>
    </w:p>
    <w:p w:rsidR="00F50111" w:rsidRP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 xml:space="preserve">Excess electricity is transmitted to southern regions </w:t>
      </w:r>
      <w:r w:rsidR="00F448EC">
        <w:rPr>
          <w:rFonts w:ascii="Times New Roman" w:hAnsi="Times New Roman"/>
          <w:sz w:val="28"/>
          <w:szCs w:val="28"/>
          <w:lang w:val="en-US"/>
        </w:rPr>
        <w:t>experienc</w:t>
      </w:r>
      <w:r w:rsidR="00CA2099">
        <w:rPr>
          <w:rFonts w:ascii="Times New Roman" w:hAnsi="Times New Roman"/>
          <w:sz w:val="28"/>
          <w:szCs w:val="28"/>
          <w:lang w:val="en-US"/>
        </w:rPr>
        <w:t>ing</w:t>
      </w:r>
      <w:r w:rsidR="00F448EC">
        <w:rPr>
          <w:rFonts w:ascii="Times New Roman" w:hAnsi="Times New Roman"/>
          <w:sz w:val="28"/>
          <w:szCs w:val="28"/>
          <w:lang w:val="en-US"/>
        </w:rPr>
        <w:t xml:space="preserve"> power shortage </w:t>
      </w:r>
      <w:r w:rsidRPr="00F50111">
        <w:rPr>
          <w:rFonts w:ascii="Times New Roman" w:hAnsi="Times New Roman"/>
          <w:sz w:val="28"/>
          <w:szCs w:val="28"/>
          <w:lang w:val="en-US"/>
        </w:rPr>
        <w:t>and exported to the Russian Federation.</w:t>
      </w:r>
    </w:p>
    <w:p w:rsidR="00F50111" w:rsidRP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South</w:t>
      </w:r>
      <w:r w:rsidR="00CA2099">
        <w:rPr>
          <w:rFonts w:ascii="Times New Roman" w:hAnsi="Times New Roman"/>
          <w:sz w:val="28"/>
          <w:szCs w:val="28"/>
          <w:lang w:val="en-US"/>
        </w:rPr>
        <w:t>ern z</w:t>
      </w:r>
      <w:r w:rsidRPr="00F50111">
        <w:rPr>
          <w:rFonts w:ascii="Times New Roman" w:hAnsi="Times New Roman"/>
          <w:sz w:val="28"/>
          <w:szCs w:val="28"/>
          <w:lang w:val="en-US"/>
        </w:rPr>
        <w:t xml:space="preserve">one - Almaty, </w:t>
      </w:r>
      <w:r w:rsidR="00CA2099">
        <w:rPr>
          <w:rFonts w:ascii="Times New Roman" w:hAnsi="Times New Roman"/>
          <w:sz w:val="28"/>
          <w:szCs w:val="28"/>
          <w:lang w:val="en-US"/>
        </w:rPr>
        <w:t xml:space="preserve">Zhambyl, </w:t>
      </w:r>
      <w:r w:rsidRPr="00F50111">
        <w:rPr>
          <w:rFonts w:ascii="Times New Roman" w:hAnsi="Times New Roman"/>
          <w:sz w:val="28"/>
          <w:szCs w:val="28"/>
          <w:lang w:val="en-US"/>
        </w:rPr>
        <w:t>Kyzylorda, South Kazakhstan</w:t>
      </w:r>
      <w:r w:rsidR="00CA2099">
        <w:rPr>
          <w:rFonts w:ascii="Times New Roman" w:hAnsi="Times New Roman"/>
          <w:sz w:val="28"/>
          <w:szCs w:val="28"/>
          <w:lang w:val="en-US"/>
        </w:rPr>
        <w:t xml:space="preserve"> regions</w:t>
      </w:r>
      <w:r w:rsidRPr="00F50111">
        <w:rPr>
          <w:rFonts w:ascii="Times New Roman" w:hAnsi="Times New Roman"/>
          <w:sz w:val="28"/>
          <w:szCs w:val="28"/>
          <w:lang w:val="en-US"/>
        </w:rPr>
        <w:t xml:space="preserve"> and Almaty</w:t>
      </w:r>
      <w:r w:rsidR="00CA2099">
        <w:rPr>
          <w:rFonts w:ascii="Times New Roman" w:hAnsi="Times New Roman"/>
          <w:sz w:val="28"/>
          <w:szCs w:val="28"/>
          <w:lang w:val="en-US"/>
        </w:rPr>
        <w:t xml:space="preserve"> city</w:t>
      </w:r>
      <w:r w:rsidRPr="00F50111">
        <w:rPr>
          <w:rFonts w:ascii="Times New Roman" w:hAnsi="Times New Roman"/>
          <w:sz w:val="28"/>
          <w:szCs w:val="28"/>
          <w:lang w:val="en-US"/>
        </w:rPr>
        <w:t>.</w:t>
      </w:r>
      <w:r w:rsidR="00CA2099">
        <w:rPr>
          <w:rFonts w:ascii="Times New Roman" w:hAnsi="Times New Roman"/>
          <w:sz w:val="28"/>
          <w:szCs w:val="28"/>
          <w:lang w:val="en-US"/>
        </w:rPr>
        <w:t xml:space="preserve"> This zone is c</w:t>
      </w:r>
      <w:r w:rsidRPr="00F50111">
        <w:rPr>
          <w:rFonts w:ascii="Times New Roman" w:hAnsi="Times New Roman"/>
          <w:sz w:val="28"/>
          <w:szCs w:val="28"/>
          <w:lang w:val="en-US"/>
        </w:rPr>
        <w:t xml:space="preserve">haracterized by a deficiency of electricity and </w:t>
      </w:r>
      <w:r w:rsidRPr="00F50111">
        <w:rPr>
          <w:rFonts w:ascii="Times New Roman" w:hAnsi="Times New Roman"/>
          <w:sz w:val="28"/>
          <w:szCs w:val="28"/>
          <w:lang w:val="en-US"/>
        </w:rPr>
        <w:lastRenderedPageBreak/>
        <w:t xml:space="preserve">high electricity prices. The </w:t>
      </w:r>
      <w:r w:rsidR="00CA2099">
        <w:rPr>
          <w:rFonts w:ascii="Times New Roman" w:hAnsi="Times New Roman"/>
          <w:sz w:val="28"/>
          <w:szCs w:val="28"/>
          <w:lang w:val="en-US"/>
        </w:rPr>
        <w:t xml:space="preserve">shortage </w:t>
      </w:r>
      <w:r w:rsidRPr="00F50111">
        <w:rPr>
          <w:rFonts w:ascii="Times New Roman" w:hAnsi="Times New Roman"/>
          <w:sz w:val="28"/>
          <w:szCs w:val="28"/>
          <w:lang w:val="en-US"/>
        </w:rPr>
        <w:t xml:space="preserve">is covered by supplies from the northern zone and partly </w:t>
      </w:r>
      <w:r w:rsidR="00CA2099">
        <w:rPr>
          <w:rFonts w:ascii="Times New Roman" w:hAnsi="Times New Roman"/>
          <w:sz w:val="28"/>
          <w:szCs w:val="28"/>
          <w:lang w:val="en-US"/>
        </w:rPr>
        <w:t xml:space="preserve">from Central Asia’s UES. </w:t>
      </w:r>
    </w:p>
    <w:p w:rsidR="00F50111" w:rsidRP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Western Zone - Mang</w:t>
      </w:r>
      <w:r w:rsidR="00CA2099">
        <w:rPr>
          <w:rFonts w:ascii="Times New Roman" w:hAnsi="Times New Roman"/>
          <w:sz w:val="28"/>
          <w:szCs w:val="28"/>
          <w:lang w:val="en-US"/>
        </w:rPr>
        <w:t>y</w:t>
      </w:r>
      <w:r w:rsidRPr="00F50111">
        <w:rPr>
          <w:rFonts w:ascii="Times New Roman" w:hAnsi="Times New Roman"/>
          <w:sz w:val="28"/>
          <w:szCs w:val="28"/>
          <w:lang w:val="en-US"/>
        </w:rPr>
        <w:t xml:space="preserve">stau, Atyrau, West Kazakhstan region. </w:t>
      </w:r>
      <w:r w:rsidR="00CA2099">
        <w:rPr>
          <w:rFonts w:ascii="Times New Roman" w:hAnsi="Times New Roman"/>
          <w:sz w:val="28"/>
          <w:szCs w:val="28"/>
          <w:lang w:val="en-US"/>
        </w:rPr>
        <w:t>It h</w:t>
      </w:r>
      <w:r w:rsidRPr="00F50111">
        <w:rPr>
          <w:rFonts w:ascii="Times New Roman" w:hAnsi="Times New Roman"/>
          <w:sz w:val="28"/>
          <w:szCs w:val="28"/>
          <w:lang w:val="en-US"/>
        </w:rPr>
        <w:t xml:space="preserve">as significant hydrocarbon reserves. In spite of this, this area is energy deficient and covers the deficit </w:t>
      </w:r>
      <w:r w:rsidR="00CA2099">
        <w:rPr>
          <w:rFonts w:ascii="Times New Roman" w:hAnsi="Times New Roman"/>
          <w:sz w:val="28"/>
          <w:szCs w:val="28"/>
          <w:lang w:val="en-US"/>
        </w:rPr>
        <w:t>through</w:t>
      </w:r>
      <w:r w:rsidRPr="00F50111">
        <w:rPr>
          <w:rFonts w:ascii="Times New Roman" w:hAnsi="Times New Roman"/>
          <w:sz w:val="28"/>
          <w:szCs w:val="28"/>
          <w:lang w:val="en-US"/>
        </w:rPr>
        <w:t xml:space="preserve"> supplies from the Russian Federation.</w:t>
      </w:r>
    </w:p>
    <w:p w:rsidR="00F50111" w:rsidRPr="00F50111" w:rsidRDefault="00CA2099" w:rsidP="00F50111">
      <w:pPr>
        <w:pStyle w:val="a4"/>
        <w:spacing w:after="120"/>
        <w:ind w:left="709"/>
        <w:jc w:val="both"/>
        <w:rPr>
          <w:rFonts w:ascii="Times New Roman" w:hAnsi="Times New Roman"/>
          <w:sz w:val="28"/>
          <w:szCs w:val="28"/>
          <w:lang w:val="en-US"/>
        </w:rPr>
      </w:pPr>
      <w:r>
        <w:rPr>
          <w:rFonts w:ascii="Times New Roman" w:hAnsi="Times New Roman"/>
          <w:sz w:val="28"/>
          <w:szCs w:val="28"/>
          <w:lang w:val="en-US"/>
        </w:rPr>
        <w:t>Lately,</w:t>
      </w:r>
      <w:r w:rsidR="00F50111" w:rsidRPr="00F50111">
        <w:rPr>
          <w:rFonts w:ascii="Times New Roman" w:hAnsi="Times New Roman"/>
          <w:sz w:val="28"/>
          <w:szCs w:val="28"/>
          <w:lang w:val="en-US"/>
        </w:rPr>
        <w:t xml:space="preserve"> companies that are pa</w:t>
      </w:r>
      <w:r>
        <w:rPr>
          <w:rFonts w:ascii="Times New Roman" w:hAnsi="Times New Roman"/>
          <w:sz w:val="28"/>
          <w:szCs w:val="28"/>
          <w:lang w:val="en-US"/>
        </w:rPr>
        <w:t>rt of large industrial holdings compete with “</w:t>
      </w:r>
      <w:r w:rsidR="00F50111" w:rsidRPr="00F50111">
        <w:rPr>
          <w:rFonts w:ascii="Times New Roman" w:hAnsi="Times New Roman"/>
          <w:sz w:val="28"/>
          <w:szCs w:val="28"/>
          <w:lang w:val="en-US"/>
        </w:rPr>
        <w:t>Samruk-Energ</w:t>
      </w:r>
      <w:r>
        <w:rPr>
          <w:rFonts w:ascii="Times New Roman" w:hAnsi="Times New Roman"/>
          <w:sz w:val="28"/>
          <w:szCs w:val="28"/>
          <w:lang w:val="en-US"/>
        </w:rPr>
        <w:t>y” Group’s companies</w:t>
      </w:r>
      <w:r w:rsidR="00F50111" w:rsidRPr="00F50111">
        <w:rPr>
          <w:rFonts w:ascii="Times New Roman" w:hAnsi="Times New Roman"/>
          <w:sz w:val="28"/>
          <w:szCs w:val="28"/>
          <w:lang w:val="en-US"/>
        </w:rPr>
        <w:t>. To a large extent this is influenced by two factors:</w:t>
      </w:r>
    </w:p>
    <w:p w:rsidR="00F50111" w:rsidRP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 xml:space="preserve">1. Reduction of production </w:t>
      </w:r>
      <w:r w:rsidR="003D2A5C">
        <w:rPr>
          <w:rFonts w:ascii="Times New Roman" w:hAnsi="Times New Roman"/>
          <w:sz w:val="28"/>
          <w:szCs w:val="28"/>
          <w:lang w:val="en-US"/>
        </w:rPr>
        <w:t xml:space="preserve">of </w:t>
      </w:r>
      <w:r w:rsidR="003D2A5C" w:rsidRPr="00F50111">
        <w:rPr>
          <w:rFonts w:ascii="Times New Roman" w:hAnsi="Times New Roman"/>
          <w:sz w:val="28"/>
          <w:szCs w:val="28"/>
          <w:lang w:val="en-US"/>
        </w:rPr>
        <w:t>industrial</w:t>
      </w:r>
      <w:r w:rsidRPr="00F50111">
        <w:rPr>
          <w:rFonts w:ascii="Times New Roman" w:hAnsi="Times New Roman"/>
          <w:sz w:val="28"/>
          <w:szCs w:val="28"/>
          <w:lang w:val="en-US"/>
        </w:rPr>
        <w:t xml:space="preserve"> groups and the emergence of surplus electricity for sale on the domestic market of the Republic of Kazakhstan.</w:t>
      </w:r>
    </w:p>
    <w:p w:rsidR="00F50111" w:rsidRDefault="00F50111" w:rsidP="00F50111">
      <w:pPr>
        <w:pStyle w:val="a4"/>
        <w:spacing w:after="120"/>
        <w:ind w:left="709"/>
        <w:jc w:val="both"/>
        <w:rPr>
          <w:rFonts w:ascii="Times New Roman" w:hAnsi="Times New Roman"/>
          <w:sz w:val="28"/>
          <w:szCs w:val="28"/>
          <w:lang w:val="en-US"/>
        </w:rPr>
      </w:pPr>
      <w:r w:rsidRPr="00F50111">
        <w:rPr>
          <w:rFonts w:ascii="Times New Roman" w:hAnsi="Times New Roman"/>
          <w:sz w:val="28"/>
          <w:szCs w:val="28"/>
          <w:lang w:val="en-US"/>
        </w:rPr>
        <w:t>2. The lower price of electricity from competitors, as they are interested in maintaining a low level of electricity prices to ensure competitiveness of main products (mainly metals) on world markets.</w:t>
      </w:r>
    </w:p>
    <w:p w:rsidR="000D22F9" w:rsidRDefault="000D22F9" w:rsidP="00DE5279">
      <w:pPr>
        <w:spacing w:after="120"/>
        <w:ind w:firstLine="720"/>
        <w:jc w:val="both"/>
        <w:rPr>
          <w:rFonts w:ascii="Times New Roman" w:hAnsi="Times New Roman"/>
          <w:b/>
          <w:sz w:val="28"/>
          <w:szCs w:val="28"/>
          <w:lang w:val="en-US"/>
        </w:rPr>
      </w:pPr>
      <w:r>
        <w:rPr>
          <w:rFonts w:ascii="Times New Roman" w:hAnsi="Times New Roman"/>
          <w:b/>
          <w:sz w:val="28"/>
          <w:szCs w:val="28"/>
          <w:lang w:val="en-US"/>
        </w:rPr>
        <w:t>Competitive environment in electricity market</w:t>
      </w:r>
    </w:p>
    <w:p w:rsidR="000D22F9" w:rsidRPr="000D22F9" w:rsidRDefault="000D22F9" w:rsidP="00DE5279">
      <w:pPr>
        <w:spacing w:after="120"/>
        <w:ind w:firstLine="720"/>
        <w:jc w:val="both"/>
        <w:rPr>
          <w:rFonts w:ascii="Times New Roman" w:hAnsi="Times New Roman"/>
          <w:sz w:val="28"/>
          <w:szCs w:val="28"/>
          <w:lang w:val="en-US"/>
        </w:rPr>
      </w:pPr>
      <w:r w:rsidRPr="000D22F9">
        <w:rPr>
          <w:rFonts w:ascii="Times New Roman" w:hAnsi="Times New Roman"/>
          <w:sz w:val="28"/>
          <w:szCs w:val="28"/>
          <w:lang w:val="en-US"/>
        </w:rPr>
        <w:t>The largest competitors in the wholesale electricity market in 2014 were the following power producing organizations: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8"/>
        <w:gridCol w:w="2547"/>
        <w:gridCol w:w="2726"/>
      </w:tblGrid>
      <w:tr w:rsidR="00DE5279" w:rsidRPr="00766C3A" w:rsidTr="000D22F9">
        <w:tc>
          <w:tcPr>
            <w:tcW w:w="4298" w:type="dxa"/>
            <w:vMerge w:val="restart"/>
            <w:shd w:val="clear" w:color="auto" w:fill="auto"/>
            <w:vAlign w:val="center"/>
          </w:tcPr>
          <w:p w:rsidR="00DE5279" w:rsidRPr="000D22F9" w:rsidRDefault="000D22F9" w:rsidP="00DA51D7">
            <w:pPr>
              <w:spacing w:after="120"/>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 xml:space="preserve">Competitive companies </w:t>
            </w:r>
          </w:p>
        </w:tc>
        <w:tc>
          <w:tcPr>
            <w:tcW w:w="5273" w:type="dxa"/>
            <w:gridSpan w:val="2"/>
            <w:shd w:val="clear" w:color="auto" w:fill="auto"/>
            <w:vAlign w:val="center"/>
          </w:tcPr>
          <w:p w:rsidR="00DE5279" w:rsidRPr="000D22F9" w:rsidRDefault="000D22F9" w:rsidP="00DA51D7">
            <w:pPr>
              <w:spacing w:after="120"/>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Power production volume in 2014</w:t>
            </w:r>
          </w:p>
        </w:tc>
      </w:tr>
      <w:tr w:rsidR="00DE5279" w:rsidRPr="00DA1D7E" w:rsidTr="000D22F9">
        <w:tc>
          <w:tcPr>
            <w:tcW w:w="4298" w:type="dxa"/>
            <w:vMerge/>
            <w:shd w:val="clear" w:color="auto" w:fill="auto"/>
          </w:tcPr>
          <w:p w:rsidR="00DE5279" w:rsidRPr="00766C3A" w:rsidRDefault="00DE5279" w:rsidP="00DA51D7">
            <w:pPr>
              <w:spacing w:after="120"/>
              <w:jc w:val="both"/>
              <w:rPr>
                <w:rFonts w:ascii="Times New Roman" w:eastAsia="Times New Roman" w:hAnsi="Times New Roman"/>
                <w:b/>
                <w:sz w:val="20"/>
                <w:szCs w:val="20"/>
              </w:rPr>
            </w:pPr>
          </w:p>
        </w:tc>
        <w:tc>
          <w:tcPr>
            <w:tcW w:w="2547" w:type="dxa"/>
            <w:shd w:val="clear" w:color="auto" w:fill="auto"/>
            <w:vAlign w:val="center"/>
          </w:tcPr>
          <w:p w:rsidR="00DE5279" w:rsidRPr="000D22F9" w:rsidRDefault="000D22F9" w:rsidP="00DA51D7">
            <w:pPr>
              <w:spacing w:after="120"/>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Mln.kWh</w:t>
            </w:r>
          </w:p>
        </w:tc>
        <w:tc>
          <w:tcPr>
            <w:tcW w:w="2726" w:type="dxa"/>
            <w:shd w:val="clear" w:color="auto" w:fill="auto"/>
            <w:vAlign w:val="center"/>
          </w:tcPr>
          <w:p w:rsidR="00DE5279" w:rsidRPr="000D22F9" w:rsidRDefault="00DE5279" w:rsidP="000D22F9">
            <w:pPr>
              <w:spacing w:after="120"/>
              <w:jc w:val="center"/>
              <w:rPr>
                <w:rFonts w:ascii="Times New Roman" w:eastAsia="Times New Roman" w:hAnsi="Times New Roman"/>
                <w:b/>
                <w:sz w:val="20"/>
                <w:szCs w:val="20"/>
                <w:lang w:val="en-US"/>
              </w:rPr>
            </w:pPr>
            <w:r w:rsidRPr="000D22F9">
              <w:rPr>
                <w:rFonts w:ascii="Times New Roman" w:eastAsia="Times New Roman" w:hAnsi="Times New Roman"/>
                <w:b/>
                <w:sz w:val="20"/>
                <w:szCs w:val="20"/>
                <w:lang w:val="en-US"/>
              </w:rPr>
              <w:t xml:space="preserve">% </w:t>
            </w:r>
            <w:r w:rsidR="000D22F9">
              <w:rPr>
                <w:rFonts w:ascii="Times New Roman" w:eastAsia="Times New Roman" w:hAnsi="Times New Roman"/>
                <w:b/>
                <w:sz w:val="20"/>
                <w:szCs w:val="20"/>
                <w:lang w:val="en-US"/>
              </w:rPr>
              <w:t>of production in the RK</w:t>
            </w:r>
          </w:p>
        </w:tc>
      </w:tr>
      <w:tr w:rsidR="00DE5279" w:rsidRPr="00766C3A" w:rsidTr="000D22F9">
        <w:tc>
          <w:tcPr>
            <w:tcW w:w="4298" w:type="dxa"/>
            <w:shd w:val="clear" w:color="auto" w:fill="auto"/>
            <w:vAlign w:val="center"/>
          </w:tcPr>
          <w:p w:rsidR="00DE5279" w:rsidRPr="000D22F9" w:rsidRDefault="000D22F9" w:rsidP="00DA51D7">
            <w:pPr>
              <w:spacing w:after="120"/>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 “Eurasian power corporation” JSC </w:t>
            </w:r>
          </w:p>
        </w:tc>
        <w:tc>
          <w:tcPr>
            <w:tcW w:w="2547"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16 401</w:t>
            </w:r>
          </w:p>
        </w:tc>
        <w:tc>
          <w:tcPr>
            <w:tcW w:w="2726"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17,5 %</w:t>
            </w:r>
          </w:p>
        </w:tc>
      </w:tr>
      <w:tr w:rsidR="00DE5279" w:rsidRPr="00766C3A" w:rsidTr="000D22F9">
        <w:tc>
          <w:tcPr>
            <w:tcW w:w="4298" w:type="dxa"/>
            <w:shd w:val="clear" w:color="auto" w:fill="auto"/>
            <w:vAlign w:val="center"/>
          </w:tcPr>
          <w:p w:rsidR="00DE5279" w:rsidRPr="00766C3A" w:rsidRDefault="000D22F9" w:rsidP="00DA51D7">
            <w:pPr>
              <w:spacing w:after="120"/>
              <w:rPr>
                <w:rFonts w:ascii="Times New Roman" w:eastAsia="Times New Roman" w:hAnsi="Times New Roman"/>
                <w:sz w:val="20"/>
                <w:szCs w:val="20"/>
              </w:rPr>
            </w:pPr>
            <w:r>
              <w:rPr>
                <w:rFonts w:ascii="Times New Roman" w:eastAsia="Times New Roman" w:hAnsi="Times New Roman"/>
                <w:sz w:val="20"/>
                <w:szCs w:val="20"/>
                <w:lang w:val="en-US"/>
              </w:rPr>
              <w:t>Karagandinskaya GRES-2</w:t>
            </w:r>
            <w:r w:rsidR="00DE5279" w:rsidRPr="00766C3A">
              <w:rPr>
                <w:rFonts w:ascii="Times New Roman" w:eastAsia="Times New Roman" w:hAnsi="Times New Roman"/>
                <w:sz w:val="20"/>
                <w:szCs w:val="20"/>
              </w:rPr>
              <w:t xml:space="preserve"> (KazakhmysEnergy)</w:t>
            </w:r>
          </w:p>
        </w:tc>
        <w:tc>
          <w:tcPr>
            <w:tcW w:w="2547"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4 604,5</w:t>
            </w:r>
          </w:p>
        </w:tc>
        <w:tc>
          <w:tcPr>
            <w:tcW w:w="2726"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5 %</w:t>
            </w:r>
          </w:p>
        </w:tc>
      </w:tr>
      <w:tr w:rsidR="00DE5279" w:rsidRPr="00766C3A" w:rsidTr="000D22F9">
        <w:tc>
          <w:tcPr>
            <w:tcW w:w="4298" w:type="dxa"/>
            <w:shd w:val="clear" w:color="auto" w:fill="auto"/>
            <w:vAlign w:val="center"/>
          </w:tcPr>
          <w:p w:rsidR="00DE5279" w:rsidRPr="000D22F9" w:rsidRDefault="000D22F9" w:rsidP="00DA51D7">
            <w:pPr>
              <w:spacing w:after="120"/>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“Karaganda Energocenter” LLP </w:t>
            </w:r>
          </w:p>
        </w:tc>
        <w:tc>
          <w:tcPr>
            <w:tcW w:w="2547"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3 519,3</w:t>
            </w:r>
          </w:p>
        </w:tc>
        <w:tc>
          <w:tcPr>
            <w:tcW w:w="2726"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3,7 %</w:t>
            </w:r>
          </w:p>
        </w:tc>
      </w:tr>
      <w:tr w:rsidR="00DE5279" w:rsidRPr="00766C3A" w:rsidTr="000D22F9">
        <w:tc>
          <w:tcPr>
            <w:tcW w:w="4298" w:type="dxa"/>
            <w:shd w:val="clear" w:color="auto" w:fill="auto"/>
            <w:vAlign w:val="center"/>
          </w:tcPr>
          <w:p w:rsidR="00DE5279" w:rsidRPr="00FC607A" w:rsidRDefault="00FC607A" w:rsidP="00DA51D7">
            <w:pPr>
              <w:spacing w:after="120"/>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“SevKazEnergo” JSC </w:t>
            </w:r>
          </w:p>
        </w:tc>
        <w:tc>
          <w:tcPr>
            <w:tcW w:w="2547"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2 732,7</w:t>
            </w:r>
          </w:p>
        </w:tc>
        <w:tc>
          <w:tcPr>
            <w:tcW w:w="2726" w:type="dxa"/>
            <w:shd w:val="clear" w:color="auto" w:fill="auto"/>
            <w:vAlign w:val="center"/>
          </w:tcPr>
          <w:p w:rsidR="00DE5279" w:rsidRPr="00766C3A" w:rsidRDefault="00DE5279" w:rsidP="00DA51D7">
            <w:pPr>
              <w:spacing w:after="120"/>
              <w:jc w:val="center"/>
              <w:rPr>
                <w:rFonts w:ascii="Times New Roman" w:eastAsia="Times New Roman" w:hAnsi="Times New Roman"/>
                <w:sz w:val="20"/>
                <w:szCs w:val="20"/>
              </w:rPr>
            </w:pPr>
            <w:r w:rsidRPr="00766C3A">
              <w:rPr>
                <w:rFonts w:ascii="Times New Roman" w:eastAsia="Times New Roman" w:hAnsi="Times New Roman"/>
                <w:sz w:val="20"/>
                <w:szCs w:val="20"/>
              </w:rPr>
              <w:t>3 %</w:t>
            </w:r>
          </w:p>
        </w:tc>
      </w:tr>
    </w:tbl>
    <w:p w:rsidR="00DE5279" w:rsidRDefault="00DE5279" w:rsidP="00DE5279">
      <w:pPr>
        <w:spacing w:after="120"/>
        <w:ind w:firstLine="720"/>
        <w:jc w:val="both"/>
        <w:rPr>
          <w:rFonts w:ascii="Times New Roman" w:hAnsi="Times New Roman"/>
          <w:sz w:val="24"/>
          <w:szCs w:val="24"/>
        </w:rPr>
      </w:pPr>
    </w:p>
    <w:p w:rsidR="00FC607A" w:rsidRPr="00FC607A" w:rsidRDefault="00FC607A" w:rsidP="00FC607A">
      <w:pPr>
        <w:ind w:firstLine="400"/>
        <w:jc w:val="both"/>
        <w:rPr>
          <w:rFonts w:ascii="Times New Roman" w:hAnsi="Times New Roman"/>
          <w:b/>
          <w:sz w:val="28"/>
          <w:szCs w:val="28"/>
          <w:lang w:val="en-US"/>
        </w:rPr>
      </w:pPr>
      <w:r w:rsidRPr="00FC607A">
        <w:rPr>
          <w:rFonts w:ascii="Times New Roman" w:hAnsi="Times New Roman"/>
          <w:b/>
          <w:sz w:val="28"/>
          <w:szCs w:val="28"/>
          <w:lang w:val="en-US"/>
        </w:rPr>
        <w:t>Coal market</w:t>
      </w:r>
      <w:r w:rsidR="00DA1D7E">
        <w:rPr>
          <w:rFonts w:ascii="Times New Roman" w:hAnsi="Times New Roman"/>
          <w:b/>
          <w:sz w:val="28"/>
          <w:szCs w:val="28"/>
          <w:lang w:val="en-US"/>
        </w:rPr>
        <w:t xml:space="preserve"> in the RK </w:t>
      </w:r>
    </w:p>
    <w:p w:rsidR="002B4F8F" w:rsidRDefault="00FC607A" w:rsidP="00FC607A">
      <w:pPr>
        <w:ind w:firstLine="400"/>
        <w:jc w:val="both"/>
        <w:rPr>
          <w:rFonts w:ascii="Times New Roman" w:hAnsi="Times New Roman"/>
          <w:sz w:val="28"/>
          <w:szCs w:val="28"/>
          <w:lang w:val="en-US"/>
        </w:rPr>
      </w:pPr>
      <w:r w:rsidRPr="00FC607A">
        <w:rPr>
          <w:rFonts w:ascii="Times New Roman" w:hAnsi="Times New Roman"/>
          <w:sz w:val="28"/>
          <w:szCs w:val="28"/>
          <w:lang w:val="en-US"/>
        </w:rPr>
        <w:t xml:space="preserve"> The coal industry is one of the most important resource sectors of Kazakhstan. </w:t>
      </w:r>
    </w:p>
    <w:p w:rsidR="00FC607A" w:rsidRPr="00FC607A" w:rsidRDefault="002B4F8F" w:rsidP="00FC607A">
      <w:pPr>
        <w:ind w:firstLine="400"/>
        <w:jc w:val="both"/>
        <w:rPr>
          <w:rFonts w:ascii="Times New Roman" w:hAnsi="Times New Roman"/>
          <w:sz w:val="28"/>
          <w:szCs w:val="28"/>
          <w:lang w:val="en-US"/>
        </w:rPr>
      </w:pPr>
      <w:r>
        <w:rPr>
          <w:rFonts w:ascii="Times New Roman" w:hAnsi="Times New Roman"/>
          <w:sz w:val="28"/>
          <w:szCs w:val="28"/>
          <w:lang w:val="en-US"/>
        </w:rPr>
        <w:t>C</w:t>
      </w:r>
      <w:r w:rsidR="00FC607A" w:rsidRPr="00FC607A">
        <w:rPr>
          <w:rFonts w:ascii="Times New Roman" w:hAnsi="Times New Roman"/>
          <w:sz w:val="28"/>
          <w:szCs w:val="28"/>
          <w:lang w:val="en-US"/>
        </w:rPr>
        <w:t xml:space="preserve">oal </w:t>
      </w:r>
      <w:r>
        <w:rPr>
          <w:rFonts w:ascii="Times New Roman" w:hAnsi="Times New Roman"/>
          <w:sz w:val="28"/>
          <w:szCs w:val="28"/>
          <w:lang w:val="en-US"/>
        </w:rPr>
        <w:t>constitutes</w:t>
      </w:r>
      <w:r w:rsidR="00FC607A" w:rsidRPr="00FC607A">
        <w:rPr>
          <w:rFonts w:ascii="Times New Roman" w:hAnsi="Times New Roman"/>
          <w:sz w:val="28"/>
          <w:szCs w:val="28"/>
          <w:lang w:val="en-US"/>
        </w:rPr>
        <w:t xml:space="preserve"> the major share </w:t>
      </w:r>
      <w:r>
        <w:rPr>
          <w:rFonts w:ascii="Times New Roman" w:hAnsi="Times New Roman"/>
          <w:sz w:val="28"/>
          <w:szCs w:val="28"/>
          <w:lang w:val="en-US"/>
        </w:rPr>
        <w:t>i</w:t>
      </w:r>
      <w:r w:rsidRPr="00FC607A">
        <w:rPr>
          <w:rFonts w:ascii="Times New Roman" w:hAnsi="Times New Roman"/>
          <w:sz w:val="28"/>
          <w:szCs w:val="28"/>
          <w:lang w:val="en-US"/>
        </w:rPr>
        <w:t>n the current fuel generating</w:t>
      </w:r>
      <w:r w:rsidR="00261058">
        <w:rPr>
          <w:rFonts w:ascii="Times New Roman" w:hAnsi="Times New Roman"/>
          <w:sz w:val="28"/>
          <w:szCs w:val="28"/>
          <w:lang w:val="en-US"/>
        </w:rPr>
        <w:t xml:space="preserve"> structure</w:t>
      </w:r>
      <w:r w:rsidRPr="00FC607A">
        <w:rPr>
          <w:rFonts w:ascii="Times New Roman" w:hAnsi="Times New Roman"/>
          <w:sz w:val="28"/>
          <w:szCs w:val="28"/>
          <w:lang w:val="en-US"/>
        </w:rPr>
        <w:t xml:space="preserve"> </w:t>
      </w:r>
      <w:r w:rsidR="00FC607A" w:rsidRPr="00FC607A">
        <w:rPr>
          <w:rFonts w:ascii="Times New Roman" w:hAnsi="Times New Roman"/>
          <w:sz w:val="28"/>
          <w:szCs w:val="28"/>
          <w:lang w:val="en-US"/>
        </w:rPr>
        <w:t xml:space="preserve">- 74% of total consumption of </w:t>
      </w:r>
      <w:r w:rsidR="0037246B">
        <w:rPr>
          <w:rFonts w:ascii="Times New Roman" w:hAnsi="Times New Roman"/>
          <w:sz w:val="28"/>
          <w:szCs w:val="28"/>
          <w:lang w:val="en-US"/>
        </w:rPr>
        <w:t>reference fuel in tons</w:t>
      </w:r>
      <w:r w:rsidR="00FC607A" w:rsidRPr="00FC607A">
        <w:rPr>
          <w:rFonts w:ascii="Times New Roman" w:hAnsi="Times New Roman"/>
          <w:sz w:val="28"/>
          <w:szCs w:val="28"/>
          <w:lang w:val="en-US"/>
        </w:rPr>
        <w:t>. In Kazakhstan, all the main segments of the coal industry</w:t>
      </w:r>
      <w:r w:rsidR="0037246B">
        <w:rPr>
          <w:rFonts w:ascii="Times New Roman" w:hAnsi="Times New Roman"/>
          <w:sz w:val="28"/>
          <w:szCs w:val="28"/>
          <w:lang w:val="en-US"/>
        </w:rPr>
        <w:t xml:space="preserve"> are available</w:t>
      </w:r>
      <w:r w:rsidR="0037246B" w:rsidRPr="00FC607A">
        <w:rPr>
          <w:rFonts w:ascii="Times New Roman" w:hAnsi="Times New Roman"/>
          <w:sz w:val="28"/>
          <w:szCs w:val="28"/>
          <w:lang w:val="en-US"/>
        </w:rPr>
        <w:t>;</w:t>
      </w:r>
      <w:r w:rsidR="00FC607A" w:rsidRPr="00FC607A">
        <w:rPr>
          <w:rFonts w:ascii="Times New Roman" w:hAnsi="Times New Roman"/>
          <w:sz w:val="28"/>
          <w:szCs w:val="28"/>
          <w:lang w:val="en-US"/>
        </w:rPr>
        <w:t xml:space="preserve"> production and use of energy coal</w:t>
      </w:r>
      <w:r w:rsidR="0037246B">
        <w:rPr>
          <w:rFonts w:ascii="Times New Roman" w:hAnsi="Times New Roman"/>
          <w:sz w:val="28"/>
          <w:szCs w:val="28"/>
          <w:lang w:val="en-US"/>
        </w:rPr>
        <w:t xml:space="preserve"> are well developed</w:t>
      </w:r>
      <w:r w:rsidR="00FC607A" w:rsidRPr="00FC607A">
        <w:rPr>
          <w:rFonts w:ascii="Times New Roman" w:hAnsi="Times New Roman"/>
          <w:sz w:val="28"/>
          <w:szCs w:val="28"/>
          <w:lang w:val="en-US"/>
        </w:rPr>
        <w:t>. As of 2013, the Republic of Kazakhstan is ranked seventh in the world in terms of proven coal reserves.</w:t>
      </w:r>
    </w:p>
    <w:p w:rsidR="0037246B" w:rsidRDefault="0037246B" w:rsidP="00FC607A">
      <w:pPr>
        <w:ind w:firstLine="400"/>
        <w:jc w:val="both"/>
        <w:rPr>
          <w:rFonts w:ascii="Times New Roman" w:hAnsi="Times New Roman"/>
          <w:sz w:val="28"/>
          <w:szCs w:val="28"/>
          <w:lang w:val="en-US"/>
        </w:rPr>
      </w:pPr>
    </w:p>
    <w:p w:rsidR="0037246B" w:rsidRDefault="0037246B" w:rsidP="00FC607A">
      <w:pPr>
        <w:ind w:firstLine="400"/>
        <w:jc w:val="both"/>
        <w:rPr>
          <w:rFonts w:ascii="Times New Roman" w:hAnsi="Times New Roman"/>
          <w:sz w:val="28"/>
          <w:szCs w:val="28"/>
          <w:lang w:val="en-US"/>
        </w:rPr>
      </w:pPr>
    </w:p>
    <w:p w:rsidR="0037246B" w:rsidRDefault="0037246B" w:rsidP="00FC607A">
      <w:pPr>
        <w:ind w:firstLine="400"/>
        <w:jc w:val="both"/>
        <w:rPr>
          <w:rFonts w:ascii="Times New Roman" w:hAnsi="Times New Roman"/>
          <w:sz w:val="28"/>
          <w:szCs w:val="28"/>
          <w:lang w:val="en-US"/>
        </w:rPr>
      </w:pPr>
    </w:p>
    <w:p w:rsidR="0037246B" w:rsidRDefault="0037246B" w:rsidP="00FC607A">
      <w:pPr>
        <w:ind w:firstLine="400"/>
        <w:jc w:val="both"/>
        <w:rPr>
          <w:rFonts w:ascii="Times New Roman" w:hAnsi="Times New Roman"/>
          <w:sz w:val="28"/>
          <w:szCs w:val="28"/>
          <w:lang w:val="en-US"/>
        </w:rPr>
      </w:pPr>
    </w:p>
    <w:p w:rsidR="009770FB" w:rsidRDefault="009770FB" w:rsidP="00FC607A">
      <w:pPr>
        <w:ind w:firstLine="400"/>
        <w:jc w:val="both"/>
        <w:rPr>
          <w:rFonts w:ascii="Times New Roman" w:hAnsi="Times New Roman"/>
          <w:sz w:val="28"/>
          <w:szCs w:val="28"/>
          <w:lang w:val="en-US"/>
        </w:rPr>
      </w:pPr>
      <w:r>
        <w:rPr>
          <w:rFonts w:ascii="Times New Roman" w:hAnsi="Times New Roman"/>
          <w:sz w:val="28"/>
          <w:szCs w:val="28"/>
          <w:lang w:val="en-US"/>
        </w:rPr>
        <w:lastRenderedPageBreak/>
        <w:t>The share of lignite and long-flame coal has increased in the structure of power generating coal mining – from 20% in 2008 to 27% in 2012. Kazakhstan is ranked 10</w:t>
      </w:r>
      <w:r w:rsidRPr="009770FB">
        <w:rPr>
          <w:rFonts w:ascii="Times New Roman" w:hAnsi="Times New Roman"/>
          <w:sz w:val="28"/>
          <w:szCs w:val="28"/>
          <w:vertAlign w:val="superscript"/>
          <w:lang w:val="en-US"/>
        </w:rPr>
        <w:t>th</w:t>
      </w:r>
      <w:r>
        <w:rPr>
          <w:rFonts w:ascii="Times New Roman" w:hAnsi="Times New Roman"/>
          <w:sz w:val="28"/>
          <w:szCs w:val="28"/>
          <w:lang w:val="en-US"/>
        </w:rPr>
        <w:t xml:space="preserve"> in the world for coal extraction owing to considerable volume of power generation coal. </w:t>
      </w:r>
    </w:p>
    <w:p w:rsidR="009770FB" w:rsidRPr="009770FB" w:rsidRDefault="009770FB" w:rsidP="009770FB">
      <w:pPr>
        <w:ind w:firstLine="400"/>
        <w:jc w:val="both"/>
        <w:rPr>
          <w:rFonts w:ascii="Times New Roman" w:hAnsi="Times New Roman"/>
          <w:sz w:val="28"/>
          <w:szCs w:val="28"/>
          <w:lang w:val="en-US"/>
        </w:rPr>
      </w:pPr>
      <w:r>
        <w:rPr>
          <w:rFonts w:ascii="Times New Roman" w:hAnsi="Times New Roman"/>
          <w:sz w:val="28"/>
          <w:szCs w:val="28"/>
          <w:lang w:val="en-US"/>
        </w:rPr>
        <w:t>S</w:t>
      </w:r>
      <w:r w:rsidRPr="009770FB">
        <w:rPr>
          <w:rFonts w:ascii="Times New Roman" w:hAnsi="Times New Roman"/>
          <w:sz w:val="28"/>
          <w:szCs w:val="28"/>
          <w:lang w:val="en-US"/>
        </w:rPr>
        <w:t xml:space="preserve">team coal market in Kazakhstan is relatively fragmented - </w:t>
      </w:r>
      <w:r w:rsidR="00A304BA" w:rsidRPr="009770FB">
        <w:rPr>
          <w:rFonts w:ascii="Times New Roman" w:hAnsi="Times New Roman"/>
          <w:sz w:val="28"/>
          <w:szCs w:val="28"/>
          <w:lang w:val="en-US"/>
        </w:rPr>
        <w:t>"Bogatyr</w:t>
      </w:r>
      <w:r w:rsidR="00A304BA">
        <w:rPr>
          <w:rFonts w:ascii="Times New Roman" w:hAnsi="Times New Roman"/>
          <w:sz w:val="28"/>
          <w:szCs w:val="28"/>
          <w:lang w:val="en-US"/>
        </w:rPr>
        <w:t xml:space="preserve"> Komir</w:t>
      </w:r>
      <w:r w:rsidR="00A304BA" w:rsidRPr="009770FB">
        <w:rPr>
          <w:rFonts w:ascii="Times New Roman" w:hAnsi="Times New Roman"/>
          <w:sz w:val="28"/>
          <w:szCs w:val="28"/>
          <w:lang w:val="en-US"/>
        </w:rPr>
        <w:t xml:space="preserve">" </w:t>
      </w:r>
      <w:r w:rsidR="00A304BA">
        <w:rPr>
          <w:rFonts w:ascii="Times New Roman" w:hAnsi="Times New Roman"/>
          <w:sz w:val="28"/>
          <w:szCs w:val="28"/>
          <w:lang w:val="en-US"/>
        </w:rPr>
        <w:t>LLP</w:t>
      </w:r>
      <w:r w:rsidR="00A304BA" w:rsidRPr="009770FB">
        <w:rPr>
          <w:rFonts w:ascii="Times New Roman" w:hAnsi="Times New Roman"/>
          <w:sz w:val="28"/>
          <w:szCs w:val="28"/>
          <w:lang w:val="en-US"/>
        </w:rPr>
        <w:t>("Samruk-Energ</w:t>
      </w:r>
      <w:r w:rsidR="00A304BA">
        <w:rPr>
          <w:rFonts w:ascii="Times New Roman" w:hAnsi="Times New Roman"/>
          <w:sz w:val="28"/>
          <w:szCs w:val="28"/>
          <w:lang w:val="en-US"/>
        </w:rPr>
        <w:t>y</w:t>
      </w:r>
      <w:r w:rsidR="00A304BA" w:rsidRPr="009770FB">
        <w:rPr>
          <w:rFonts w:ascii="Times New Roman" w:hAnsi="Times New Roman"/>
          <w:sz w:val="28"/>
          <w:szCs w:val="28"/>
          <w:lang w:val="en-US"/>
        </w:rPr>
        <w:t>" and "RUSAL" 20%</w:t>
      </w:r>
      <w:r w:rsidR="00A304BA">
        <w:rPr>
          <w:rFonts w:ascii="Times New Roman" w:hAnsi="Times New Roman"/>
          <w:sz w:val="28"/>
          <w:szCs w:val="28"/>
          <w:lang w:val="en-US"/>
        </w:rPr>
        <w:t xml:space="preserve"> for each company</w:t>
      </w:r>
      <w:r w:rsidR="00A304BA" w:rsidRPr="009770FB">
        <w:rPr>
          <w:rFonts w:ascii="Times New Roman" w:hAnsi="Times New Roman"/>
          <w:sz w:val="28"/>
          <w:szCs w:val="28"/>
          <w:lang w:val="en-US"/>
        </w:rPr>
        <w:t>)</w:t>
      </w:r>
      <w:r w:rsidR="00A304BA">
        <w:rPr>
          <w:rFonts w:ascii="Times New Roman" w:hAnsi="Times New Roman"/>
          <w:sz w:val="28"/>
          <w:szCs w:val="28"/>
          <w:lang w:val="en-US"/>
        </w:rPr>
        <w:t xml:space="preserve"> is</w:t>
      </w:r>
      <w:r w:rsidR="00A304BA" w:rsidRPr="009770FB">
        <w:rPr>
          <w:rFonts w:ascii="Times New Roman" w:hAnsi="Times New Roman"/>
          <w:sz w:val="28"/>
          <w:szCs w:val="28"/>
          <w:lang w:val="en-US"/>
        </w:rPr>
        <w:t xml:space="preserve"> </w:t>
      </w:r>
      <w:r w:rsidRPr="009770FB">
        <w:rPr>
          <w:rFonts w:ascii="Times New Roman" w:hAnsi="Times New Roman"/>
          <w:sz w:val="28"/>
          <w:szCs w:val="28"/>
          <w:lang w:val="en-US"/>
        </w:rPr>
        <w:t>the largest player providing about 40% of total production</w:t>
      </w:r>
      <w:r w:rsidR="00A304BA">
        <w:rPr>
          <w:rFonts w:ascii="Times New Roman" w:hAnsi="Times New Roman"/>
          <w:sz w:val="28"/>
          <w:szCs w:val="28"/>
          <w:lang w:val="en-US"/>
        </w:rPr>
        <w:t xml:space="preserve"> </w:t>
      </w:r>
      <w:r w:rsidRPr="009770FB">
        <w:rPr>
          <w:rFonts w:ascii="Times New Roman" w:hAnsi="Times New Roman"/>
          <w:sz w:val="28"/>
          <w:szCs w:val="28"/>
          <w:lang w:val="en-US"/>
        </w:rPr>
        <w:t xml:space="preserve">and </w:t>
      </w:r>
      <w:r w:rsidR="00A304BA">
        <w:rPr>
          <w:rFonts w:ascii="Times New Roman" w:hAnsi="Times New Roman"/>
          <w:sz w:val="28"/>
          <w:szCs w:val="28"/>
          <w:lang w:val="en-US"/>
        </w:rPr>
        <w:t xml:space="preserve">“ENRC” Company provides up to </w:t>
      </w:r>
      <w:r w:rsidRPr="009770FB">
        <w:rPr>
          <w:rFonts w:ascii="Times New Roman" w:hAnsi="Times New Roman"/>
          <w:sz w:val="28"/>
          <w:szCs w:val="28"/>
          <w:lang w:val="en-US"/>
        </w:rPr>
        <w:t>30% of total production ("</w:t>
      </w:r>
      <w:r w:rsidR="00A304BA">
        <w:rPr>
          <w:rFonts w:ascii="Times New Roman" w:hAnsi="Times New Roman"/>
          <w:sz w:val="28"/>
          <w:szCs w:val="28"/>
          <w:lang w:val="en-US"/>
        </w:rPr>
        <w:t>Vostochnyi</w:t>
      </w:r>
      <w:r w:rsidRPr="009770FB">
        <w:rPr>
          <w:rFonts w:ascii="Times New Roman" w:hAnsi="Times New Roman"/>
          <w:sz w:val="28"/>
          <w:szCs w:val="28"/>
          <w:lang w:val="en-US"/>
        </w:rPr>
        <w:t xml:space="preserve"> "," Shubarkol</w:t>
      </w:r>
      <w:r w:rsidR="00A304BA">
        <w:rPr>
          <w:rFonts w:ascii="Times New Roman" w:hAnsi="Times New Roman"/>
          <w:sz w:val="28"/>
          <w:szCs w:val="28"/>
          <w:lang w:val="en-US"/>
        </w:rPr>
        <w:t xml:space="preserve"> Komir” mines</w:t>
      </w:r>
      <w:r w:rsidRPr="009770FB">
        <w:rPr>
          <w:rFonts w:ascii="Times New Roman" w:hAnsi="Times New Roman"/>
          <w:sz w:val="28"/>
          <w:szCs w:val="28"/>
          <w:lang w:val="en-US"/>
        </w:rPr>
        <w:t xml:space="preserve">), </w:t>
      </w:r>
      <w:r w:rsidR="00A304BA">
        <w:rPr>
          <w:rFonts w:ascii="Times New Roman" w:hAnsi="Times New Roman"/>
          <w:sz w:val="28"/>
          <w:szCs w:val="28"/>
          <w:lang w:val="en-US"/>
        </w:rPr>
        <w:t>followed by</w:t>
      </w:r>
      <w:r w:rsidRPr="009770FB">
        <w:rPr>
          <w:rFonts w:ascii="Times New Roman" w:hAnsi="Times New Roman"/>
          <w:sz w:val="28"/>
          <w:szCs w:val="28"/>
          <w:lang w:val="en-US"/>
        </w:rPr>
        <w:t xml:space="preserve"> "Kazakhmys" (8%), "Karazhyra" (6%), "Angrensor Energo" (5%) and others.</w:t>
      </w:r>
    </w:p>
    <w:p w:rsidR="00FC607A" w:rsidRDefault="009770FB" w:rsidP="009770FB">
      <w:pPr>
        <w:ind w:firstLine="400"/>
        <w:jc w:val="both"/>
        <w:rPr>
          <w:rFonts w:ascii="Times New Roman" w:hAnsi="Times New Roman"/>
          <w:sz w:val="28"/>
          <w:szCs w:val="28"/>
          <w:lang w:val="en-US"/>
        </w:rPr>
      </w:pPr>
      <w:r w:rsidRPr="009770FB">
        <w:rPr>
          <w:rFonts w:ascii="Times New Roman" w:hAnsi="Times New Roman"/>
          <w:sz w:val="28"/>
          <w:szCs w:val="28"/>
          <w:lang w:val="en-US"/>
        </w:rPr>
        <w:t xml:space="preserve">The main share of </w:t>
      </w:r>
      <w:r w:rsidR="00A304BA">
        <w:rPr>
          <w:rFonts w:ascii="Times New Roman" w:hAnsi="Times New Roman"/>
          <w:sz w:val="28"/>
          <w:szCs w:val="28"/>
          <w:lang w:val="en-US"/>
        </w:rPr>
        <w:t>extracted steam coal</w:t>
      </w:r>
      <w:r w:rsidR="008146A0">
        <w:rPr>
          <w:rFonts w:ascii="Times New Roman" w:hAnsi="Times New Roman"/>
          <w:sz w:val="28"/>
          <w:szCs w:val="28"/>
          <w:lang w:val="en-US"/>
        </w:rPr>
        <w:t xml:space="preserve"> goes</w:t>
      </w:r>
      <w:r w:rsidR="0074040A">
        <w:rPr>
          <w:rFonts w:ascii="Times New Roman" w:hAnsi="Times New Roman"/>
          <w:sz w:val="28"/>
          <w:szCs w:val="28"/>
          <w:lang w:val="en-US"/>
        </w:rPr>
        <w:t xml:space="preserve"> towards the needs of power industry </w:t>
      </w:r>
      <w:r w:rsidRPr="009770FB">
        <w:rPr>
          <w:rFonts w:ascii="Times New Roman" w:hAnsi="Times New Roman"/>
          <w:sz w:val="28"/>
          <w:szCs w:val="28"/>
          <w:lang w:val="en-US"/>
        </w:rPr>
        <w:t xml:space="preserve">of the Republic of Kazakhstan and </w:t>
      </w:r>
      <w:r w:rsidR="008146A0">
        <w:rPr>
          <w:rFonts w:ascii="Times New Roman" w:hAnsi="Times New Roman"/>
          <w:sz w:val="28"/>
          <w:szCs w:val="28"/>
          <w:lang w:val="en-US"/>
        </w:rPr>
        <w:t>is exported</w:t>
      </w:r>
      <w:r w:rsidRPr="009770FB">
        <w:rPr>
          <w:rFonts w:ascii="Times New Roman" w:hAnsi="Times New Roman"/>
          <w:sz w:val="28"/>
          <w:szCs w:val="28"/>
          <w:lang w:val="en-US"/>
        </w:rPr>
        <w:t xml:space="preserve"> (51% and 31%, respectively), the rest</w:t>
      </w:r>
      <w:r w:rsidR="008146A0">
        <w:rPr>
          <w:rFonts w:ascii="Times New Roman" w:hAnsi="Times New Roman"/>
          <w:sz w:val="28"/>
          <w:szCs w:val="28"/>
          <w:lang w:val="en-US"/>
        </w:rPr>
        <w:t xml:space="preserve"> volume</w:t>
      </w:r>
      <w:r w:rsidRPr="009770FB">
        <w:rPr>
          <w:rFonts w:ascii="Times New Roman" w:hAnsi="Times New Roman"/>
          <w:sz w:val="28"/>
          <w:szCs w:val="28"/>
          <w:lang w:val="en-US"/>
        </w:rPr>
        <w:t xml:space="preserve"> </w:t>
      </w:r>
      <w:r w:rsidR="008146A0">
        <w:rPr>
          <w:rFonts w:ascii="Times New Roman" w:hAnsi="Times New Roman"/>
          <w:sz w:val="28"/>
          <w:szCs w:val="28"/>
          <w:lang w:val="en-US"/>
        </w:rPr>
        <w:t>–</w:t>
      </w:r>
      <w:r w:rsidRPr="009770FB">
        <w:rPr>
          <w:rFonts w:ascii="Times New Roman" w:hAnsi="Times New Roman"/>
          <w:sz w:val="28"/>
          <w:szCs w:val="28"/>
          <w:lang w:val="en-US"/>
        </w:rPr>
        <w:t xml:space="preserve"> </w:t>
      </w:r>
      <w:r w:rsidR="008146A0">
        <w:rPr>
          <w:rFonts w:ascii="Times New Roman" w:hAnsi="Times New Roman"/>
          <w:sz w:val="28"/>
          <w:szCs w:val="28"/>
          <w:lang w:val="en-US"/>
        </w:rPr>
        <w:t>goes to</w:t>
      </w:r>
      <w:r w:rsidRPr="009770FB">
        <w:rPr>
          <w:rFonts w:ascii="Times New Roman" w:hAnsi="Times New Roman"/>
          <w:sz w:val="28"/>
          <w:szCs w:val="28"/>
          <w:lang w:val="en-US"/>
        </w:rPr>
        <w:t xml:space="preserve"> the household needs of the population and industrial enterprises (13% and 5%, respectively).</w:t>
      </w:r>
    </w:p>
    <w:p w:rsidR="004F1411" w:rsidRPr="008146A0" w:rsidRDefault="008146A0" w:rsidP="004F1411">
      <w:pPr>
        <w:autoSpaceDE w:val="0"/>
        <w:autoSpaceDN w:val="0"/>
        <w:adjustRightInd w:val="0"/>
        <w:spacing w:line="240" w:lineRule="atLeast"/>
        <w:ind w:firstLine="708"/>
        <w:jc w:val="both"/>
        <w:rPr>
          <w:rFonts w:ascii="Times New Roman" w:hAnsi="Times New Roman"/>
          <w:b/>
          <w:sz w:val="28"/>
          <w:szCs w:val="28"/>
          <w:lang w:val="en-US"/>
        </w:rPr>
      </w:pPr>
      <w:r>
        <w:rPr>
          <w:rFonts w:ascii="Times New Roman" w:hAnsi="Times New Roman"/>
          <w:b/>
          <w:sz w:val="28"/>
          <w:szCs w:val="28"/>
          <w:lang w:val="en-US"/>
        </w:rPr>
        <w:t>Operating</w:t>
      </w:r>
      <w:r w:rsidRPr="008146A0">
        <w:rPr>
          <w:rFonts w:ascii="Times New Roman" w:hAnsi="Times New Roman"/>
          <w:b/>
          <w:sz w:val="28"/>
          <w:szCs w:val="28"/>
          <w:lang w:val="en-US"/>
        </w:rPr>
        <w:t xml:space="preserve"> </w:t>
      </w:r>
      <w:r>
        <w:rPr>
          <w:rFonts w:ascii="Times New Roman" w:hAnsi="Times New Roman"/>
          <w:b/>
          <w:sz w:val="28"/>
          <w:szCs w:val="28"/>
          <w:lang w:val="en-US"/>
        </w:rPr>
        <w:t>performance</w:t>
      </w:r>
      <w:r w:rsidRPr="008146A0">
        <w:rPr>
          <w:rFonts w:ascii="Times New Roman" w:hAnsi="Times New Roman"/>
          <w:b/>
          <w:sz w:val="28"/>
          <w:szCs w:val="28"/>
          <w:lang w:val="en-US"/>
        </w:rPr>
        <w:t xml:space="preserve"> </w:t>
      </w:r>
      <w:r>
        <w:rPr>
          <w:rFonts w:ascii="Times New Roman" w:hAnsi="Times New Roman"/>
          <w:b/>
          <w:sz w:val="28"/>
          <w:szCs w:val="28"/>
          <w:lang w:val="en-US"/>
        </w:rPr>
        <w:t>of</w:t>
      </w:r>
      <w:r w:rsidRPr="008146A0">
        <w:rPr>
          <w:rFonts w:ascii="Times New Roman" w:hAnsi="Times New Roman"/>
          <w:b/>
          <w:sz w:val="28"/>
          <w:szCs w:val="28"/>
          <w:lang w:val="en-US"/>
        </w:rPr>
        <w:t xml:space="preserve"> “</w:t>
      </w:r>
      <w:r>
        <w:rPr>
          <w:rFonts w:ascii="Times New Roman" w:hAnsi="Times New Roman"/>
          <w:b/>
          <w:sz w:val="28"/>
          <w:szCs w:val="28"/>
          <w:lang w:val="en-US"/>
        </w:rPr>
        <w:t>Samruk</w:t>
      </w:r>
      <w:r w:rsidRPr="008146A0">
        <w:rPr>
          <w:rFonts w:ascii="Times New Roman" w:hAnsi="Times New Roman"/>
          <w:b/>
          <w:sz w:val="28"/>
          <w:szCs w:val="28"/>
          <w:lang w:val="en-US"/>
        </w:rPr>
        <w:t>-</w:t>
      </w:r>
      <w:r>
        <w:rPr>
          <w:rFonts w:ascii="Times New Roman" w:hAnsi="Times New Roman"/>
          <w:b/>
          <w:sz w:val="28"/>
          <w:szCs w:val="28"/>
          <w:lang w:val="en-US"/>
        </w:rPr>
        <w:t>Energy</w:t>
      </w:r>
      <w:r w:rsidRPr="008146A0">
        <w:rPr>
          <w:rFonts w:ascii="Times New Roman" w:hAnsi="Times New Roman"/>
          <w:b/>
          <w:sz w:val="28"/>
          <w:szCs w:val="28"/>
          <w:lang w:val="en-US"/>
        </w:rPr>
        <w:t xml:space="preserve">” </w:t>
      </w:r>
      <w:r>
        <w:rPr>
          <w:rFonts w:ascii="Times New Roman" w:hAnsi="Times New Roman"/>
          <w:b/>
          <w:sz w:val="28"/>
          <w:szCs w:val="28"/>
          <w:lang w:val="en-US"/>
        </w:rPr>
        <w:t>JSC</w:t>
      </w:r>
      <w:r w:rsidRPr="008146A0">
        <w:rPr>
          <w:rFonts w:ascii="Times New Roman" w:hAnsi="Times New Roman"/>
          <w:b/>
          <w:sz w:val="28"/>
          <w:szCs w:val="28"/>
          <w:lang w:val="en-US"/>
        </w:rPr>
        <w:t xml:space="preserve"> </w:t>
      </w:r>
      <w:r>
        <w:rPr>
          <w:rFonts w:ascii="Times New Roman" w:hAnsi="Times New Roman"/>
          <w:b/>
          <w:sz w:val="28"/>
          <w:szCs w:val="28"/>
          <w:lang w:val="en-US"/>
        </w:rPr>
        <w:t>group</w:t>
      </w:r>
      <w:r w:rsidRPr="008146A0">
        <w:rPr>
          <w:rFonts w:ascii="Times New Roman" w:hAnsi="Times New Roman"/>
          <w:b/>
          <w:sz w:val="28"/>
          <w:szCs w:val="28"/>
          <w:lang w:val="en-US"/>
        </w:rPr>
        <w:t xml:space="preserve"> (</w:t>
      </w:r>
      <w:r>
        <w:rPr>
          <w:rFonts w:ascii="Times New Roman" w:hAnsi="Times New Roman"/>
          <w:b/>
          <w:sz w:val="28"/>
          <w:szCs w:val="28"/>
          <w:lang w:val="en-US"/>
        </w:rPr>
        <w:t xml:space="preserve">separately for each producer) </w:t>
      </w:r>
    </w:p>
    <w:tbl>
      <w:tblPr>
        <w:tblW w:w="9537" w:type="dxa"/>
        <w:tblInd w:w="108" w:type="dxa"/>
        <w:tblLook w:val="04A0"/>
      </w:tblPr>
      <w:tblGrid>
        <w:gridCol w:w="3490"/>
        <w:gridCol w:w="1043"/>
        <w:gridCol w:w="932"/>
        <w:gridCol w:w="1043"/>
        <w:gridCol w:w="1039"/>
        <w:gridCol w:w="1020"/>
        <w:gridCol w:w="970"/>
      </w:tblGrid>
      <w:tr w:rsidR="004F1411" w:rsidRPr="00A539CA" w:rsidTr="00DA51D7">
        <w:trPr>
          <w:trHeight w:val="601"/>
        </w:trPr>
        <w:tc>
          <w:tcPr>
            <w:tcW w:w="3686" w:type="dxa"/>
            <w:tcBorders>
              <w:top w:val="single" w:sz="8" w:space="0" w:color="auto"/>
              <w:left w:val="single" w:sz="8" w:space="0" w:color="auto"/>
              <w:bottom w:val="nil"/>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Name of the Subsidiary or affiliated company</w:t>
            </w:r>
          </w:p>
        </w:tc>
        <w:tc>
          <w:tcPr>
            <w:tcW w:w="1043" w:type="dxa"/>
            <w:tcBorders>
              <w:top w:val="single" w:sz="8" w:space="0" w:color="auto"/>
              <w:left w:val="nil"/>
              <w:bottom w:val="nil"/>
              <w:right w:val="single" w:sz="4" w:space="0" w:color="auto"/>
            </w:tcBorders>
            <w:shd w:val="clear" w:color="auto" w:fill="auto"/>
            <w:vAlign w:val="center"/>
            <w:hideMark/>
          </w:tcPr>
          <w:p w:rsidR="004F1411" w:rsidRPr="00A539CA" w:rsidRDefault="008146A0" w:rsidP="00DA51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 xml:space="preserve">Fact </w:t>
            </w:r>
            <w:r w:rsidR="004F1411" w:rsidRPr="00A539CA">
              <w:rPr>
                <w:rFonts w:ascii="Times New Roman" w:eastAsia="Times New Roman" w:hAnsi="Times New Roman"/>
                <w:b/>
                <w:bCs/>
                <w:color w:val="000000"/>
                <w:sz w:val="20"/>
                <w:szCs w:val="20"/>
                <w:lang w:eastAsia="ru-RU"/>
              </w:rPr>
              <w:t>2012</w:t>
            </w:r>
          </w:p>
        </w:tc>
        <w:tc>
          <w:tcPr>
            <w:tcW w:w="932" w:type="dxa"/>
            <w:tcBorders>
              <w:top w:val="single" w:sz="8" w:space="0" w:color="auto"/>
              <w:left w:val="nil"/>
              <w:bottom w:val="nil"/>
              <w:right w:val="single" w:sz="4" w:space="0" w:color="auto"/>
            </w:tcBorders>
            <w:shd w:val="clear" w:color="auto" w:fill="auto"/>
            <w:vAlign w:val="center"/>
            <w:hideMark/>
          </w:tcPr>
          <w:p w:rsidR="004F1411" w:rsidRPr="00A539CA" w:rsidRDefault="008146A0" w:rsidP="00DA51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 xml:space="preserve">Fact </w:t>
            </w:r>
            <w:r w:rsidR="004F1411" w:rsidRPr="00A539CA">
              <w:rPr>
                <w:rFonts w:ascii="Times New Roman" w:eastAsia="Times New Roman" w:hAnsi="Times New Roman"/>
                <w:b/>
                <w:bCs/>
                <w:color w:val="000000"/>
                <w:sz w:val="20"/>
                <w:szCs w:val="20"/>
                <w:lang w:eastAsia="ru-RU"/>
              </w:rPr>
              <w:t>2013</w:t>
            </w:r>
          </w:p>
        </w:tc>
        <w:tc>
          <w:tcPr>
            <w:tcW w:w="1043" w:type="dxa"/>
            <w:tcBorders>
              <w:top w:val="single" w:sz="8" w:space="0" w:color="auto"/>
              <w:left w:val="nil"/>
              <w:bottom w:val="nil"/>
              <w:right w:val="single" w:sz="4" w:space="0" w:color="auto"/>
            </w:tcBorders>
            <w:shd w:val="clear" w:color="auto" w:fill="auto"/>
            <w:vAlign w:val="center"/>
            <w:hideMark/>
          </w:tcPr>
          <w:p w:rsidR="004F1411" w:rsidRPr="00A539CA" w:rsidRDefault="008146A0" w:rsidP="00DA51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Fact</w:t>
            </w:r>
            <w:r w:rsidR="004F1411" w:rsidRPr="00A539CA">
              <w:rPr>
                <w:rFonts w:ascii="Times New Roman" w:eastAsia="Times New Roman" w:hAnsi="Times New Roman"/>
                <w:b/>
                <w:bCs/>
                <w:color w:val="000000"/>
                <w:sz w:val="20"/>
                <w:szCs w:val="20"/>
                <w:lang w:eastAsia="ru-RU"/>
              </w:rPr>
              <w:t xml:space="preserve"> 2014</w:t>
            </w:r>
          </w:p>
        </w:tc>
        <w:tc>
          <w:tcPr>
            <w:tcW w:w="843" w:type="dxa"/>
            <w:tcBorders>
              <w:top w:val="single" w:sz="8" w:space="0" w:color="auto"/>
              <w:left w:val="nil"/>
              <w:bottom w:val="nil"/>
              <w:right w:val="single" w:sz="4" w:space="0" w:color="auto"/>
            </w:tcBorders>
            <w:shd w:val="clear" w:color="auto" w:fill="auto"/>
            <w:vAlign w:val="center"/>
            <w:hideMark/>
          </w:tcPr>
          <w:p w:rsidR="004F1411" w:rsidRPr="00A539CA" w:rsidRDefault="008146A0" w:rsidP="008146A0">
            <w:pPr>
              <w:spacing w:after="0" w:line="240" w:lineRule="auto"/>
              <w:jc w:val="center"/>
              <w:rPr>
                <w:rFonts w:ascii="Times New Roman" w:eastAsia="Times New Roman" w:hAnsi="Times New Roman"/>
                <w:b/>
                <w:bCs/>
                <w:color w:val="000000"/>
                <w:sz w:val="20"/>
                <w:szCs w:val="20"/>
                <w:lang w:eastAsia="ru-RU"/>
              </w:rPr>
            </w:pPr>
            <w:r w:rsidRPr="00075CE3">
              <w:rPr>
                <w:rFonts w:ascii="Times New Roman" w:eastAsia="Times New Roman" w:hAnsi="Times New Roman"/>
                <w:b/>
                <w:bCs/>
                <w:color w:val="000000"/>
                <w:sz w:val="20"/>
                <w:szCs w:val="20"/>
                <w:lang w:val="en-US" w:eastAsia="ru-RU"/>
              </w:rPr>
              <w:t>Deviation</w:t>
            </w:r>
            <w:r w:rsidR="004F1411" w:rsidRPr="00075CE3">
              <w:rPr>
                <w:rFonts w:ascii="Times New Roman" w:eastAsia="Times New Roman" w:hAnsi="Times New Roman"/>
                <w:b/>
                <w:bCs/>
                <w:color w:val="000000"/>
                <w:sz w:val="20"/>
                <w:szCs w:val="20"/>
                <w:lang w:eastAsia="ru-RU"/>
              </w:rPr>
              <w:t xml:space="preserve"> 2014 </w:t>
            </w:r>
            <w:r w:rsidRPr="00075CE3">
              <w:rPr>
                <w:rFonts w:ascii="Times New Roman" w:eastAsia="Times New Roman" w:hAnsi="Times New Roman"/>
                <w:b/>
                <w:bCs/>
                <w:color w:val="000000"/>
                <w:sz w:val="20"/>
                <w:szCs w:val="20"/>
                <w:lang w:val="en-US" w:eastAsia="ru-RU"/>
              </w:rPr>
              <w:t>against</w:t>
            </w:r>
            <w:r w:rsidR="004F1411" w:rsidRPr="00075CE3">
              <w:rPr>
                <w:rFonts w:ascii="Times New Roman" w:eastAsia="Times New Roman" w:hAnsi="Times New Roman"/>
                <w:b/>
                <w:bCs/>
                <w:color w:val="000000"/>
                <w:sz w:val="20"/>
                <w:szCs w:val="20"/>
                <w:lang w:eastAsia="ru-RU"/>
              </w:rPr>
              <w:t xml:space="preserve"> 2013 %</w:t>
            </w:r>
          </w:p>
        </w:tc>
        <w:tc>
          <w:tcPr>
            <w:tcW w:w="1020" w:type="dxa"/>
            <w:tcBorders>
              <w:top w:val="single" w:sz="8" w:space="0" w:color="auto"/>
              <w:left w:val="nil"/>
              <w:bottom w:val="nil"/>
              <w:right w:val="single" w:sz="4" w:space="0" w:color="auto"/>
            </w:tcBorders>
            <w:shd w:val="clear" w:color="auto" w:fill="auto"/>
            <w:vAlign w:val="center"/>
            <w:hideMark/>
          </w:tcPr>
          <w:p w:rsidR="004F1411" w:rsidRPr="008146A0" w:rsidRDefault="008146A0" w:rsidP="00DA51D7">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p w:rsidR="004F1411" w:rsidRPr="00A539CA" w:rsidRDefault="004F1411" w:rsidP="00DA51D7">
            <w:pPr>
              <w:spacing w:after="0" w:line="240" w:lineRule="auto"/>
              <w:jc w:val="center"/>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2015</w:t>
            </w:r>
          </w:p>
        </w:tc>
        <w:tc>
          <w:tcPr>
            <w:tcW w:w="970" w:type="dxa"/>
            <w:tcBorders>
              <w:top w:val="single" w:sz="8" w:space="0" w:color="auto"/>
              <w:left w:val="nil"/>
              <w:bottom w:val="nil"/>
              <w:right w:val="single" w:sz="8" w:space="0" w:color="auto"/>
            </w:tcBorders>
            <w:shd w:val="clear" w:color="auto" w:fill="auto"/>
            <w:vAlign w:val="center"/>
            <w:hideMark/>
          </w:tcPr>
          <w:p w:rsidR="004F1411" w:rsidRPr="008146A0" w:rsidRDefault="008146A0" w:rsidP="00DA51D7">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p w:rsidR="004F1411" w:rsidRPr="00A539CA" w:rsidRDefault="004F1411" w:rsidP="00DA51D7">
            <w:pPr>
              <w:spacing w:after="0" w:line="240" w:lineRule="auto"/>
              <w:jc w:val="center"/>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2016</w:t>
            </w:r>
          </w:p>
        </w:tc>
      </w:tr>
      <w:tr w:rsidR="004F1411" w:rsidRPr="00DA1D7E" w:rsidTr="00DA51D7">
        <w:trPr>
          <w:trHeight w:val="315"/>
        </w:trPr>
        <w:tc>
          <w:tcPr>
            <w:tcW w:w="95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F1411" w:rsidRPr="008146A0" w:rsidRDefault="004F1411" w:rsidP="008146A0">
            <w:pPr>
              <w:spacing w:after="0" w:line="240" w:lineRule="auto"/>
              <w:rPr>
                <w:rFonts w:ascii="Times New Roman" w:eastAsia="Times New Roman" w:hAnsi="Times New Roman"/>
                <w:b/>
                <w:bCs/>
                <w:color w:val="000000"/>
                <w:sz w:val="20"/>
                <w:szCs w:val="20"/>
                <w:lang w:val="en-US" w:eastAsia="ru-RU"/>
              </w:rPr>
            </w:pPr>
            <w:r w:rsidRPr="008146A0">
              <w:rPr>
                <w:rFonts w:ascii="Times New Roman" w:eastAsia="Times New Roman" w:hAnsi="Times New Roman"/>
                <w:b/>
                <w:bCs/>
                <w:color w:val="000000"/>
                <w:sz w:val="20"/>
                <w:szCs w:val="20"/>
                <w:lang w:val="en-US" w:eastAsia="ru-RU"/>
              </w:rPr>
              <w:t xml:space="preserve"> </w:t>
            </w:r>
            <w:r w:rsidR="008146A0">
              <w:rPr>
                <w:rFonts w:ascii="Times New Roman" w:eastAsia="Times New Roman" w:hAnsi="Times New Roman"/>
                <w:b/>
                <w:bCs/>
                <w:color w:val="000000"/>
                <w:sz w:val="20"/>
                <w:szCs w:val="20"/>
                <w:lang w:val="en-US" w:eastAsia="ru-RU"/>
              </w:rPr>
              <w:t>Power generation volumes, mln.kWh</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“Almaty power plants” JSC</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5 311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5 228</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5 036</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96%</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5 022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5 020   </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“Aktobe CHP”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631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628</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667</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106%</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786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“Ekibastuz GRES-1” LLP</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2 890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13 492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14 096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104%</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11 175   </w:t>
            </w:r>
          </w:p>
        </w:tc>
        <w:tc>
          <w:tcPr>
            <w:tcW w:w="970" w:type="dxa"/>
            <w:tcBorders>
              <w:top w:val="single" w:sz="4" w:space="0" w:color="auto"/>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12 596   </w:t>
            </w:r>
          </w:p>
        </w:tc>
      </w:tr>
      <w:tr w:rsidR="004F1411" w:rsidRPr="00A539CA" w:rsidTr="00DA51D7">
        <w:trPr>
          <w:trHeight w:val="239"/>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eastAsia="ru-RU"/>
              </w:rPr>
            </w:pPr>
            <w:r w:rsidRPr="008146A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Ekibastuz</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GRES</w:t>
            </w:r>
            <w:r w:rsidRPr="008146A0">
              <w:rPr>
                <w:rFonts w:ascii="Times New Roman" w:eastAsia="Times New Roman" w:hAnsi="Times New Roman"/>
                <w:color w:val="000000"/>
                <w:sz w:val="20"/>
                <w:szCs w:val="20"/>
                <w:lang w:eastAsia="ru-RU"/>
              </w:rPr>
              <w:t xml:space="preserve">-2 </w:t>
            </w:r>
            <w:r>
              <w:rPr>
                <w:rFonts w:ascii="Times New Roman" w:eastAsia="Times New Roman" w:hAnsi="Times New Roman"/>
                <w:color w:val="000000"/>
                <w:sz w:val="20"/>
                <w:szCs w:val="20"/>
                <w:lang w:val="en-US" w:eastAsia="ru-RU"/>
              </w:rPr>
              <w:t>Station</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8146A0">
              <w:rPr>
                <w:rFonts w:ascii="Times New Roman" w:eastAsia="Times New Roman" w:hAnsi="Times New Roman"/>
                <w:color w:val="000000"/>
                <w:sz w:val="20"/>
                <w:szCs w:val="20"/>
                <w:lang w:eastAsia="ru-RU"/>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6 134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6 280</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4 755</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76%</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4 790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5 104   </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4F1411" w:rsidP="008146A0">
            <w:pPr>
              <w:spacing w:after="0" w:line="240" w:lineRule="auto"/>
              <w:rPr>
                <w:rFonts w:ascii="Times New Roman" w:eastAsia="Times New Roman" w:hAnsi="Times New Roman"/>
                <w:color w:val="000000"/>
                <w:sz w:val="20"/>
                <w:szCs w:val="20"/>
                <w:lang w:val="en-US" w:eastAsia="ru-RU"/>
              </w:rPr>
            </w:pPr>
            <w:r w:rsidRPr="00A539CA">
              <w:rPr>
                <w:rFonts w:ascii="Times New Roman" w:eastAsia="Times New Roman" w:hAnsi="Times New Roman"/>
                <w:color w:val="000000"/>
                <w:sz w:val="20"/>
                <w:szCs w:val="20"/>
                <w:lang w:eastAsia="ru-RU"/>
              </w:rPr>
              <w:t xml:space="preserve"> </w:t>
            </w:r>
            <w:r w:rsidR="008146A0">
              <w:rPr>
                <w:rFonts w:ascii="Times New Roman" w:eastAsia="Times New Roman" w:hAnsi="Times New Roman"/>
                <w:color w:val="000000"/>
                <w:sz w:val="20"/>
                <w:szCs w:val="20"/>
                <w:lang w:val="en-US" w:eastAsia="ru-RU"/>
              </w:rPr>
              <w:t xml:space="preserve">“ZHGRES”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1 378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1 595</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2 521</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158%</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1 009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300"/>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eastAsia="ru-RU"/>
              </w:rPr>
            </w:pPr>
            <w:r w:rsidRPr="008146A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Shardarinskaya</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HPP</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8146A0">
              <w:rPr>
                <w:rFonts w:ascii="Times New Roman" w:eastAsia="Times New Roman" w:hAnsi="Times New Roman"/>
                <w:color w:val="000000"/>
                <w:sz w:val="20"/>
                <w:szCs w:val="20"/>
                <w:lang w:eastAsia="ru-RU"/>
              </w:rPr>
              <w:t xml:space="preserve">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569   </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465</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565</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122%</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397   </w:t>
            </w:r>
          </w:p>
        </w:tc>
        <w:tc>
          <w:tcPr>
            <w:tcW w:w="970" w:type="dxa"/>
            <w:tcBorders>
              <w:top w:val="single" w:sz="4" w:space="0" w:color="auto"/>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384   </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eastAsia="ru-RU"/>
              </w:rPr>
            </w:pPr>
            <w:r w:rsidRPr="008146A0">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Moynak</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HPP</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8146A0">
              <w:rPr>
                <w:rFonts w:ascii="Times New Roman" w:eastAsia="Times New Roman" w:hAnsi="Times New Roman"/>
                <w:color w:val="000000"/>
                <w:sz w:val="20"/>
                <w:szCs w:val="20"/>
                <w:lang w:eastAsia="ru-RU"/>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504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899</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577</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64%</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861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906   </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“Samruk-Green Energy” LLP</w:t>
            </w:r>
          </w:p>
        </w:tc>
        <w:tc>
          <w:tcPr>
            <w:tcW w:w="1043" w:type="dxa"/>
            <w:tcBorders>
              <w:top w:val="nil"/>
              <w:left w:val="nil"/>
              <w:bottom w:val="single" w:sz="4" w:space="0" w:color="auto"/>
              <w:right w:val="single" w:sz="4" w:space="0" w:color="auto"/>
            </w:tcBorders>
            <w:shd w:val="clear" w:color="auto" w:fill="auto"/>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0,4</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4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4   </w:t>
            </w:r>
          </w:p>
        </w:tc>
      </w:tr>
      <w:tr w:rsidR="004F1411" w:rsidRPr="00A539CA" w:rsidTr="00DA51D7">
        <w:trPr>
          <w:trHeight w:val="601"/>
        </w:trPr>
        <w:tc>
          <w:tcPr>
            <w:tcW w:w="3686" w:type="dxa"/>
            <w:tcBorders>
              <w:top w:val="nil"/>
              <w:left w:val="single" w:sz="8" w:space="0" w:color="auto"/>
              <w:bottom w:val="single" w:sz="4" w:space="0" w:color="auto"/>
              <w:right w:val="single" w:sz="4" w:space="0" w:color="auto"/>
            </w:tcBorders>
            <w:shd w:val="clear" w:color="000000" w:fill="FFFFFF"/>
            <w:vAlign w:val="bottom"/>
            <w:hideMark/>
          </w:tcPr>
          <w:p w:rsidR="004F1411" w:rsidRPr="008146A0" w:rsidRDefault="008146A0" w:rsidP="00DA51D7">
            <w:pPr>
              <w:spacing w:after="0" w:line="240" w:lineRule="auto"/>
              <w:rPr>
                <w:rFonts w:ascii="Times New Roman" w:eastAsia="Times New Roman" w:hAnsi="Times New Roman"/>
                <w:lang w:val="en-US" w:eastAsia="ru-RU"/>
              </w:rPr>
            </w:pPr>
            <w:r w:rsidRPr="008146A0">
              <w:rPr>
                <w:rFonts w:ascii="Times New Roman" w:eastAsia="Times New Roman" w:hAnsi="Times New Roman"/>
                <w:lang w:val="en-US" w:eastAsia="ru-RU"/>
              </w:rPr>
              <w:t>“</w:t>
            </w:r>
            <w:r>
              <w:rPr>
                <w:rFonts w:ascii="Times New Roman" w:eastAsia="Times New Roman" w:hAnsi="Times New Roman"/>
                <w:lang w:val="en-US" w:eastAsia="ru-RU"/>
              </w:rPr>
              <w:t>First</w:t>
            </w:r>
            <w:r w:rsidRPr="008146A0">
              <w:rPr>
                <w:rFonts w:ascii="Times New Roman" w:eastAsia="Times New Roman" w:hAnsi="Times New Roman"/>
                <w:lang w:val="en-US" w:eastAsia="ru-RU"/>
              </w:rPr>
              <w:t xml:space="preserve"> </w:t>
            </w:r>
            <w:r>
              <w:rPr>
                <w:rFonts w:ascii="Times New Roman" w:eastAsia="Times New Roman" w:hAnsi="Times New Roman"/>
                <w:lang w:val="en-US" w:eastAsia="ru-RU"/>
              </w:rPr>
              <w:t>wind</w:t>
            </w:r>
            <w:r w:rsidRPr="008146A0">
              <w:rPr>
                <w:rFonts w:ascii="Times New Roman" w:eastAsia="Times New Roman" w:hAnsi="Times New Roman"/>
                <w:lang w:val="en-US" w:eastAsia="ru-RU"/>
              </w:rPr>
              <w:t xml:space="preserve"> </w:t>
            </w:r>
            <w:r>
              <w:rPr>
                <w:rFonts w:ascii="Times New Roman" w:eastAsia="Times New Roman" w:hAnsi="Times New Roman"/>
                <w:lang w:val="en-US" w:eastAsia="ru-RU"/>
              </w:rPr>
              <w:t>power</w:t>
            </w:r>
            <w:r w:rsidRPr="008146A0">
              <w:rPr>
                <w:rFonts w:ascii="Times New Roman" w:eastAsia="Times New Roman" w:hAnsi="Times New Roman"/>
                <w:lang w:val="en-US" w:eastAsia="ru-RU"/>
              </w:rPr>
              <w:t xml:space="preserve"> </w:t>
            </w:r>
            <w:r>
              <w:rPr>
                <w:rFonts w:ascii="Times New Roman" w:eastAsia="Times New Roman" w:hAnsi="Times New Roman"/>
                <w:lang w:val="en-US" w:eastAsia="ru-RU"/>
              </w:rPr>
              <w:t>plant</w:t>
            </w:r>
            <w:r w:rsidRPr="008146A0">
              <w:rPr>
                <w:rFonts w:ascii="Times New Roman" w:eastAsia="Times New Roman" w:hAnsi="Times New Roman"/>
                <w:lang w:val="en-US" w:eastAsia="ru-RU"/>
              </w:rPr>
              <w:t xml:space="preserve">” </w:t>
            </w:r>
            <w:r>
              <w:rPr>
                <w:rFonts w:ascii="Times New Roman" w:eastAsia="Times New Roman" w:hAnsi="Times New Roman"/>
                <w:lang w:val="en-US" w:eastAsia="ru-RU"/>
              </w:rPr>
              <w:t>LLP</w:t>
            </w:r>
            <w:r w:rsidRPr="008146A0">
              <w:rPr>
                <w:rFonts w:ascii="Times New Roman" w:eastAsia="Times New Roman" w:hAnsi="Times New Roman"/>
                <w:lang w:val="en-US" w:eastAsia="ru-RU"/>
              </w:rPr>
              <w:t xml:space="preserve"> </w:t>
            </w:r>
          </w:p>
        </w:tc>
        <w:tc>
          <w:tcPr>
            <w:tcW w:w="1043" w:type="dxa"/>
            <w:tcBorders>
              <w:top w:val="nil"/>
              <w:left w:val="nil"/>
              <w:bottom w:val="nil"/>
              <w:right w:val="single" w:sz="4" w:space="0" w:color="auto"/>
            </w:tcBorders>
            <w:shd w:val="clear" w:color="auto" w:fill="auto"/>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932" w:type="dxa"/>
            <w:tcBorders>
              <w:top w:val="nil"/>
              <w:left w:val="nil"/>
              <w:bottom w:val="nil"/>
              <w:right w:val="single" w:sz="4" w:space="0" w:color="auto"/>
            </w:tcBorders>
            <w:shd w:val="clear" w:color="auto" w:fill="auto"/>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1043" w:type="dxa"/>
            <w:tcBorders>
              <w:top w:val="nil"/>
              <w:left w:val="nil"/>
              <w:bottom w:val="nil"/>
              <w:right w:val="single" w:sz="4" w:space="0" w:color="auto"/>
            </w:tcBorders>
            <w:shd w:val="clear" w:color="auto" w:fill="auto"/>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843" w:type="dxa"/>
            <w:tcBorders>
              <w:top w:val="nil"/>
              <w:left w:val="nil"/>
              <w:bottom w:val="nil"/>
              <w:right w:val="single" w:sz="4" w:space="0" w:color="auto"/>
            </w:tcBorders>
            <w:shd w:val="clear" w:color="auto" w:fill="auto"/>
            <w:noWrap/>
            <w:vAlign w:val="center"/>
            <w:hideMark/>
          </w:tcPr>
          <w:p w:rsidR="004F1411" w:rsidRPr="008146A0" w:rsidRDefault="004F1411" w:rsidP="00DA51D7">
            <w:pPr>
              <w:spacing w:after="0" w:line="240" w:lineRule="auto"/>
              <w:jc w:val="right"/>
              <w:rPr>
                <w:rFonts w:ascii="Times New Roman" w:eastAsia="Times New Roman" w:hAnsi="Times New Roman"/>
                <w:color w:val="000000"/>
                <w:sz w:val="20"/>
                <w:szCs w:val="20"/>
                <w:lang w:val="en-US" w:eastAsia="ru-RU"/>
              </w:rPr>
            </w:pPr>
            <w:r w:rsidRPr="008146A0">
              <w:rPr>
                <w:rFonts w:ascii="Times New Roman" w:eastAsia="Times New Roman" w:hAnsi="Times New Roman"/>
                <w:color w:val="000000"/>
                <w:sz w:val="20"/>
                <w:szCs w:val="20"/>
                <w:lang w:val="en-US" w:eastAsia="ru-RU"/>
              </w:rPr>
              <w:t> </w:t>
            </w:r>
          </w:p>
        </w:tc>
        <w:tc>
          <w:tcPr>
            <w:tcW w:w="1020" w:type="dxa"/>
            <w:tcBorders>
              <w:top w:val="nil"/>
              <w:left w:val="nil"/>
              <w:bottom w:val="nil"/>
              <w:right w:val="single" w:sz="4" w:space="0" w:color="auto"/>
            </w:tcBorders>
            <w:shd w:val="clear" w:color="000000" w:fill="FFFFFF"/>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8146A0">
              <w:rPr>
                <w:rFonts w:ascii="Times New Roman" w:eastAsia="Times New Roman" w:hAnsi="Times New Roman"/>
                <w:color w:val="000000"/>
                <w:sz w:val="20"/>
                <w:szCs w:val="20"/>
                <w:lang w:val="en-US" w:eastAsia="ru-RU"/>
              </w:rPr>
              <w:t xml:space="preserve">         </w:t>
            </w:r>
            <w:r w:rsidRPr="00A539CA">
              <w:rPr>
                <w:rFonts w:ascii="Times New Roman" w:eastAsia="Times New Roman" w:hAnsi="Times New Roman"/>
                <w:color w:val="000000"/>
                <w:sz w:val="20"/>
                <w:szCs w:val="20"/>
                <w:lang w:eastAsia="ru-RU"/>
              </w:rPr>
              <w:t xml:space="preserve">108   </w:t>
            </w:r>
          </w:p>
        </w:tc>
        <w:tc>
          <w:tcPr>
            <w:tcW w:w="970" w:type="dxa"/>
            <w:tcBorders>
              <w:top w:val="nil"/>
              <w:left w:val="nil"/>
              <w:bottom w:val="nil"/>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172   </w:t>
            </w:r>
          </w:p>
        </w:tc>
      </w:tr>
      <w:tr w:rsidR="004F1411" w:rsidRPr="00A539CA" w:rsidTr="00DA51D7">
        <w:trPr>
          <w:trHeight w:val="157"/>
        </w:trPr>
        <w:tc>
          <w:tcPr>
            <w:tcW w:w="3686" w:type="dxa"/>
            <w:tcBorders>
              <w:top w:val="nil"/>
              <w:left w:val="single" w:sz="8" w:space="0" w:color="auto"/>
              <w:bottom w:val="single" w:sz="8"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Total </w:t>
            </w:r>
          </w:p>
        </w:tc>
        <w:tc>
          <w:tcPr>
            <w:tcW w:w="1043" w:type="dxa"/>
            <w:tcBorders>
              <w:top w:val="single" w:sz="4" w:space="0" w:color="auto"/>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17 418</w:t>
            </w:r>
          </w:p>
        </w:tc>
        <w:tc>
          <w:tcPr>
            <w:tcW w:w="932" w:type="dxa"/>
            <w:tcBorders>
              <w:top w:val="single" w:sz="4" w:space="0" w:color="auto"/>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28 587</w:t>
            </w:r>
          </w:p>
        </w:tc>
        <w:tc>
          <w:tcPr>
            <w:tcW w:w="1043" w:type="dxa"/>
            <w:tcBorders>
              <w:top w:val="single" w:sz="4" w:space="0" w:color="auto"/>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28 216</w:t>
            </w:r>
          </w:p>
        </w:tc>
        <w:tc>
          <w:tcPr>
            <w:tcW w:w="843" w:type="dxa"/>
            <w:tcBorders>
              <w:top w:val="single" w:sz="4" w:space="0" w:color="auto"/>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99%</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24 152</w:t>
            </w:r>
          </w:p>
        </w:tc>
        <w:tc>
          <w:tcPr>
            <w:tcW w:w="970" w:type="dxa"/>
            <w:tcBorders>
              <w:top w:val="single" w:sz="4" w:space="0" w:color="auto"/>
              <w:left w:val="nil"/>
              <w:bottom w:val="single" w:sz="8" w:space="0" w:color="auto"/>
              <w:right w:val="single" w:sz="8"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24 186</w:t>
            </w:r>
          </w:p>
        </w:tc>
      </w:tr>
      <w:tr w:rsidR="004F1411" w:rsidRPr="00DA1D7E" w:rsidTr="00DA51D7">
        <w:trPr>
          <w:trHeight w:val="179"/>
        </w:trPr>
        <w:tc>
          <w:tcPr>
            <w:tcW w:w="95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Power transmission volumes, mln.kWh</w:t>
            </w:r>
          </w:p>
        </w:tc>
      </w:tr>
      <w:tr w:rsidR="004F1411" w:rsidRPr="00A539CA" w:rsidTr="00DA51D7">
        <w:trPr>
          <w:trHeight w:val="172"/>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“AZHC”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5 917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5 818</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6 235</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107%</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6 546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6 685   </w:t>
            </w:r>
          </w:p>
        </w:tc>
      </w:tr>
      <w:tr w:rsidR="004F1411" w:rsidRPr="00A539CA" w:rsidTr="00DA51D7">
        <w:trPr>
          <w:trHeight w:val="129"/>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‘EK REC” JSC</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3 443</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3 391</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98%</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3 605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262"/>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“MDPGC” JSC</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2 478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2 598</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2 718</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105%</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2 551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263"/>
        </w:trPr>
        <w:tc>
          <w:tcPr>
            <w:tcW w:w="3686" w:type="dxa"/>
            <w:tcBorders>
              <w:top w:val="nil"/>
              <w:left w:val="single" w:sz="8" w:space="0" w:color="auto"/>
              <w:bottom w:val="single" w:sz="8" w:space="0" w:color="auto"/>
              <w:right w:val="single" w:sz="4" w:space="0" w:color="auto"/>
            </w:tcBorders>
            <w:shd w:val="clear" w:color="auto" w:fill="auto"/>
            <w:vAlign w:val="center"/>
            <w:hideMark/>
          </w:tcPr>
          <w:p w:rsidR="004F1411" w:rsidRPr="008146A0" w:rsidRDefault="008146A0"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Total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8 395   </w:t>
            </w:r>
          </w:p>
        </w:tc>
        <w:tc>
          <w:tcPr>
            <w:tcW w:w="932"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11 859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12 344   </w:t>
            </w:r>
          </w:p>
        </w:tc>
        <w:tc>
          <w:tcPr>
            <w:tcW w:w="843" w:type="dxa"/>
            <w:tcBorders>
              <w:top w:val="nil"/>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104%</w:t>
            </w:r>
          </w:p>
        </w:tc>
        <w:tc>
          <w:tcPr>
            <w:tcW w:w="102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12 702   </w:t>
            </w:r>
          </w:p>
        </w:tc>
        <w:tc>
          <w:tcPr>
            <w:tcW w:w="97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6 685   </w:t>
            </w:r>
          </w:p>
        </w:tc>
      </w:tr>
      <w:tr w:rsidR="004F1411" w:rsidRPr="00DA1D7E" w:rsidTr="00DA51D7">
        <w:trPr>
          <w:trHeight w:val="315"/>
        </w:trPr>
        <w:tc>
          <w:tcPr>
            <w:tcW w:w="95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F1411" w:rsidRPr="00831676" w:rsidRDefault="004F1411" w:rsidP="00831676">
            <w:pPr>
              <w:spacing w:after="0" w:line="240" w:lineRule="auto"/>
              <w:rPr>
                <w:rFonts w:ascii="Times New Roman" w:eastAsia="Times New Roman" w:hAnsi="Times New Roman"/>
                <w:b/>
                <w:bCs/>
                <w:color w:val="000000"/>
                <w:sz w:val="20"/>
                <w:szCs w:val="20"/>
                <w:lang w:val="en-US" w:eastAsia="ru-RU"/>
              </w:rPr>
            </w:pPr>
            <w:r w:rsidRPr="00831676">
              <w:rPr>
                <w:rFonts w:ascii="Times New Roman" w:eastAsia="Times New Roman" w:hAnsi="Times New Roman"/>
                <w:b/>
                <w:bCs/>
                <w:color w:val="000000"/>
                <w:sz w:val="20"/>
                <w:szCs w:val="20"/>
                <w:lang w:val="en-US" w:eastAsia="ru-RU"/>
              </w:rPr>
              <w:t xml:space="preserve"> </w:t>
            </w:r>
            <w:r w:rsidR="00831676">
              <w:rPr>
                <w:rFonts w:ascii="Times New Roman" w:eastAsia="Times New Roman" w:hAnsi="Times New Roman"/>
                <w:b/>
                <w:bCs/>
                <w:color w:val="000000"/>
                <w:sz w:val="20"/>
                <w:szCs w:val="20"/>
                <w:lang w:val="en-US" w:eastAsia="ru-RU"/>
              </w:rPr>
              <w:t>Power sale volumes, mln.kWh</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31676" w:rsidRDefault="004F1411" w:rsidP="00831676">
            <w:pPr>
              <w:spacing w:after="0" w:line="240" w:lineRule="auto"/>
              <w:rPr>
                <w:rFonts w:ascii="Times New Roman" w:eastAsia="Times New Roman" w:hAnsi="Times New Roman"/>
                <w:color w:val="000000"/>
                <w:sz w:val="20"/>
                <w:szCs w:val="20"/>
                <w:lang w:val="en-US" w:eastAsia="ru-RU"/>
              </w:rPr>
            </w:pPr>
            <w:r w:rsidRPr="00831676">
              <w:rPr>
                <w:rFonts w:ascii="Times New Roman" w:eastAsia="Times New Roman" w:hAnsi="Times New Roman"/>
                <w:color w:val="000000"/>
                <w:sz w:val="20"/>
                <w:szCs w:val="20"/>
                <w:lang w:val="en-US" w:eastAsia="ru-RU"/>
              </w:rPr>
              <w:t xml:space="preserve"> </w:t>
            </w:r>
            <w:r w:rsidR="00831676">
              <w:rPr>
                <w:rFonts w:ascii="Times New Roman" w:eastAsia="Times New Roman" w:hAnsi="Times New Roman"/>
                <w:color w:val="000000"/>
                <w:sz w:val="20"/>
                <w:szCs w:val="20"/>
                <w:lang w:val="en-US" w:eastAsia="ru-RU"/>
              </w:rPr>
              <w:t xml:space="preserve">“AlmatyEnergoSbyt” LLP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5 626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5 556</w:t>
            </w:r>
          </w:p>
        </w:tc>
        <w:tc>
          <w:tcPr>
            <w:tcW w:w="10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5 946</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107%</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6 199</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6 401,21</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31676" w:rsidRDefault="00831676"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“Shygysenergotrade” LLP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2 577</w:t>
            </w:r>
          </w:p>
        </w:tc>
        <w:tc>
          <w:tcPr>
            <w:tcW w:w="10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2 659</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103%</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2 760</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196"/>
        </w:trPr>
        <w:tc>
          <w:tcPr>
            <w:tcW w:w="3686" w:type="dxa"/>
            <w:tcBorders>
              <w:top w:val="nil"/>
              <w:left w:val="single" w:sz="8" w:space="0" w:color="auto"/>
              <w:bottom w:val="single" w:sz="8" w:space="0" w:color="auto"/>
              <w:right w:val="single" w:sz="4" w:space="0" w:color="auto"/>
            </w:tcBorders>
            <w:shd w:val="clear" w:color="auto" w:fill="auto"/>
            <w:vAlign w:val="center"/>
            <w:hideMark/>
          </w:tcPr>
          <w:p w:rsidR="004F1411" w:rsidRPr="00831676" w:rsidRDefault="00831676"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Total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5 626   </w:t>
            </w:r>
          </w:p>
        </w:tc>
        <w:tc>
          <w:tcPr>
            <w:tcW w:w="932"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8 133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8 605   </w:t>
            </w:r>
          </w:p>
        </w:tc>
        <w:tc>
          <w:tcPr>
            <w:tcW w:w="843" w:type="dxa"/>
            <w:tcBorders>
              <w:top w:val="nil"/>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106%</w:t>
            </w:r>
          </w:p>
        </w:tc>
        <w:tc>
          <w:tcPr>
            <w:tcW w:w="102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8 958   </w:t>
            </w:r>
          </w:p>
        </w:tc>
        <w:tc>
          <w:tcPr>
            <w:tcW w:w="97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6 401   </w:t>
            </w:r>
          </w:p>
        </w:tc>
      </w:tr>
      <w:tr w:rsidR="004F1411" w:rsidRPr="00DA1D7E" w:rsidTr="00DA51D7">
        <w:trPr>
          <w:trHeight w:val="315"/>
        </w:trPr>
        <w:tc>
          <w:tcPr>
            <w:tcW w:w="953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F1411" w:rsidRPr="00831676" w:rsidRDefault="004F1411" w:rsidP="00831676">
            <w:pPr>
              <w:spacing w:after="0" w:line="240" w:lineRule="auto"/>
              <w:rPr>
                <w:rFonts w:ascii="Times New Roman" w:eastAsia="Times New Roman" w:hAnsi="Times New Roman"/>
                <w:b/>
                <w:bCs/>
                <w:color w:val="000000"/>
                <w:sz w:val="20"/>
                <w:szCs w:val="20"/>
                <w:lang w:val="en-US" w:eastAsia="ru-RU"/>
              </w:rPr>
            </w:pPr>
            <w:r w:rsidRPr="00831676">
              <w:rPr>
                <w:rFonts w:ascii="Times New Roman" w:eastAsia="Times New Roman" w:hAnsi="Times New Roman"/>
                <w:b/>
                <w:bCs/>
                <w:color w:val="000000"/>
                <w:sz w:val="20"/>
                <w:szCs w:val="20"/>
                <w:lang w:val="en-US" w:eastAsia="ru-RU"/>
              </w:rPr>
              <w:t xml:space="preserve"> </w:t>
            </w:r>
            <w:r w:rsidR="00831676">
              <w:rPr>
                <w:rFonts w:ascii="Times New Roman" w:eastAsia="Times New Roman" w:hAnsi="Times New Roman"/>
                <w:b/>
                <w:bCs/>
                <w:color w:val="000000"/>
                <w:sz w:val="20"/>
                <w:szCs w:val="20"/>
                <w:lang w:val="en-US" w:eastAsia="ru-RU"/>
              </w:rPr>
              <w:t>Heat production volumes, thous.Gcal</w:t>
            </w:r>
          </w:p>
        </w:tc>
      </w:tr>
      <w:tr w:rsidR="004F1411" w:rsidRPr="00A539CA" w:rsidTr="00DA51D7">
        <w:trPr>
          <w:trHeight w:val="511"/>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31676" w:rsidRDefault="00831676" w:rsidP="00DA51D7">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“Almaty power plants”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5 532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4 960</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5 580</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113%</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5 203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5 621,51</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31676" w:rsidRDefault="004F1411" w:rsidP="00831676">
            <w:pPr>
              <w:spacing w:after="0" w:line="240" w:lineRule="auto"/>
              <w:rPr>
                <w:rFonts w:ascii="Times New Roman" w:eastAsia="Times New Roman" w:hAnsi="Times New Roman"/>
                <w:color w:val="000000"/>
                <w:sz w:val="20"/>
                <w:szCs w:val="20"/>
                <w:lang w:val="en-US" w:eastAsia="ru-RU"/>
              </w:rPr>
            </w:pPr>
            <w:r w:rsidRPr="00A539CA">
              <w:rPr>
                <w:rFonts w:ascii="Times New Roman" w:eastAsia="Times New Roman" w:hAnsi="Times New Roman"/>
                <w:color w:val="000000"/>
                <w:sz w:val="20"/>
                <w:szCs w:val="20"/>
                <w:lang w:eastAsia="ru-RU"/>
              </w:rPr>
              <w:t xml:space="preserve"> </w:t>
            </w:r>
            <w:r w:rsidR="00831676">
              <w:rPr>
                <w:rFonts w:ascii="Times New Roman" w:eastAsia="Times New Roman" w:hAnsi="Times New Roman"/>
                <w:color w:val="000000"/>
                <w:sz w:val="20"/>
                <w:szCs w:val="20"/>
                <w:lang w:val="en-US" w:eastAsia="ru-RU"/>
              </w:rPr>
              <w:t xml:space="preserve">“Aktobe CHP”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1 835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1 760</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1 868</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106%</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1 780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278"/>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A539CA" w:rsidRDefault="00831676" w:rsidP="00DA51D7">
            <w:pPr>
              <w:spacing w:after="0" w:line="240" w:lineRule="auto"/>
              <w:rPr>
                <w:rFonts w:ascii="Times New Roman" w:eastAsia="Times New Roman" w:hAnsi="Times New Roman"/>
                <w:color w:val="000000"/>
                <w:sz w:val="20"/>
                <w:szCs w:val="20"/>
                <w:lang w:eastAsia="ru-RU"/>
              </w:rPr>
            </w:pPr>
            <w:r w:rsidRPr="008146A0">
              <w:rPr>
                <w:rFonts w:ascii="Times New Roman" w:eastAsia="Times New Roman" w:hAnsi="Times New Roman"/>
                <w:color w:val="000000"/>
                <w:sz w:val="20"/>
                <w:szCs w:val="20"/>
                <w:lang w:eastAsia="ru-RU"/>
              </w:rPr>
              <w:lastRenderedPageBreak/>
              <w:t>“</w:t>
            </w:r>
            <w:r>
              <w:rPr>
                <w:rFonts w:ascii="Times New Roman" w:eastAsia="Times New Roman" w:hAnsi="Times New Roman"/>
                <w:color w:val="000000"/>
                <w:sz w:val="20"/>
                <w:szCs w:val="20"/>
                <w:lang w:val="en-US" w:eastAsia="ru-RU"/>
              </w:rPr>
              <w:t>Ekibastuz</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GRES</w:t>
            </w:r>
            <w:r w:rsidRPr="008146A0">
              <w:rPr>
                <w:rFonts w:ascii="Times New Roman" w:eastAsia="Times New Roman" w:hAnsi="Times New Roman"/>
                <w:color w:val="000000"/>
                <w:sz w:val="20"/>
                <w:szCs w:val="20"/>
                <w:lang w:eastAsia="ru-RU"/>
              </w:rPr>
              <w:t xml:space="preserve">-2 </w:t>
            </w:r>
            <w:r>
              <w:rPr>
                <w:rFonts w:ascii="Times New Roman" w:eastAsia="Times New Roman" w:hAnsi="Times New Roman"/>
                <w:color w:val="000000"/>
                <w:sz w:val="20"/>
                <w:szCs w:val="20"/>
                <w:lang w:val="en-US" w:eastAsia="ru-RU"/>
              </w:rPr>
              <w:t>Station</w:t>
            </w:r>
            <w:r w:rsidRPr="008146A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71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63</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103</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165%</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76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76</w:t>
            </w:r>
          </w:p>
        </w:tc>
      </w:tr>
      <w:tr w:rsidR="004F1411" w:rsidRPr="00A539CA" w:rsidTr="00DA51D7">
        <w:trPr>
          <w:trHeight w:val="300"/>
        </w:trPr>
        <w:tc>
          <w:tcPr>
            <w:tcW w:w="3686" w:type="dxa"/>
            <w:tcBorders>
              <w:top w:val="nil"/>
              <w:left w:val="single" w:sz="8" w:space="0" w:color="auto"/>
              <w:bottom w:val="single" w:sz="4" w:space="0" w:color="auto"/>
              <w:right w:val="single" w:sz="4" w:space="0" w:color="auto"/>
            </w:tcBorders>
            <w:shd w:val="clear" w:color="auto" w:fill="auto"/>
            <w:vAlign w:val="center"/>
            <w:hideMark/>
          </w:tcPr>
          <w:p w:rsidR="004F1411" w:rsidRPr="00831676" w:rsidRDefault="004F1411" w:rsidP="00831676">
            <w:pPr>
              <w:spacing w:after="0" w:line="240" w:lineRule="auto"/>
              <w:rPr>
                <w:rFonts w:ascii="Times New Roman" w:eastAsia="Times New Roman" w:hAnsi="Times New Roman"/>
                <w:color w:val="000000"/>
                <w:sz w:val="20"/>
                <w:szCs w:val="20"/>
                <w:lang w:val="en-US" w:eastAsia="ru-RU"/>
              </w:rPr>
            </w:pPr>
            <w:r w:rsidRPr="00A539CA">
              <w:rPr>
                <w:rFonts w:ascii="Times New Roman" w:eastAsia="Times New Roman" w:hAnsi="Times New Roman"/>
                <w:color w:val="000000"/>
                <w:sz w:val="20"/>
                <w:szCs w:val="20"/>
                <w:lang w:eastAsia="ru-RU"/>
              </w:rPr>
              <w:t xml:space="preserve"> </w:t>
            </w:r>
            <w:r w:rsidR="00831676">
              <w:rPr>
                <w:rFonts w:ascii="Times New Roman" w:eastAsia="Times New Roman" w:hAnsi="Times New Roman"/>
                <w:color w:val="000000"/>
                <w:sz w:val="20"/>
                <w:szCs w:val="20"/>
                <w:lang w:val="en-US" w:eastAsia="ru-RU"/>
              </w:rPr>
              <w:t xml:space="preserve">“ZHGRES” JSC </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32   </w:t>
            </w:r>
          </w:p>
        </w:tc>
        <w:tc>
          <w:tcPr>
            <w:tcW w:w="932"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w:t>
            </w:r>
          </w:p>
        </w:tc>
        <w:tc>
          <w:tcPr>
            <w:tcW w:w="1043"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10</w:t>
            </w:r>
          </w:p>
        </w:tc>
        <w:tc>
          <w:tcPr>
            <w:tcW w:w="843" w:type="dxa"/>
            <w:tcBorders>
              <w:top w:val="nil"/>
              <w:left w:val="nil"/>
              <w:bottom w:val="single" w:sz="4"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94%</w:t>
            </w:r>
          </w:p>
        </w:tc>
        <w:tc>
          <w:tcPr>
            <w:tcW w:w="1020" w:type="dxa"/>
            <w:tcBorders>
              <w:top w:val="nil"/>
              <w:left w:val="nil"/>
              <w:bottom w:val="single" w:sz="4"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xml:space="preserve">             8   </w:t>
            </w:r>
          </w:p>
        </w:tc>
        <w:tc>
          <w:tcPr>
            <w:tcW w:w="970" w:type="dxa"/>
            <w:tcBorders>
              <w:top w:val="nil"/>
              <w:left w:val="nil"/>
              <w:bottom w:val="single" w:sz="4"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color w:val="000000"/>
                <w:sz w:val="20"/>
                <w:szCs w:val="20"/>
                <w:lang w:eastAsia="ru-RU"/>
              </w:rPr>
            </w:pPr>
            <w:r w:rsidRPr="00A539CA">
              <w:rPr>
                <w:rFonts w:ascii="Times New Roman" w:eastAsia="Times New Roman" w:hAnsi="Times New Roman"/>
                <w:color w:val="000000"/>
                <w:sz w:val="20"/>
                <w:szCs w:val="20"/>
                <w:lang w:eastAsia="ru-RU"/>
              </w:rPr>
              <w:t> </w:t>
            </w:r>
          </w:p>
        </w:tc>
      </w:tr>
      <w:tr w:rsidR="004F1411" w:rsidRPr="00A539CA" w:rsidTr="00DA51D7">
        <w:trPr>
          <w:trHeight w:val="315"/>
        </w:trPr>
        <w:tc>
          <w:tcPr>
            <w:tcW w:w="3686" w:type="dxa"/>
            <w:tcBorders>
              <w:top w:val="nil"/>
              <w:left w:val="single" w:sz="8" w:space="0" w:color="auto"/>
              <w:bottom w:val="single" w:sz="8" w:space="0" w:color="auto"/>
              <w:right w:val="single" w:sz="4" w:space="0" w:color="auto"/>
            </w:tcBorders>
            <w:shd w:val="clear" w:color="auto" w:fill="auto"/>
            <w:vAlign w:val="center"/>
            <w:hideMark/>
          </w:tcPr>
          <w:p w:rsidR="004F1411" w:rsidRPr="00831676" w:rsidRDefault="00831676"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Total: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7 471   </w:t>
            </w:r>
          </w:p>
        </w:tc>
        <w:tc>
          <w:tcPr>
            <w:tcW w:w="932"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6 792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7 561   </w:t>
            </w:r>
          </w:p>
        </w:tc>
        <w:tc>
          <w:tcPr>
            <w:tcW w:w="843" w:type="dxa"/>
            <w:tcBorders>
              <w:top w:val="nil"/>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111%</w:t>
            </w:r>
          </w:p>
        </w:tc>
        <w:tc>
          <w:tcPr>
            <w:tcW w:w="102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7 067   </w:t>
            </w:r>
          </w:p>
        </w:tc>
        <w:tc>
          <w:tcPr>
            <w:tcW w:w="970" w:type="dxa"/>
            <w:tcBorders>
              <w:top w:val="nil"/>
              <w:left w:val="nil"/>
              <w:bottom w:val="single" w:sz="8"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 xml:space="preserve">  5 698   </w:t>
            </w:r>
          </w:p>
        </w:tc>
      </w:tr>
      <w:tr w:rsidR="004F1411" w:rsidRPr="00A539CA" w:rsidTr="00DA51D7">
        <w:trPr>
          <w:trHeight w:val="323"/>
        </w:trPr>
        <w:tc>
          <w:tcPr>
            <w:tcW w:w="3686" w:type="dxa"/>
            <w:tcBorders>
              <w:top w:val="nil"/>
              <w:left w:val="single" w:sz="8" w:space="0" w:color="auto"/>
              <w:bottom w:val="single" w:sz="8" w:space="0" w:color="auto"/>
              <w:right w:val="single" w:sz="4" w:space="0" w:color="auto"/>
            </w:tcBorders>
            <w:shd w:val="clear" w:color="auto" w:fill="auto"/>
            <w:vAlign w:val="center"/>
            <w:hideMark/>
          </w:tcPr>
          <w:p w:rsidR="004F1411" w:rsidRPr="00831676" w:rsidRDefault="00831676" w:rsidP="00DA51D7">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Coal extraction volumes, mln.tons </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242D4B">
              <w:rPr>
                <w:rFonts w:ascii="Times New Roman" w:eastAsia="Times New Roman" w:hAnsi="Times New Roman"/>
                <w:b/>
                <w:bCs/>
                <w:color w:val="000000"/>
                <w:sz w:val="20"/>
                <w:szCs w:val="20"/>
                <w:lang w:val="en-US" w:eastAsia="ru-RU"/>
              </w:rPr>
              <w:t xml:space="preserve">           </w:t>
            </w:r>
            <w:r w:rsidRPr="00A539CA">
              <w:rPr>
                <w:rFonts w:ascii="Times New Roman" w:eastAsia="Times New Roman" w:hAnsi="Times New Roman"/>
                <w:b/>
                <w:bCs/>
                <w:color w:val="000000"/>
                <w:sz w:val="20"/>
                <w:szCs w:val="20"/>
                <w:lang w:eastAsia="ru-RU"/>
              </w:rPr>
              <w:t xml:space="preserve">44   </w:t>
            </w:r>
          </w:p>
        </w:tc>
        <w:tc>
          <w:tcPr>
            <w:tcW w:w="932"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42</w:t>
            </w:r>
          </w:p>
        </w:tc>
        <w:tc>
          <w:tcPr>
            <w:tcW w:w="1043"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38</w:t>
            </w:r>
          </w:p>
        </w:tc>
        <w:tc>
          <w:tcPr>
            <w:tcW w:w="843" w:type="dxa"/>
            <w:tcBorders>
              <w:top w:val="nil"/>
              <w:left w:val="nil"/>
              <w:bottom w:val="single" w:sz="8" w:space="0" w:color="auto"/>
              <w:right w:val="single" w:sz="4" w:space="0" w:color="auto"/>
            </w:tcBorders>
            <w:shd w:val="clear" w:color="auto" w:fill="auto"/>
            <w:noWrap/>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91%</w:t>
            </w:r>
          </w:p>
        </w:tc>
        <w:tc>
          <w:tcPr>
            <w:tcW w:w="1020" w:type="dxa"/>
            <w:tcBorders>
              <w:top w:val="nil"/>
              <w:left w:val="nil"/>
              <w:bottom w:val="single" w:sz="8" w:space="0" w:color="auto"/>
              <w:right w:val="single" w:sz="4"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37</w:t>
            </w:r>
          </w:p>
        </w:tc>
        <w:tc>
          <w:tcPr>
            <w:tcW w:w="970" w:type="dxa"/>
            <w:tcBorders>
              <w:top w:val="nil"/>
              <w:left w:val="nil"/>
              <w:bottom w:val="single" w:sz="8" w:space="0" w:color="auto"/>
              <w:right w:val="single" w:sz="8" w:space="0" w:color="auto"/>
            </w:tcBorders>
            <w:shd w:val="clear" w:color="auto" w:fill="auto"/>
            <w:vAlign w:val="center"/>
            <w:hideMark/>
          </w:tcPr>
          <w:p w:rsidR="004F1411" w:rsidRPr="00A539CA" w:rsidRDefault="004F1411" w:rsidP="00DA51D7">
            <w:pPr>
              <w:spacing w:after="0" w:line="240" w:lineRule="auto"/>
              <w:jc w:val="right"/>
              <w:rPr>
                <w:rFonts w:ascii="Times New Roman" w:eastAsia="Times New Roman" w:hAnsi="Times New Roman"/>
                <w:b/>
                <w:bCs/>
                <w:color w:val="000000"/>
                <w:sz w:val="20"/>
                <w:szCs w:val="20"/>
                <w:lang w:eastAsia="ru-RU"/>
              </w:rPr>
            </w:pPr>
            <w:r w:rsidRPr="00A539CA">
              <w:rPr>
                <w:rFonts w:ascii="Times New Roman" w:eastAsia="Times New Roman" w:hAnsi="Times New Roman"/>
                <w:b/>
                <w:bCs/>
                <w:color w:val="000000"/>
                <w:sz w:val="20"/>
                <w:szCs w:val="20"/>
                <w:lang w:eastAsia="ru-RU"/>
              </w:rPr>
              <w:t>39</w:t>
            </w:r>
          </w:p>
        </w:tc>
      </w:tr>
    </w:tbl>
    <w:p w:rsidR="004F1411" w:rsidRDefault="004F1411" w:rsidP="004F1411">
      <w:pPr>
        <w:spacing w:after="0" w:line="240" w:lineRule="auto"/>
        <w:ind w:firstLine="709"/>
        <w:jc w:val="both"/>
        <w:rPr>
          <w:rFonts w:ascii="Times New Roman" w:hAnsi="Times New Roman"/>
          <w:sz w:val="28"/>
          <w:szCs w:val="28"/>
        </w:rPr>
      </w:pP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The dec</w:t>
      </w:r>
      <w:r w:rsidR="00197CA6" w:rsidRPr="00673D1B">
        <w:rPr>
          <w:rFonts w:ascii="Times New Roman" w:eastAsia="Times New Roman" w:hAnsi="Times New Roman"/>
          <w:sz w:val="28"/>
          <w:szCs w:val="28"/>
          <w:lang w:val="en-US" w:eastAsia="ru-RU"/>
        </w:rPr>
        <w:t>line</w:t>
      </w:r>
      <w:r w:rsidRPr="00673D1B">
        <w:rPr>
          <w:rFonts w:ascii="Times New Roman" w:eastAsia="Times New Roman" w:hAnsi="Times New Roman"/>
          <w:sz w:val="28"/>
          <w:szCs w:val="28"/>
          <w:lang w:val="en-US" w:eastAsia="ru-RU"/>
        </w:rPr>
        <w:t xml:space="preserve"> in </w:t>
      </w:r>
      <w:r w:rsidRPr="00DA1D7E">
        <w:rPr>
          <w:rFonts w:ascii="Times New Roman" w:eastAsia="Times New Roman" w:hAnsi="Times New Roman"/>
          <w:b/>
          <w:sz w:val="28"/>
          <w:szCs w:val="28"/>
          <w:lang w:val="en-US" w:eastAsia="ru-RU"/>
        </w:rPr>
        <w:t>electricity production</w:t>
      </w:r>
      <w:r w:rsidR="00DA1D7E">
        <w:rPr>
          <w:rFonts w:ascii="Times New Roman" w:eastAsia="Times New Roman" w:hAnsi="Times New Roman"/>
          <w:sz w:val="28"/>
          <w:szCs w:val="28"/>
          <w:lang w:val="en-US" w:eastAsia="ru-RU"/>
        </w:rPr>
        <w:t xml:space="preserve"> </w:t>
      </w:r>
      <w:r w:rsidR="00DA1D7E" w:rsidRPr="00DA1D7E">
        <w:rPr>
          <w:rFonts w:ascii="Times New Roman" w:eastAsia="Times New Roman" w:hAnsi="Times New Roman"/>
          <w:b/>
          <w:sz w:val="28"/>
          <w:szCs w:val="28"/>
          <w:lang w:val="en-US" w:eastAsia="ru-RU"/>
        </w:rPr>
        <w:t>volumes</w:t>
      </w:r>
      <w:r w:rsidRPr="00673D1B">
        <w:rPr>
          <w:rFonts w:ascii="Times New Roman" w:eastAsia="Times New Roman" w:hAnsi="Times New Roman"/>
          <w:sz w:val="28"/>
          <w:szCs w:val="28"/>
          <w:lang w:val="en-US" w:eastAsia="ru-RU"/>
        </w:rPr>
        <w:t xml:space="preserve"> </w:t>
      </w:r>
      <w:r w:rsidR="00DA1D7E">
        <w:rPr>
          <w:rFonts w:ascii="Times New Roman" w:eastAsia="Times New Roman" w:hAnsi="Times New Roman"/>
          <w:sz w:val="28"/>
          <w:szCs w:val="28"/>
          <w:lang w:val="en-US" w:eastAsia="ru-RU"/>
        </w:rPr>
        <w:t xml:space="preserve"> </w:t>
      </w:r>
      <w:r w:rsidRPr="00673D1B">
        <w:rPr>
          <w:rFonts w:ascii="Times New Roman" w:eastAsia="Times New Roman" w:hAnsi="Times New Roman"/>
          <w:sz w:val="28"/>
          <w:szCs w:val="28"/>
          <w:lang w:val="en-US" w:eastAsia="ru-RU"/>
        </w:rPr>
        <w:t>in 2014</w:t>
      </w:r>
      <w:r w:rsidR="00197CA6" w:rsidRPr="00673D1B">
        <w:rPr>
          <w:rFonts w:ascii="Times New Roman" w:eastAsia="Times New Roman" w:hAnsi="Times New Roman"/>
          <w:sz w:val="28"/>
          <w:szCs w:val="28"/>
          <w:lang w:val="en-US" w:eastAsia="ru-RU"/>
        </w:rPr>
        <w:t xml:space="preserve"> in comparison with the volumes of 2</w:t>
      </w:r>
      <w:r w:rsidRPr="00673D1B">
        <w:rPr>
          <w:rFonts w:ascii="Times New Roman" w:eastAsia="Times New Roman" w:hAnsi="Times New Roman"/>
          <w:sz w:val="28"/>
          <w:szCs w:val="28"/>
          <w:lang w:val="en-US" w:eastAsia="ru-RU"/>
        </w:rPr>
        <w:t xml:space="preserve">013 </w:t>
      </w:r>
      <w:r w:rsidR="00197CA6" w:rsidRPr="00673D1B">
        <w:rPr>
          <w:rFonts w:ascii="Times New Roman" w:eastAsia="Times New Roman" w:hAnsi="Times New Roman"/>
          <w:sz w:val="28"/>
          <w:szCs w:val="28"/>
          <w:lang w:val="en-US" w:eastAsia="ru-RU"/>
        </w:rPr>
        <w:t xml:space="preserve">by 1% </w:t>
      </w:r>
      <w:r w:rsidRPr="00673D1B">
        <w:rPr>
          <w:rFonts w:ascii="Times New Roman" w:eastAsia="Times New Roman" w:hAnsi="Times New Roman"/>
          <w:sz w:val="28"/>
          <w:szCs w:val="28"/>
          <w:lang w:val="en-US" w:eastAsia="ru-RU"/>
        </w:rPr>
        <w:t xml:space="preserve">(or 371 million kWh) </w:t>
      </w:r>
      <w:r w:rsidR="00197CA6" w:rsidRPr="00673D1B">
        <w:rPr>
          <w:rFonts w:ascii="Times New Roman" w:eastAsia="Times New Roman" w:hAnsi="Times New Roman"/>
          <w:sz w:val="28"/>
          <w:szCs w:val="28"/>
          <w:lang w:val="en-US" w:eastAsia="ru-RU"/>
        </w:rPr>
        <w:t xml:space="preserve">is </w:t>
      </w:r>
      <w:r w:rsidRPr="00673D1B">
        <w:rPr>
          <w:rFonts w:ascii="Times New Roman" w:eastAsia="Times New Roman" w:hAnsi="Times New Roman"/>
          <w:sz w:val="28"/>
          <w:szCs w:val="28"/>
          <w:lang w:val="en-US" w:eastAsia="ru-RU"/>
        </w:rPr>
        <w:t>due to decreased production of electricity at</w:t>
      </w:r>
      <w:r w:rsidR="00197CA6" w:rsidRPr="00673D1B">
        <w:rPr>
          <w:rFonts w:ascii="Times New Roman" w:eastAsia="Times New Roman" w:hAnsi="Times New Roman"/>
          <w:sz w:val="28"/>
          <w:szCs w:val="28"/>
          <w:lang w:val="en-US" w:eastAsia="ru-RU"/>
        </w:rPr>
        <w:t xml:space="preserve"> the following </w:t>
      </w:r>
      <w:r w:rsidRPr="00673D1B">
        <w:rPr>
          <w:rFonts w:ascii="Times New Roman" w:eastAsia="Times New Roman" w:hAnsi="Times New Roman"/>
          <w:sz w:val="28"/>
          <w:szCs w:val="28"/>
          <w:lang w:val="en-US" w:eastAsia="ru-RU"/>
        </w:rPr>
        <w:t xml:space="preserve"> power </w:t>
      </w:r>
      <w:r w:rsidR="00197CA6" w:rsidRPr="00673D1B">
        <w:rPr>
          <w:rFonts w:ascii="Times New Roman" w:eastAsia="Times New Roman" w:hAnsi="Times New Roman"/>
          <w:sz w:val="28"/>
          <w:szCs w:val="28"/>
          <w:lang w:val="en-US" w:eastAsia="ru-RU"/>
        </w:rPr>
        <w:t>plants</w:t>
      </w:r>
      <w:r w:rsidRPr="00673D1B">
        <w:rPr>
          <w:rFonts w:ascii="Times New Roman" w:eastAsia="Times New Roman" w:hAnsi="Times New Roman"/>
          <w:sz w:val="28"/>
          <w:szCs w:val="28"/>
          <w:lang w:val="en-US" w:eastAsia="ru-RU"/>
        </w:rPr>
        <w:t>:</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w:t>
      </w:r>
      <w:r w:rsidR="00197CA6" w:rsidRPr="00673D1B">
        <w:rPr>
          <w:rFonts w:ascii="Times New Roman" w:eastAsia="Times New Roman" w:hAnsi="Times New Roman"/>
          <w:sz w:val="28"/>
          <w:szCs w:val="28"/>
          <w:lang w:val="en-US" w:eastAsia="ru-RU"/>
        </w:rPr>
        <w:t xml:space="preserve"> “</w:t>
      </w:r>
      <w:r w:rsidRPr="00673D1B">
        <w:rPr>
          <w:rFonts w:ascii="Times New Roman" w:eastAsia="Times New Roman" w:hAnsi="Times New Roman"/>
          <w:sz w:val="28"/>
          <w:szCs w:val="28"/>
          <w:lang w:val="en-US" w:eastAsia="ru-RU"/>
        </w:rPr>
        <w:t>GRES-2"</w:t>
      </w:r>
      <w:r w:rsidR="00197CA6" w:rsidRPr="00673D1B">
        <w:rPr>
          <w:rFonts w:ascii="Times New Roman" w:eastAsia="Times New Roman" w:hAnsi="Times New Roman"/>
          <w:sz w:val="28"/>
          <w:szCs w:val="28"/>
          <w:lang w:val="en-US" w:eastAsia="ru-RU"/>
        </w:rPr>
        <w:t xml:space="preserve"> JSC</w:t>
      </w:r>
      <w:r w:rsidRPr="00673D1B">
        <w:rPr>
          <w:rFonts w:ascii="Times New Roman" w:eastAsia="Times New Roman" w:hAnsi="Times New Roman"/>
          <w:sz w:val="28"/>
          <w:szCs w:val="28"/>
          <w:lang w:val="en-US" w:eastAsia="ru-RU"/>
        </w:rPr>
        <w:t xml:space="preserve">, due to a decrease of electricity sale in </w:t>
      </w:r>
      <w:r w:rsidR="00197CA6" w:rsidRPr="00673D1B">
        <w:rPr>
          <w:rFonts w:ascii="Times New Roman" w:eastAsia="Times New Roman" w:hAnsi="Times New Roman"/>
          <w:sz w:val="28"/>
          <w:szCs w:val="28"/>
          <w:lang w:val="en-US" w:eastAsia="ru-RU"/>
        </w:rPr>
        <w:t>Kazakhstani  market</w:t>
      </w:r>
      <w:r w:rsidRPr="00673D1B">
        <w:rPr>
          <w:rFonts w:ascii="Times New Roman" w:eastAsia="Times New Roman" w:hAnsi="Times New Roman"/>
          <w:sz w:val="28"/>
          <w:szCs w:val="28"/>
          <w:lang w:val="en-US" w:eastAsia="ru-RU"/>
        </w:rPr>
        <w:t>;</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 "</w:t>
      </w:r>
      <w:r w:rsidR="00197CA6" w:rsidRPr="00673D1B">
        <w:rPr>
          <w:rFonts w:ascii="Times New Roman" w:eastAsia="Times New Roman" w:hAnsi="Times New Roman"/>
          <w:sz w:val="28"/>
          <w:szCs w:val="28"/>
          <w:lang w:val="en-US" w:eastAsia="ru-RU"/>
        </w:rPr>
        <w:t>M</w:t>
      </w:r>
      <w:r w:rsidRPr="00673D1B">
        <w:rPr>
          <w:rFonts w:ascii="Times New Roman" w:eastAsia="Times New Roman" w:hAnsi="Times New Roman"/>
          <w:sz w:val="28"/>
          <w:szCs w:val="28"/>
          <w:lang w:val="en-US" w:eastAsia="ru-RU"/>
        </w:rPr>
        <w:t>HP</w:t>
      </w:r>
      <w:r w:rsidR="00197CA6" w:rsidRPr="00673D1B">
        <w:rPr>
          <w:rFonts w:ascii="Times New Roman" w:eastAsia="Times New Roman" w:hAnsi="Times New Roman"/>
          <w:sz w:val="28"/>
          <w:szCs w:val="28"/>
          <w:lang w:val="en-US" w:eastAsia="ru-RU"/>
        </w:rPr>
        <w:t>P</w:t>
      </w:r>
      <w:r w:rsidRPr="00673D1B">
        <w:rPr>
          <w:rFonts w:ascii="Times New Roman" w:eastAsia="Times New Roman" w:hAnsi="Times New Roman"/>
          <w:sz w:val="28"/>
          <w:szCs w:val="28"/>
          <w:lang w:val="en-US" w:eastAsia="ru-RU"/>
        </w:rPr>
        <w:t xml:space="preserve">" </w:t>
      </w:r>
      <w:r w:rsidR="00197CA6" w:rsidRPr="00673D1B">
        <w:rPr>
          <w:rFonts w:ascii="Times New Roman" w:eastAsia="Times New Roman" w:hAnsi="Times New Roman"/>
          <w:sz w:val="28"/>
          <w:szCs w:val="28"/>
          <w:lang w:val="en-US" w:eastAsia="ru-RU"/>
        </w:rPr>
        <w:t>JSC</w:t>
      </w:r>
      <w:r w:rsidR="00C67007" w:rsidRPr="00673D1B">
        <w:rPr>
          <w:rFonts w:ascii="Times New Roman" w:eastAsia="Times New Roman" w:hAnsi="Times New Roman"/>
          <w:sz w:val="28"/>
          <w:szCs w:val="28"/>
          <w:lang w:val="en-US" w:eastAsia="ru-RU"/>
        </w:rPr>
        <w:t>,</w:t>
      </w:r>
      <w:r w:rsidR="00197CA6" w:rsidRPr="00673D1B">
        <w:rPr>
          <w:rFonts w:ascii="Times New Roman" w:eastAsia="Times New Roman" w:hAnsi="Times New Roman"/>
          <w:sz w:val="28"/>
          <w:szCs w:val="28"/>
          <w:lang w:val="en-US" w:eastAsia="ru-RU"/>
        </w:rPr>
        <w:t xml:space="preserve"> </w:t>
      </w:r>
      <w:r w:rsidRPr="00673D1B">
        <w:rPr>
          <w:rFonts w:ascii="Times New Roman" w:eastAsia="Times New Roman" w:hAnsi="Times New Roman"/>
          <w:sz w:val="28"/>
          <w:szCs w:val="28"/>
          <w:lang w:val="en-US" w:eastAsia="ru-RU"/>
        </w:rPr>
        <w:t>in connection with reduction in the inflow</w:t>
      </w:r>
      <w:r w:rsidR="00197CA6" w:rsidRPr="00673D1B">
        <w:rPr>
          <w:rFonts w:ascii="Times New Roman" w:eastAsia="Times New Roman" w:hAnsi="Times New Roman"/>
          <w:sz w:val="28"/>
          <w:szCs w:val="28"/>
          <w:lang w:val="en-US" w:eastAsia="ru-RU"/>
        </w:rPr>
        <w:t xml:space="preserve"> of</w:t>
      </w:r>
      <w:r w:rsidRPr="00673D1B">
        <w:rPr>
          <w:rFonts w:ascii="Times New Roman" w:eastAsia="Times New Roman" w:hAnsi="Times New Roman"/>
          <w:sz w:val="28"/>
          <w:szCs w:val="28"/>
          <w:lang w:val="en-US" w:eastAsia="ru-RU"/>
        </w:rPr>
        <w:t xml:space="preserve"> r.Sharyn </w:t>
      </w:r>
      <w:r w:rsidR="00C67007" w:rsidRPr="00673D1B">
        <w:rPr>
          <w:rFonts w:ascii="Times New Roman" w:eastAsia="Times New Roman" w:hAnsi="Times New Roman"/>
          <w:sz w:val="28"/>
          <w:szCs w:val="28"/>
          <w:lang w:val="en-US" w:eastAsia="ru-RU"/>
        </w:rPr>
        <w:t xml:space="preserve">in </w:t>
      </w:r>
      <w:r w:rsidRPr="00673D1B">
        <w:rPr>
          <w:rFonts w:ascii="Times New Roman" w:eastAsia="Times New Roman" w:hAnsi="Times New Roman"/>
          <w:sz w:val="28"/>
          <w:szCs w:val="28"/>
          <w:lang w:val="en-US" w:eastAsia="ru-RU"/>
        </w:rPr>
        <w:t xml:space="preserve">Bestyubinsk </w:t>
      </w:r>
      <w:r w:rsidR="00C67007" w:rsidRPr="00673D1B">
        <w:rPr>
          <w:rFonts w:ascii="Times New Roman" w:eastAsia="Times New Roman" w:hAnsi="Times New Roman"/>
          <w:sz w:val="28"/>
          <w:szCs w:val="28"/>
          <w:lang w:val="en-US" w:eastAsia="ru-RU"/>
        </w:rPr>
        <w:t>r</w:t>
      </w:r>
      <w:r w:rsidRPr="00673D1B">
        <w:rPr>
          <w:rFonts w:ascii="Times New Roman" w:eastAsia="Times New Roman" w:hAnsi="Times New Roman"/>
          <w:sz w:val="28"/>
          <w:szCs w:val="28"/>
          <w:lang w:val="en-US" w:eastAsia="ru-RU"/>
        </w:rPr>
        <w:t xml:space="preserve">eservoir in 2014 lower than </w:t>
      </w:r>
      <w:r w:rsidR="00197CA6" w:rsidRPr="00673D1B">
        <w:rPr>
          <w:rFonts w:ascii="Times New Roman" w:eastAsia="Times New Roman" w:hAnsi="Times New Roman"/>
          <w:sz w:val="28"/>
          <w:szCs w:val="28"/>
          <w:lang w:val="en-US" w:eastAsia="ru-RU"/>
        </w:rPr>
        <w:t>forecasted</w:t>
      </w:r>
      <w:r w:rsidRPr="00673D1B">
        <w:rPr>
          <w:rFonts w:ascii="Times New Roman" w:eastAsia="Times New Roman" w:hAnsi="Times New Roman"/>
          <w:sz w:val="28"/>
          <w:szCs w:val="28"/>
          <w:lang w:val="en-US" w:eastAsia="ru-RU"/>
        </w:rPr>
        <w:t xml:space="preserve"> values.</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 xml:space="preserve">The </w:t>
      </w:r>
      <w:r w:rsidRPr="00DA1D7E">
        <w:rPr>
          <w:rFonts w:ascii="Times New Roman" w:eastAsia="Times New Roman" w:hAnsi="Times New Roman"/>
          <w:b/>
          <w:sz w:val="28"/>
          <w:szCs w:val="28"/>
          <w:lang w:val="en-US" w:eastAsia="ru-RU"/>
        </w:rPr>
        <w:t>increase in heat production</w:t>
      </w:r>
      <w:r w:rsidR="00C67007" w:rsidRPr="00DA1D7E">
        <w:rPr>
          <w:rFonts w:ascii="Times New Roman" w:eastAsia="Times New Roman" w:hAnsi="Times New Roman"/>
          <w:b/>
          <w:sz w:val="28"/>
          <w:szCs w:val="28"/>
          <w:lang w:val="en-US" w:eastAsia="ru-RU"/>
        </w:rPr>
        <w:t xml:space="preserve"> volumes</w:t>
      </w:r>
      <w:r w:rsidRPr="00673D1B">
        <w:rPr>
          <w:rFonts w:ascii="Times New Roman" w:eastAsia="Times New Roman" w:hAnsi="Times New Roman"/>
          <w:sz w:val="28"/>
          <w:szCs w:val="28"/>
          <w:lang w:val="en-US" w:eastAsia="ru-RU"/>
        </w:rPr>
        <w:t xml:space="preserve"> in 2014 by 11% (769</w:t>
      </w:r>
      <w:r w:rsidR="00C67007" w:rsidRPr="00673D1B">
        <w:rPr>
          <w:rFonts w:ascii="Times New Roman" w:eastAsia="Times New Roman" w:hAnsi="Times New Roman"/>
          <w:sz w:val="28"/>
          <w:szCs w:val="28"/>
          <w:lang w:val="en-US" w:eastAsia="ru-RU"/>
        </w:rPr>
        <w:t xml:space="preserve"> thous</w:t>
      </w:r>
      <w:r w:rsidRPr="00673D1B">
        <w:rPr>
          <w:rFonts w:ascii="Times New Roman" w:eastAsia="Times New Roman" w:hAnsi="Times New Roman"/>
          <w:sz w:val="28"/>
          <w:szCs w:val="28"/>
          <w:lang w:val="en-US" w:eastAsia="ru-RU"/>
        </w:rPr>
        <w:t>.G</w:t>
      </w:r>
      <w:r w:rsidR="00C67007" w:rsidRPr="00673D1B">
        <w:rPr>
          <w:rFonts w:ascii="Times New Roman" w:eastAsia="Times New Roman" w:hAnsi="Times New Roman"/>
          <w:sz w:val="28"/>
          <w:szCs w:val="28"/>
          <w:lang w:val="en-US" w:eastAsia="ru-RU"/>
        </w:rPr>
        <w:t>c</w:t>
      </w:r>
      <w:r w:rsidRPr="00673D1B">
        <w:rPr>
          <w:rFonts w:ascii="Times New Roman" w:eastAsia="Times New Roman" w:hAnsi="Times New Roman"/>
          <w:sz w:val="28"/>
          <w:szCs w:val="28"/>
          <w:lang w:val="en-US" w:eastAsia="ru-RU"/>
        </w:rPr>
        <w:t>al), due to the extension of the heating season and lower ambient air temperatures in the first quarter of the</w:t>
      </w:r>
      <w:r w:rsidR="00C67007" w:rsidRPr="00673D1B">
        <w:rPr>
          <w:rFonts w:ascii="Times New Roman" w:eastAsia="Times New Roman" w:hAnsi="Times New Roman"/>
          <w:sz w:val="28"/>
          <w:szCs w:val="28"/>
          <w:lang w:val="en-US" w:eastAsia="ru-RU"/>
        </w:rPr>
        <w:t xml:space="preserve"> reporting</w:t>
      </w:r>
      <w:r w:rsidRPr="00673D1B">
        <w:rPr>
          <w:rFonts w:ascii="Times New Roman" w:eastAsia="Times New Roman" w:hAnsi="Times New Roman"/>
          <w:sz w:val="28"/>
          <w:szCs w:val="28"/>
          <w:lang w:val="en-US" w:eastAsia="ru-RU"/>
        </w:rPr>
        <w:t xml:space="preserve"> year.</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 xml:space="preserve">The </w:t>
      </w:r>
      <w:r w:rsidRPr="00DA1D7E">
        <w:rPr>
          <w:rFonts w:ascii="Times New Roman" w:eastAsia="Times New Roman" w:hAnsi="Times New Roman"/>
          <w:b/>
          <w:sz w:val="28"/>
          <w:szCs w:val="28"/>
          <w:lang w:val="en-US" w:eastAsia="ru-RU"/>
        </w:rPr>
        <w:t>increase in electricity transmission</w:t>
      </w:r>
      <w:r w:rsidRPr="00673D1B">
        <w:rPr>
          <w:rFonts w:ascii="Times New Roman" w:eastAsia="Times New Roman" w:hAnsi="Times New Roman"/>
          <w:sz w:val="28"/>
          <w:szCs w:val="28"/>
          <w:lang w:val="en-US" w:eastAsia="ru-RU"/>
        </w:rPr>
        <w:t xml:space="preserve"> by 4% (or 485 million kWh) </w:t>
      </w:r>
      <w:r w:rsidR="00C67007" w:rsidRPr="00673D1B">
        <w:rPr>
          <w:rFonts w:ascii="Times New Roman" w:eastAsia="Times New Roman" w:hAnsi="Times New Roman"/>
          <w:sz w:val="28"/>
          <w:szCs w:val="28"/>
          <w:lang w:val="en-US" w:eastAsia="ru-RU"/>
        </w:rPr>
        <w:t>and</w:t>
      </w:r>
      <w:r w:rsidRPr="00673D1B">
        <w:rPr>
          <w:rFonts w:ascii="Times New Roman" w:eastAsia="Times New Roman" w:hAnsi="Times New Roman"/>
          <w:sz w:val="28"/>
          <w:szCs w:val="28"/>
          <w:lang w:val="en-US" w:eastAsia="ru-RU"/>
        </w:rPr>
        <w:t xml:space="preserve"> electricity sale </w:t>
      </w:r>
      <w:r w:rsidR="00C67007" w:rsidRPr="00673D1B">
        <w:rPr>
          <w:rFonts w:ascii="Times New Roman" w:eastAsia="Times New Roman" w:hAnsi="Times New Roman"/>
          <w:sz w:val="28"/>
          <w:szCs w:val="28"/>
          <w:lang w:val="en-US" w:eastAsia="ru-RU"/>
        </w:rPr>
        <w:t xml:space="preserve">by power supplying companies </w:t>
      </w:r>
      <w:r w:rsidRPr="00673D1B">
        <w:rPr>
          <w:rFonts w:ascii="Times New Roman" w:eastAsia="Times New Roman" w:hAnsi="Times New Roman"/>
          <w:sz w:val="28"/>
          <w:szCs w:val="28"/>
          <w:lang w:val="en-US" w:eastAsia="ru-RU"/>
        </w:rPr>
        <w:t xml:space="preserve">by 6% or 472 million kWh </w:t>
      </w:r>
      <w:r w:rsidR="00C67007" w:rsidRPr="00673D1B">
        <w:rPr>
          <w:rFonts w:ascii="Times New Roman" w:eastAsia="Times New Roman" w:hAnsi="Times New Roman"/>
          <w:sz w:val="28"/>
          <w:szCs w:val="28"/>
          <w:lang w:val="en-US" w:eastAsia="ru-RU"/>
        </w:rPr>
        <w:t>against the fact of</w:t>
      </w:r>
      <w:r w:rsidRPr="00673D1B">
        <w:rPr>
          <w:rFonts w:ascii="Times New Roman" w:eastAsia="Times New Roman" w:hAnsi="Times New Roman"/>
          <w:sz w:val="28"/>
          <w:szCs w:val="28"/>
          <w:lang w:val="en-US" w:eastAsia="ru-RU"/>
        </w:rPr>
        <w:t xml:space="preserve"> 2013</w:t>
      </w:r>
      <w:r w:rsidR="00C67007" w:rsidRPr="00673D1B">
        <w:rPr>
          <w:rFonts w:ascii="Times New Roman" w:eastAsia="Times New Roman" w:hAnsi="Times New Roman"/>
          <w:sz w:val="28"/>
          <w:szCs w:val="28"/>
          <w:lang w:val="en-US" w:eastAsia="ru-RU"/>
        </w:rPr>
        <w:t xml:space="preserve"> is</w:t>
      </w:r>
      <w:r w:rsidRPr="00673D1B">
        <w:rPr>
          <w:rFonts w:ascii="Times New Roman" w:eastAsia="Times New Roman" w:hAnsi="Times New Roman"/>
          <w:sz w:val="28"/>
          <w:szCs w:val="28"/>
          <w:lang w:val="en-US" w:eastAsia="ru-RU"/>
        </w:rPr>
        <w:t xml:space="preserve"> due to a decrease in temperature </w:t>
      </w:r>
      <w:r w:rsidR="00C67007" w:rsidRPr="00673D1B">
        <w:rPr>
          <w:rFonts w:ascii="Times New Roman" w:eastAsia="Times New Roman" w:hAnsi="Times New Roman"/>
          <w:sz w:val="28"/>
          <w:szCs w:val="28"/>
          <w:lang w:val="en-US" w:eastAsia="ru-RU"/>
        </w:rPr>
        <w:t xml:space="preserve">in Almaty region </w:t>
      </w:r>
      <w:r w:rsidRPr="00673D1B">
        <w:rPr>
          <w:rFonts w:ascii="Times New Roman" w:eastAsia="Times New Roman" w:hAnsi="Times New Roman"/>
          <w:sz w:val="28"/>
          <w:szCs w:val="28"/>
          <w:lang w:val="en-US" w:eastAsia="ru-RU"/>
        </w:rPr>
        <w:t>in the 1st quarter of the reporting year, respectively, increase in transmission and supply of electricity to consumers in Almaty.</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 xml:space="preserve">The </w:t>
      </w:r>
      <w:r w:rsidRPr="00DA1D7E">
        <w:rPr>
          <w:rFonts w:ascii="Times New Roman" w:eastAsia="Times New Roman" w:hAnsi="Times New Roman"/>
          <w:b/>
          <w:sz w:val="28"/>
          <w:szCs w:val="28"/>
          <w:lang w:val="en-US" w:eastAsia="ru-RU"/>
        </w:rPr>
        <w:t>decrease in volume of coal production</w:t>
      </w:r>
      <w:r w:rsidRPr="00673D1B">
        <w:rPr>
          <w:rFonts w:ascii="Times New Roman" w:eastAsia="Times New Roman" w:hAnsi="Times New Roman"/>
          <w:sz w:val="28"/>
          <w:szCs w:val="28"/>
          <w:lang w:val="en-US" w:eastAsia="ru-RU"/>
        </w:rPr>
        <w:t xml:space="preserve"> by 9% (or 3</w:t>
      </w:r>
      <w:r w:rsidR="00076001" w:rsidRPr="00673D1B">
        <w:rPr>
          <w:rFonts w:ascii="Times New Roman" w:eastAsia="Times New Roman" w:hAnsi="Times New Roman"/>
          <w:sz w:val="28"/>
          <w:szCs w:val="28"/>
          <w:lang w:val="en-US" w:eastAsia="ru-RU"/>
        </w:rPr>
        <w:t>,</w:t>
      </w:r>
      <w:r w:rsidRPr="00673D1B">
        <w:rPr>
          <w:rFonts w:ascii="Times New Roman" w:eastAsia="Times New Roman" w:hAnsi="Times New Roman"/>
          <w:sz w:val="28"/>
          <w:szCs w:val="28"/>
          <w:lang w:val="en-US" w:eastAsia="ru-RU"/>
        </w:rPr>
        <w:t>7 million tons) due to lower demand</w:t>
      </w:r>
      <w:r w:rsidR="00076001" w:rsidRPr="00673D1B">
        <w:rPr>
          <w:rFonts w:ascii="Times New Roman" w:eastAsia="Times New Roman" w:hAnsi="Times New Roman"/>
          <w:sz w:val="28"/>
          <w:szCs w:val="28"/>
          <w:lang w:val="en-US" w:eastAsia="ru-RU"/>
        </w:rPr>
        <w:t xml:space="preserve"> by </w:t>
      </w:r>
      <w:r w:rsidRPr="00673D1B">
        <w:rPr>
          <w:rFonts w:ascii="Times New Roman" w:eastAsia="Times New Roman" w:hAnsi="Times New Roman"/>
          <w:sz w:val="28"/>
          <w:szCs w:val="28"/>
          <w:lang w:val="en-US" w:eastAsia="ru-RU"/>
        </w:rPr>
        <w:t>Russia</w:t>
      </w:r>
      <w:r w:rsidR="00076001" w:rsidRPr="00673D1B">
        <w:rPr>
          <w:rFonts w:ascii="Times New Roman" w:eastAsia="Times New Roman" w:hAnsi="Times New Roman"/>
          <w:sz w:val="28"/>
          <w:szCs w:val="28"/>
          <w:lang w:val="en-US" w:eastAsia="ru-RU"/>
        </w:rPr>
        <w:t>’s power plants</w:t>
      </w:r>
      <w:r w:rsidRPr="00673D1B">
        <w:rPr>
          <w:rFonts w:ascii="Times New Roman" w:eastAsia="Times New Roman" w:hAnsi="Times New Roman"/>
          <w:sz w:val="28"/>
          <w:szCs w:val="28"/>
          <w:lang w:val="en-US" w:eastAsia="ru-RU"/>
        </w:rPr>
        <w:t>.</w:t>
      </w:r>
    </w:p>
    <w:p w:rsidR="00076001" w:rsidRPr="00673D1B" w:rsidRDefault="00076001" w:rsidP="00242D4B">
      <w:pPr>
        <w:spacing w:after="0" w:line="240" w:lineRule="auto"/>
        <w:ind w:firstLine="708"/>
        <w:jc w:val="both"/>
        <w:rPr>
          <w:rFonts w:ascii="Times New Roman" w:eastAsia="Times New Roman" w:hAnsi="Times New Roman"/>
          <w:sz w:val="28"/>
          <w:szCs w:val="28"/>
          <w:lang w:val="en-US" w:eastAsia="ru-RU"/>
        </w:rPr>
      </w:pPr>
    </w:p>
    <w:p w:rsidR="00242D4B" w:rsidRPr="00DA1D7E" w:rsidRDefault="00242D4B" w:rsidP="00242D4B">
      <w:pPr>
        <w:spacing w:after="0" w:line="240" w:lineRule="auto"/>
        <w:ind w:firstLine="708"/>
        <w:jc w:val="both"/>
        <w:rPr>
          <w:rFonts w:ascii="Times New Roman" w:eastAsia="Times New Roman" w:hAnsi="Times New Roman"/>
          <w:b/>
          <w:sz w:val="28"/>
          <w:szCs w:val="28"/>
          <w:lang w:val="en-US" w:eastAsia="ru-RU"/>
        </w:rPr>
      </w:pPr>
      <w:r w:rsidRPr="00DA1D7E">
        <w:rPr>
          <w:rFonts w:ascii="Times New Roman" w:eastAsia="Times New Roman" w:hAnsi="Times New Roman"/>
          <w:b/>
          <w:sz w:val="28"/>
          <w:szCs w:val="28"/>
          <w:lang w:val="en-US" w:eastAsia="ru-RU"/>
        </w:rPr>
        <w:t>The forecast for the future</w:t>
      </w:r>
    </w:p>
    <w:p w:rsidR="00076001" w:rsidRPr="00673D1B" w:rsidRDefault="00076001" w:rsidP="00242D4B">
      <w:pPr>
        <w:spacing w:after="0" w:line="240" w:lineRule="auto"/>
        <w:ind w:firstLine="708"/>
        <w:jc w:val="both"/>
        <w:rPr>
          <w:rFonts w:ascii="Times New Roman" w:eastAsia="Times New Roman" w:hAnsi="Times New Roman"/>
          <w:sz w:val="28"/>
          <w:szCs w:val="28"/>
          <w:lang w:val="en-US" w:eastAsia="ru-RU"/>
        </w:rPr>
      </w:pP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Volumes of production of electricity in the forecast for 2015</w:t>
      </w:r>
      <w:r w:rsidR="00076001" w:rsidRPr="00673D1B">
        <w:rPr>
          <w:rFonts w:ascii="Times New Roman" w:eastAsia="Times New Roman" w:hAnsi="Times New Roman"/>
          <w:sz w:val="28"/>
          <w:szCs w:val="28"/>
          <w:lang w:val="en-US" w:eastAsia="ru-RU"/>
        </w:rPr>
        <w:t xml:space="preserve"> were</w:t>
      </w:r>
      <w:r w:rsidRPr="00673D1B">
        <w:rPr>
          <w:rFonts w:ascii="Times New Roman" w:eastAsia="Times New Roman" w:hAnsi="Times New Roman"/>
          <w:sz w:val="28"/>
          <w:szCs w:val="28"/>
          <w:lang w:val="en-US" w:eastAsia="ru-RU"/>
        </w:rPr>
        <w:t xml:space="preserve"> lowered </w:t>
      </w:r>
      <w:r w:rsidR="00076001" w:rsidRPr="00673D1B">
        <w:rPr>
          <w:rFonts w:ascii="Times New Roman" w:eastAsia="Times New Roman" w:hAnsi="Times New Roman"/>
          <w:sz w:val="28"/>
          <w:szCs w:val="28"/>
          <w:lang w:val="en-US" w:eastAsia="ru-RU"/>
        </w:rPr>
        <w:t>against the</w:t>
      </w:r>
      <w:r w:rsidRPr="00673D1B">
        <w:rPr>
          <w:rFonts w:ascii="Times New Roman" w:eastAsia="Times New Roman" w:hAnsi="Times New Roman"/>
          <w:sz w:val="28"/>
          <w:szCs w:val="28"/>
          <w:lang w:val="en-US" w:eastAsia="ru-RU"/>
        </w:rPr>
        <w:t xml:space="preserve"> fact 2014 </w:t>
      </w:r>
      <w:r w:rsidR="00076001" w:rsidRPr="00673D1B">
        <w:rPr>
          <w:rFonts w:ascii="Times New Roman" w:eastAsia="Times New Roman" w:hAnsi="Times New Roman"/>
          <w:sz w:val="28"/>
          <w:szCs w:val="28"/>
          <w:lang w:val="en-US" w:eastAsia="ru-RU"/>
        </w:rPr>
        <w:t>by</w:t>
      </w:r>
      <w:r w:rsidRPr="00673D1B">
        <w:rPr>
          <w:rFonts w:ascii="Times New Roman" w:eastAsia="Times New Roman" w:hAnsi="Times New Roman"/>
          <w:sz w:val="28"/>
          <w:szCs w:val="28"/>
          <w:lang w:val="en-US" w:eastAsia="ru-RU"/>
        </w:rPr>
        <w:t xml:space="preserve"> 14%. Reasons for the decrease in production </w:t>
      </w:r>
      <w:r w:rsidR="00076001" w:rsidRPr="00673D1B">
        <w:rPr>
          <w:rFonts w:ascii="Times New Roman" w:eastAsia="Times New Roman" w:hAnsi="Times New Roman"/>
          <w:sz w:val="28"/>
          <w:szCs w:val="28"/>
          <w:lang w:val="en-US" w:eastAsia="ru-RU"/>
        </w:rPr>
        <w:t>was</w:t>
      </w:r>
      <w:r w:rsidRPr="00673D1B">
        <w:rPr>
          <w:rFonts w:ascii="Times New Roman" w:eastAsia="Times New Roman" w:hAnsi="Times New Roman"/>
          <w:sz w:val="28"/>
          <w:szCs w:val="28"/>
          <w:lang w:val="en-US" w:eastAsia="ru-RU"/>
        </w:rPr>
        <w:t xml:space="preserve"> limit</w:t>
      </w:r>
      <w:r w:rsidR="00076001" w:rsidRPr="00673D1B">
        <w:rPr>
          <w:rFonts w:ascii="Times New Roman" w:eastAsia="Times New Roman" w:hAnsi="Times New Roman"/>
          <w:sz w:val="28"/>
          <w:szCs w:val="28"/>
          <w:lang w:val="en-US" w:eastAsia="ru-RU"/>
        </w:rPr>
        <w:t>ing</w:t>
      </w:r>
      <w:r w:rsidRPr="00673D1B">
        <w:rPr>
          <w:rFonts w:ascii="Times New Roman" w:eastAsia="Times New Roman" w:hAnsi="Times New Roman"/>
          <w:sz w:val="28"/>
          <w:szCs w:val="28"/>
          <w:lang w:val="en-US" w:eastAsia="ru-RU"/>
        </w:rPr>
        <w:t xml:space="preserve"> the </w:t>
      </w:r>
      <w:r w:rsidR="00076001" w:rsidRPr="00673D1B">
        <w:rPr>
          <w:rFonts w:ascii="Times New Roman" w:eastAsia="Times New Roman" w:hAnsi="Times New Roman"/>
          <w:sz w:val="28"/>
          <w:szCs w:val="28"/>
          <w:lang w:val="en-US" w:eastAsia="ru-RU"/>
        </w:rPr>
        <w:t xml:space="preserve">electricity </w:t>
      </w:r>
      <w:r w:rsidRPr="00673D1B">
        <w:rPr>
          <w:rFonts w:ascii="Times New Roman" w:eastAsia="Times New Roman" w:hAnsi="Times New Roman"/>
          <w:sz w:val="28"/>
          <w:szCs w:val="28"/>
          <w:lang w:val="en-US" w:eastAsia="ru-RU"/>
        </w:rPr>
        <w:t>supply</w:t>
      </w:r>
      <w:r w:rsidR="00076001" w:rsidRPr="00673D1B">
        <w:rPr>
          <w:rFonts w:ascii="Times New Roman" w:eastAsia="Times New Roman" w:hAnsi="Times New Roman"/>
          <w:sz w:val="28"/>
          <w:szCs w:val="28"/>
          <w:lang w:val="en-US" w:eastAsia="ru-RU"/>
        </w:rPr>
        <w:t xml:space="preserve"> by </w:t>
      </w:r>
      <w:r w:rsidRPr="00673D1B">
        <w:rPr>
          <w:rFonts w:ascii="Times New Roman" w:eastAsia="Times New Roman" w:hAnsi="Times New Roman"/>
          <w:sz w:val="28"/>
          <w:szCs w:val="28"/>
          <w:lang w:val="en-US" w:eastAsia="ru-RU"/>
        </w:rPr>
        <w:t xml:space="preserve"> "EGRES-1"</w:t>
      </w:r>
      <w:r w:rsidR="00076001" w:rsidRPr="00673D1B">
        <w:rPr>
          <w:rFonts w:ascii="Times New Roman" w:eastAsia="Times New Roman" w:hAnsi="Times New Roman"/>
          <w:sz w:val="28"/>
          <w:szCs w:val="28"/>
          <w:lang w:val="en-US" w:eastAsia="ru-RU"/>
        </w:rPr>
        <w:t xml:space="preserve"> LLP to</w:t>
      </w:r>
      <w:r w:rsidRPr="00673D1B">
        <w:rPr>
          <w:rFonts w:ascii="Times New Roman" w:eastAsia="Times New Roman" w:hAnsi="Times New Roman"/>
          <w:sz w:val="28"/>
          <w:szCs w:val="28"/>
          <w:lang w:val="en-US" w:eastAsia="ru-RU"/>
        </w:rPr>
        <w:t xml:space="preserve"> the Russian Federation in November 2014 and a decrease in the total consumption of electricity in Kazakhstan due to the crisis.</w:t>
      </w:r>
    </w:p>
    <w:p w:rsidR="00242D4B" w:rsidRPr="00673D1B" w:rsidRDefault="00242D4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Volumes of</w:t>
      </w:r>
      <w:r w:rsidR="006D750F" w:rsidRPr="00673D1B">
        <w:rPr>
          <w:rFonts w:ascii="Times New Roman" w:eastAsia="Times New Roman" w:hAnsi="Times New Roman"/>
          <w:sz w:val="28"/>
          <w:szCs w:val="28"/>
          <w:lang w:val="en-US" w:eastAsia="ru-RU"/>
        </w:rPr>
        <w:t xml:space="preserve"> heat </w:t>
      </w:r>
      <w:r w:rsidRPr="00673D1B">
        <w:rPr>
          <w:rFonts w:ascii="Times New Roman" w:eastAsia="Times New Roman" w:hAnsi="Times New Roman"/>
          <w:sz w:val="28"/>
          <w:szCs w:val="28"/>
          <w:lang w:val="en-US" w:eastAsia="ru-RU"/>
        </w:rPr>
        <w:t xml:space="preserve"> production in the plan for 2015</w:t>
      </w:r>
      <w:r w:rsidR="006D750F" w:rsidRPr="00673D1B">
        <w:rPr>
          <w:rFonts w:ascii="Times New Roman" w:eastAsia="Times New Roman" w:hAnsi="Times New Roman"/>
          <w:sz w:val="28"/>
          <w:szCs w:val="28"/>
          <w:lang w:val="en-US" w:eastAsia="ru-RU"/>
        </w:rPr>
        <w:t xml:space="preserve"> is </w:t>
      </w:r>
      <w:r w:rsidRPr="00673D1B">
        <w:rPr>
          <w:rFonts w:ascii="Times New Roman" w:eastAsia="Times New Roman" w:hAnsi="Times New Roman"/>
          <w:sz w:val="28"/>
          <w:szCs w:val="28"/>
          <w:lang w:val="en-US" w:eastAsia="ru-RU"/>
        </w:rPr>
        <w:t>at the level of 2014</w:t>
      </w:r>
      <w:r w:rsidR="006D750F" w:rsidRPr="00673D1B">
        <w:rPr>
          <w:rFonts w:ascii="Times New Roman" w:eastAsia="Times New Roman" w:hAnsi="Times New Roman"/>
          <w:sz w:val="28"/>
          <w:szCs w:val="28"/>
          <w:lang w:val="en-US" w:eastAsia="ru-RU"/>
        </w:rPr>
        <w:t xml:space="preserve"> year. In the plan for</w:t>
      </w:r>
      <w:r w:rsidRPr="00673D1B">
        <w:rPr>
          <w:rFonts w:ascii="Times New Roman" w:eastAsia="Times New Roman" w:hAnsi="Times New Roman"/>
          <w:sz w:val="28"/>
          <w:szCs w:val="28"/>
          <w:lang w:val="en-US" w:eastAsia="ru-RU"/>
        </w:rPr>
        <w:t xml:space="preserve"> 2016 </w:t>
      </w:r>
      <w:r w:rsidR="006D750F" w:rsidRPr="00673D1B">
        <w:rPr>
          <w:rFonts w:ascii="Times New Roman" w:eastAsia="Times New Roman" w:hAnsi="Times New Roman"/>
          <w:sz w:val="28"/>
          <w:szCs w:val="28"/>
          <w:lang w:val="en-US" w:eastAsia="ru-RU"/>
        </w:rPr>
        <w:t xml:space="preserve">they </w:t>
      </w:r>
      <w:r w:rsidRPr="00673D1B">
        <w:rPr>
          <w:rFonts w:ascii="Times New Roman" w:eastAsia="Times New Roman" w:hAnsi="Times New Roman"/>
          <w:sz w:val="28"/>
          <w:szCs w:val="28"/>
          <w:lang w:val="en-US" w:eastAsia="ru-RU"/>
        </w:rPr>
        <w:t>are reduced in connection with the sale of "Aktobe CHP".</w:t>
      </w:r>
    </w:p>
    <w:p w:rsidR="00242D4B" w:rsidRPr="00673D1B" w:rsidRDefault="00673D1B" w:rsidP="00242D4B">
      <w:pPr>
        <w:spacing w:after="0" w:line="240" w:lineRule="auto"/>
        <w:ind w:firstLine="708"/>
        <w:jc w:val="both"/>
        <w:rPr>
          <w:rFonts w:ascii="Times New Roman" w:eastAsia="Times New Roman" w:hAnsi="Times New Roman"/>
          <w:sz w:val="28"/>
          <w:szCs w:val="28"/>
          <w:lang w:val="en-US" w:eastAsia="ru-RU"/>
        </w:rPr>
      </w:pPr>
      <w:r w:rsidRPr="00673D1B">
        <w:rPr>
          <w:rFonts w:ascii="Times New Roman" w:eastAsia="Times New Roman" w:hAnsi="Times New Roman"/>
          <w:sz w:val="28"/>
          <w:szCs w:val="28"/>
          <w:lang w:val="en-US" w:eastAsia="ru-RU"/>
        </w:rPr>
        <w:t>The</w:t>
      </w:r>
      <w:r w:rsidR="00242D4B" w:rsidRPr="00673D1B">
        <w:rPr>
          <w:rFonts w:ascii="Times New Roman" w:eastAsia="Times New Roman" w:hAnsi="Times New Roman"/>
          <w:sz w:val="28"/>
          <w:szCs w:val="28"/>
          <w:lang w:val="en-US" w:eastAsia="ru-RU"/>
        </w:rPr>
        <w:t xml:space="preserve"> increase</w:t>
      </w:r>
      <w:r w:rsidRPr="00673D1B">
        <w:rPr>
          <w:rFonts w:ascii="Times New Roman" w:eastAsia="Times New Roman" w:hAnsi="Times New Roman"/>
          <w:sz w:val="28"/>
          <w:szCs w:val="28"/>
          <w:lang w:val="en-US" w:eastAsia="ru-RU"/>
        </w:rPr>
        <w:t xml:space="preserve"> is expected in terms of transmission and distribution of electricity in 2015 </w:t>
      </w:r>
      <w:r w:rsidR="00242D4B" w:rsidRPr="00673D1B">
        <w:rPr>
          <w:rFonts w:ascii="Times New Roman" w:eastAsia="Times New Roman" w:hAnsi="Times New Roman"/>
          <w:sz w:val="28"/>
          <w:szCs w:val="28"/>
          <w:lang w:val="en-US" w:eastAsia="ru-RU"/>
        </w:rPr>
        <w:t xml:space="preserve">due to growth </w:t>
      </w:r>
      <w:r w:rsidRPr="00673D1B">
        <w:rPr>
          <w:rFonts w:ascii="Times New Roman" w:eastAsia="Times New Roman" w:hAnsi="Times New Roman"/>
          <w:sz w:val="28"/>
          <w:szCs w:val="28"/>
          <w:lang w:val="en-US" w:eastAsia="ru-RU"/>
        </w:rPr>
        <w:t>of applications of</w:t>
      </w:r>
      <w:r w:rsidR="00242D4B" w:rsidRPr="00673D1B">
        <w:rPr>
          <w:rFonts w:ascii="Times New Roman" w:eastAsia="Times New Roman" w:hAnsi="Times New Roman"/>
          <w:sz w:val="28"/>
          <w:szCs w:val="28"/>
          <w:lang w:val="en-US" w:eastAsia="ru-RU"/>
        </w:rPr>
        <w:t xml:space="preserve"> "AZh</w:t>
      </w:r>
      <w:r w:rsidRPr="00673D1B">
        <w:rPr>
          <w:rFonts w:ascii="Times New Roman" w:eastAsia="Times New Roman" w:hAnsi="Times New Roman"/>
          <w:sz w:val="28"/>
          <w:szCs w:val="28"/>
          <w:lang w:val="en-US" w:eastAsia="ru-RU"/>
        </w:rPr>
        <w:t>C</w:t>
      </w:r>
      <w:r w:rsidR="00242D4B" w:rsidRPr="00673D1B">
        <w:rPr>
          <w:rFonts w:ascii="Times New Roman" w:eastAsia="Times New Roman" w:hAnsi="Times New Roman"/>
          <w:sz w:val="28"/>
          <w:szCs w:val="28"/>
          <w:lang w:val="en-US" w:eastAsia="ru-RU"/>
        </w:rPr>
        <w:t>"</w:t>
      </w:r>
      <w:r w:rsidRPr="00673D1B">
        <w:rPr>
          <w:rFonts w:ascii="Times New Roman" w:eastAsia="Times New Roman" w:hAnsi="Times New Roman"/>
          <w:sz w:val="28"/>
          <w:szCs w:val="28"/>
          <w:lang w:val="en-US" w:eastAsia="ru-RU"/>
        </w:rPr>
        <w:t xml:space="preserve"> JSC</w:t>
      </w:r>
      <w:r w:rsidR="00242D4B" w:rsidRPr="00673D1B">
        <w:rPr>
          <w:rFonts w:ascii="Times New Roman" w:eastAsia="Times New Roman" w:hAnsi="Times New Roman"/>
          <w:sz w:val="28"/>
          <w:szCs w:val="28"/>
          <w:lang w:val="en-US" w:eastAsia="ru-RU"/>
        </w:rPr>
        <w:t xml:space="preserve"> and "</w:t>
      </w:r>
      <w:r w:rsidRPr="00673D1B">
        <w:rPr>
          <w:rFonts w:ascii="Times New Roman" w:eastAsia="Times New Roman" w:hAnsi="Times New Roman"/>
          <w:sz w:val="28"/>
          <w:szCs w:val="28"/>
          <w:lang w:val="en-US" w:eastAsia="ru-RU"/>
        </w:rPr>
        <w:t>E</w:t>
      </w:r>
      <w:r w:rsidR="00242D4B" w:rsidRPr="00673D1B">
        <w:rPr>
          <w:rFonts w:ascii="Times New Roman" w:eastAsia="Times New Roman" w:hAnsi="Times New Roman"/>
          <w:sz w:val="28"/>
          <w:szCs w:val="28"/>
          <w:lang w:val="en-US" w:eastAsia="ru-RU"/>
        </w:rPr>
        <w:t>K</w:t>
      </w:r>
      <w:r w:rsidRPr="00673D1B">
        <w:rPr>
          <w:rFonts w:ascii="Times New Roman" w:eastAsia="Times New Roman" w:hAnsi="Times New Roman"/>
          <w:sz w:val="28"/>
          <w:szCs w:val="28"/>
          <w:lang w:val="en-US" w:eastAsia="ru-RU"/>
        </w:rPr>
        <w:t xml:space="preserve"> REC</w:t>
      </w:r>
      <w:r w:rsidR="00242D4B" w:rsidRPr="00673D1B">
        <w:rPr>
          <w:rFonts w:ascii="Times New Roman" w:eastAsia="Times New Roman" w:hAnsi="Times New Roman"/>
          <w:sz w:val="28"/>
          <w:szCs w:val="28"/>
          <w:lang w:val="en-US" w:eastAsia="ru-RU"/>
        </w:rPr>
        <w:t>"</w:t>
      </w:r>
      <w:r w:rsidRPr="00673D1B">
        <w:rPr>
          <w:rFonts w:ascii="Times New Roman" w:eastAsia="Times New Roman" w:hAnsi="Times New Roman"/>
          <w:sz w:val="28"/>
          <w:szCs w:val="28"/>
          <w:lang w:val="en-US" w:eastAsia="ru-RU"/>
        </w:rPr>
        <w:t xml:space="preserve"> JSC consumers.</w:t>
      </w:r>
      <w:r w:rsidR="00242D4B" w:rsidRPr="00673D1B">
        <w:rPr>
          <w:rFonts w:ascii="Times New Roman" w:eastAsia="Times New Roman" w:hAnsi="Times New Roman"/>
          <w:sz w:val="28"/>
          <w:szCs w:val="28"/>
          <w:lang w:val="en-US" w:eastAsia="ru-RU"/>
        </w:rPr>
        <w:t xml:space="preserve"> </w:t>
      </w:r>
      <w:r w:rsidRPr="00673D1B">
        <w:rPr>
          <w:rFonts w:ascii="Times New Roman" w:eastAsia="Times New Roman" w:hAnsi="Times New Roman"/>
          <w:sz w:val="28"/>
          <w:szCs w:val="28"/>
          <w:lang w:val="en-US" w:eastAsia="ru-RU"/>
        </w:rPr>
        <w:t xml:space="preserve"> In t</w:t>
      </w:r>
      <w:r w:rsidR="00242D4B" w:rsidRPr="00673D1B">
        <w:rPr>
          <w:rFonts w:ascii="Times New Roman" w:eastAsia="Times New Roman" w:hAnsi="Times New Roman"/>
          <w:sz w:val="28"/>
          <w:szCs w:val="28"/>
          <w:lang w:val="en-US" w:eastAsia="ru-RU"/>
        </w:rPr>
        <w:t xml:space="preserve">he forecast for 2016 </w:t>
      </w:r>
      <w:r w:rsidRPr="00673D1B">
        <w:rPr>
          <w:rFonts w:ascii="Times New Roman" w:eastAsia="Times New Roman" w:hAnsi="Times New Roman"/>
          <w:sz w:val="28"/>
          <w:szCs w:val="28"/>
          <w:lang w:val="en-US" w:eastAsia="ru-RU"/>
        </w:rPr>
        <w:t>transmission and distribution volumes will</w:t>
      </w:r>
      <w:r w:rsidR="00242D4B" w:rsidRPr="00673D1B">
        <w:rPr>
          <w:rFonts w:ascii="Times New Roman" w:eastAsia="Times New Roman" w:hAnsi="Times New Roman"/>
          <w:sz w:val="28"/>
          <w:szCs w:val="28"/>
          <w:lang w:val="en-US" w:eastAsia="ru-RU"/>
        </w:rPr>
        <w:t xml:space="preserve"> reduce in connection with the planned </w:t>
      </w:r>
      <w:r w:rsidRPr="00673D1B">
        <w:rPr>
          <w:rFonts w:ascii="Times New Roman" w:eastAsia="Times New Roman" w:hAnsi="Times New Roman"/>
          <w:sz w:val="28"/>
          <w:szCs w:val="28"/>
          <w:lang w:val="en-US" w:eastAsia="ru-RU"/>
        </w:rPr>
        <w:t>sale</w:t>
      </w:r>
      <w:r w:rsidR="00242D4B" w:rsidRPr="00673D1B">
        <w:rPr>
          <w:rFonts w:ascii="Times New Roman" w:eastAsia="Times New Roman" w:hAnsi="Times New Roman"/>
          <w:sz w:val="28"/>
          <w:szCs w:val="28"/>
          <w:lang w:val="en-US" w:eastAsia="ru-RU"/>
        </w:rPr>
        <w:t xml:space="preserve"> of "</w:t>
      </w:r>
      <w:r w:rsidRPr="00673D1B">
        <w:rPr>
          <w:rFonts w:ascii="Times New Roman" w:eastAsia="Times New Roman" w:hAnsi="Times New Roman"/>
          <w:sz w:val="28"/>
          <w:szCs w:val="28"/>
          <w:lang w:val="en-US" w:eastAsia="ru-RU"/>
        </w:rPr>
        <w:t>E</w:t>
      </w:r>
      <w:r w:rsidR="00242D4B" w:rsidRPr="00673D1B">
        <w:rPr>
          <w:rFonts w:ascii="Times New Roman" w:eastAsia="Times New Roman" w:hAnsi="Times New Roman"/>
          <w:sz w:val="28"/>
          <w:szCs w:val="28"/>
          <w:lang w:val="en-US" w:eastAsia="ru-RU"/>
        </w:rPr>
        <w:t>K</w:t>
      </w:r>
      <w:r w:rsidRPr="00673D1B">
        <w:rPr>
          <w:rFonts w:ascii="Times New Roman" w:eastAsia="Times New Roman" w:hAnsi="Times New Roman"/>
          <w:sz w:val="28"/>
          <w:szCs w:val="28"/>
          <w:lang w:val="en-US" w:eastAsia="ru-RU"/>
        </w:rPr>
        <w:t xml:space="preserve"> REC”</w:t>
      </w:r>
      <w:r w:rsidR="00242D4B" w:rsidRPr="00673D1B">
        <w:rPr>
          <w:rFonts w:ascii="Times New Roman" w:eastAsia="Times New Roman" w:hAnsi="Times New Roman"/>
          <w:sz w:val="28"/>
          <w:szCs w:val="28"/>
          <w:lang w:val="en-US" w:eastAsia="ru-RU"/>
        </w:rPr>
        <w:t xml:space="preserve"> and </w:t>
      </w:r>
      <w:r w:rsidRPr="00673D1B">
        <w:rPr>
          <w:rFonts w:ascii="Times New Roman" w:eastAsia="Times New Roman" w:hAnsi="Times New Roman"/>
          <w:sz w:val="28"/>
          <w:szCs w:val="28"/>
          <w:lang w:val="en-US" w:eastAsia="ru-RU"/>
        </w:rPr>
        <w:t xml:space="preserve">“MDPGC” JSCs. </w:t>
      </w:r>
    </w:p>
    <w:p w:rsidR="00DA51D7" w:rsidRPr="007C00FB" w:rsidRDefault="00242D4B" w:rsidP="00242D4B">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 xml:space="preserve">The volume of </w:t>
      </w:r>
      <w:r w:rsidR="007C00FB" w:rsidRPr="007C00FB">
        <w:rPr>
          <w:rFonts w:ascii="Times New Roman" w:eastAsia="Times New Roman" w:hAnsi="Times New Roman"/>
          <w:sz w:val="28"/>
          <w:szCs w:val="28"/>
          <w:lang w:val="en-US" w:eastAsia="ru-RU"/>
        </w:rPr>
        <w:t xml:space="preserve">coal </w:t>
      </w:r>
      <w:r w:rsidRPr="007C00FB">
        <w:rPr>
          <w:rFonts w:ascii="Times New Roman" w:eastAsia="Times New Roman" w:hAnsi="Times New Roman"/>
          <w:sz w:val="28"/>
          <w:szCs w:val="28"/>
          <w:lang w:val="en-US" w:eastAsia="ru-RU"/>
        </w:rPr>
        <w:t>sale in the forecast for 2015</w:t>
      </w:r>
      <w:r w:rsidR="00434404" w:rsidRPr="007C00FB">
        <w:rPr>
          <w:rFonts w:ascii="Times New Roman" w:eastAsia="Times New Roman" w:hAnsi="Times New Roman"/>
          <w:sz w:val="28"/>
          <w:szCs w:val="28"/>
          <w:lang w:val="en-US" w:eastAsia="ru-RU"/>
        </w:rPr>
        <w:t xml:space="preserve"> is lower by 1 mln.tons or lower than 3% of the 2014 fact due</w:t>
      </w:r>
      <w:r w:rsidRPr="007C00FB">
        <w:rPr>
          <w:rFonts w:ascii="Times New Roman" w:eastAsia="Times New Roman" w:hAnsi="Times New Roman"/>
          <w:sz w:val="28"/>
          <w:szCs w:val="28"/>
          <w:lang w:val="en-US" w:eastAsia="ru-RU"/>
        </w:rPr>
        <w:t xml:space="preserve"> to </w:t>
      </w:r>
      <w:r w:rsidR="00434404" w:rsidRPr="007C00FB">
        <w:rPr>
          <w:rFonts w:ascii="Times New Roman" w:eastAsia="Times New Roman" w:hAnsi="Times New Roman"/>
          <w:sz w:val="28"/>
          <w:szCs w:val="28"/>
          <w:lang w:val="en-US" w:eastAsia="ru-RU"/>
        </w:rPr>
        <w:t>reduction of</w:t>
      </w:r>
      <w:r w:rsidRPr="007C00FB">
        <w:rPr>
          <w:rFonts w:ascii="Times New Roman" w:eastAsia="Times New Roman" w:hAnsi="Times New Roman"/>
          <w:sz w:val="28"/>
          <w:szCs w:val="28"/>
          <w:lang w:val="en-US" w:eastAsia="ru-RU"/>
        </w:rPr>
        <w:t xml:space="preserve"> coal consumption forecast </w:t>
      </w:r>
      <w:r w:rsidR="00434404" w:rsidRPr="007C00FB">
        <w:rPr>
          <w:rFonts w:ascii="Times New Roman" w:eastAsia="Times New Roman" w:hAnsi="Times New Roman"/>
          <w:sz w:val="28"/>
          <w:szCs w:val="28"/>
          <w:lang w:val="en-US" w:eastAsia="ru-RU"/>
        </w:rPr>
        <w:t xml:space="preserve">by </w:t>
      </w:r>
      <w:r w:rsidRPr="007C00FB">
        <w:rPr>
          <w:rFonts w:ascii="Times New Roman" w:eastAsia="Times New Roman" w:hAnsi="Times New Roman"/>
          <w:sz w:val="28"/>
          <w:szCs w:val="28"/>
          <w:lang w:val="en-US" w:eastAsia="ru-RU"/>
        </w:rPr>
        <w:t>key customers such as</w:t>
      </w:r>
      <w:r w:rsidR="00434404" w:rsidRPr="007C00FB">
        <w:rPr>
          <w:rFonts w:ascii="Times New Roman" w:eastAsia="Times New Roman" w:hAnsi="Times New Roman"/>
          <w:sz w:val="28"/>
          <w:szCs w:val="28"/>
          <w:lang w:val="en-US" w:eastAsia="ru-RU"/>
        </w:rPr>
        <w:t xml:space="preserve"> Ekibastuz</w:t>
      </w:r>
      <w:r w:rsidRPr="007C00FB">
        <w:rPr>
          <w:rFonts w:ascii="Times New Roman" w:eastAsia="Times New Roman" w:hAnsi="Times New Roman"/>
          <w:sz w:val="28"/>
          <w:szCs w:val="28"/>
          <w:lang w:val="en-US" w:eastAsia="ru-RU"/>
        </w:rPr>
        <w:t xml:space="preserve"> GRES-1 </w:t>
      </w:r>
      <w:r w:rsidR="00434404" w:rsidRPr="007C00FB">
        <w:rPr>
          <w:rFonts w:ascii="Times New Roman" w:eastAsia="Times New Roman" w:hAnsi="Times New Roman"/>
          <w:sz w:val="28"/>
          <w:szCs w:val="28"/>
          <w:lang w:val="en-US" w:eastAsia="ru-RU"/>
        </w:rPr>
        <w:t xml:space="preserve">and </w:t>
      </w:r>
      <w:r w:rsidRPr="007C00FB">
        <w:rPr>
          <w:rFonts w:ascii="Times New Roman" w:eastAsia="Times New Roman" w:hAnsi="Times New Roman"/>
          <w:sz w:val="28"/>
          <w:szCs w:val="28"/>
          <w:lang w:val="en-US" w:eastAsia="ru-RU"/>
        </w:rPr>
        <w:t xml:space="preserve">power plant </w:t>
      </w:r>
      <w:r w:rsidR="00434404" w:rsidRPr="007C00FB">
        <w:rPr>
          <w:rFonts w:ascii="Times New Roman" w:eastAsia="Times New Roman" w:hAnsi="Times New Roman"/>
          <w:sz w:val="28"/>
          <w:szCs w:val="28"/>
          <w:lang w:val="en-US" w:eastAsia="ru-RU"/>
        </w:rPr>
        <w:t xml:space="preserve">of </w:t>
      </w:r>
      <w:r w:rsidRPr="007C00FB">
        <w:rPr>
          <w:rFonts w:ascii="Times New Roman" w:eastAsia="Times New Roman" w:hAnsi="Times New Roman"/>
          <w:sz w:val="28"/>
          <w:szCs w:val="28"/>
          <w:lang w:val="en-US" w:eastAsia="ru-RU"/>
        </w:rPr>
        <w:t xml:space="preserve">the Russian Federation, taking into account </w:t>
      </w:r>
      <w:r w:rsidR="00434404" w:rsidRPr="007C00FB">
        <w:rPr>
          <w:rFonts w:ascii="Times New Roman" w:eastAsia="Times New Roman" w:hAnsi="Times New Roman"/>
          <w:sz w:val="28"/>
          <w:szCs w:val="28"/>
          <w:lang w:val="en-US" w:eastAsia="ru-RU"/>
        </w:rPr>
        <w:t>the RF power</w:t>
      </w:r>
      <w:r w:rsidRPr="007C00FB">
        <w:rPr>
          <w:rFonts w:ascii="Times New Roman" w:eastAsia="Times New Roman" w:hAnsi="Times New Roman"/>
          <w:sz w:val="28"/>
          <w:szCs w:val="28"/>
          <w:lang w:val="en-US" w:eastAsia="ru-RU"/>
        </w:rPr>
        <w:t xml:space="preserve"> plan</w:t>
      </w:r>
      <w:r w:rsidR="00434404" w:rsidRPr="007C00FB">
        <w:rPr>
          <w:rFonts w:ascii="Times New Roman" w:eastAsia="Times New Roman" w:hAnsi="Times New Roman"/>
          <w:sz w:val="28"/>
          <w:szCs w:val="28"/>
          <w:lang w:val="en-US" w:eastAsia="ru-RU"/>
        </w:rPr>
        <w:t>t</w:t>
      </w:r>
      <w:r w:rsidRPr="007C00FB">
        <w:rPr>
          <w:rFonts w:ascii="Times New Roman" w:eastAsia="Times New Roman" w:hAnsi="Times New Roman"/>
          <w:sz w:val="28"/>
          <w:szCs w:val="28"/>
          <w:lang w:val="en-US" w:eastAsia="ru-RU"/>
        </w:rPr>
        <w:t>s</w:t>
      </w:r>
      <w:r w:rsidR="00434404" w:rsidRPr="007C00FB">
        <w:rPr>
          <w:rFonts w:ascii="Times New Roman" w:eastAsia="Times New Roman" w:hAnsi="Times New Roman"/>
          <w:sz w:val="28"/>
          <w:szCs w:val="28"/>
          <w:lang w:val="en-US" w:eastAsia="ru-RU"/>
        </w:rPr>
        <w:t>’ plans</w:t>
      </w:r>
      <w:r w:rsidRPr="007C00FB">
        <w:rPr>
          <w:rFonts w:ascii="Times New Roman" w:eastAsia="Times New Roman" w:hAnsi="Times New Roman"/>
          <w:sz w:val="28"/>
          <w:szCs w:val="28"/>
          <w:lang w:val="en-US" w:eastAsia="ru-RU"/>
        </w:rPr>
        <w:t xml:space="preserve"> for </w:t>
      </w:r>
      <w:r w:rsidR="00434404" w:rsidRPr="007C00FB">
        <w:rPr>
          <w:rFonts w:ascii="Times New Roman" w:eastAsia="Times New Roman" w:hAnsi="Times New Roman"/>
          <w:sz w:val="28"/>
          <w:szCs w:val="28"/>
          <w:lang w:val="en-US" w:eastAsia="ru-RU"/>
        </w:rPr>
        <w:t>rem</w:t>
      </w:r>
      <w:r w:rsidRPr="007C00FB">
        <w:rPr>
          <w:rFonts w:ascii="Times New Roman" w:eastAsia="Times New Roman" w:hAnsi="Times New Roman"/>
          <w:sz w:val="28"/>
          <w:szCs w:val="28"/>
          <w:lang w:val="en-US" w:eastAsia="ru-RU"/>
        </w:rPr>
        <w:t>o</w:t>
      </w:r>
      <w:r w:rsidR="00434404" w:rsidRPr="007C00FB">
        <w:rPr>
          <w:rFonts w:ascii="Times New Roman" w:eastAsia="Times New Roman" w:hAnsi="Times New Roman"/>
          <w:sz w:val="28"/>
          <w:szCs w:val="28"/>
          <w:lang w:val="en-US" w:eastAsia="ru-RU"/>
        </w:rPr>
        <w:t>ving from service</w:t>
      </w:r>
      <w:r w:rsidR="007C00FB" w:rsidRPr="007C00FB">
        <w:rPr>
          <w:rFonts w:ascii="Times New Roman" w:eastAsia="Times New Roman" w:hAnsi="Times New Roman"/>
          <w:sz w:val="28"/>
          <w:szCs w:val="28"/>
          <w:lang w:val="en-US" w:eastAsia="ru-RU"/>
        </w:rPr>
        <w:t xml:space="preserve"> of boilers</w:t>
      </w:r>
      <w:r w:rsidRPr="007C00FB">
        <w:rPr>
          <w:rFonts w:ascii="Times New Roman" w:eastAsia="Times New Roman" w:hAnsi="Times New Roman"/>
          <w:sz w:val="28"/>
          <w:szCs w:val="28"/>
          <w:lang w:val="en-US" w:eastAsia="ru-RU"/>
        </w:rPr>
        <w:t xml:space="preserve"> which</w:t>
      </w:r>
      <w:r w:rsidR="007C00FB" w:rsidRPr="007C00FB">
        <w:rPr>
          <w:rFonts w:ascii="Times New Roman" w:eastAsia="Times New Roman" w:hAnsi="Times New Roman"/>
          <w:sz w:val="28"/>
          <w:szCs w:val="28"/>
          <w:lang w:val="en-US" w:eastAsia="ru-RU"/>
        </w:rPr>
        <w:t xml:space="preserve"> uses</w:t>
      </w:r>
      <w:r w:rsidRPr="007C00FB">
        <w:rPr>
          <w:rFonts w:ascii="Times New Roman" w:eastAsia="Times New Roman" w:hAnsi="Times New Roman"/>
          <w:sz w:val="28"/>
          <w:szCs w:val="28"/>
          <w:lang w:val="en-US" w:eastAsia="ru-RU"/>
        </w:rPr>
        <w:t xml:space="preserve"> Ekibastuz coal.</w:t>
      </w:r>
      <w:r w:rsidR="007C00FB" w:rsidRPr="007C00FB">
        <w:rPr>
          <w:rFonts w:ascii="Times New Roman" w:eastAsia="Times New Roman" w:hAnsi="Times New Roman"/>
          <w:sz w:val="28"/>
          <w:szCs w:val="28"/>
          <w:lang w:val="en-US" w:eastAsia="ru-RU"/>
        </w:rPr>
        <w:t xml:space="preserve"> In the </w:t>
      </w:r>
      <w:r w:rsidRPr="007C00FB">
        <w:rPr>
          <w:rFonts w:ascii="Times New Roman" w:eastAsia="Times New Roman" w:hAnsi="Times New Roman"/>
          <w:sz w:val="28"/>
          <w:szCs w:val="28"/>
          <w:lang w:val="en-US" w:eastAsia="ru-RU"/>
        </w:rPr>
        <w:t xml:space="preserve">forecast for 2016 coal sale volume </w:t>
      </w:r>
      <w:r w:rsidR="007C00FB" w:rsidRPr="007C00FB">
        <w:rPr>
          <w:rFonts w:ascii="Times New Roman" w:eastAsia="Times New Roman" w:hAnsi="Times New Roman"/>
          <w:sz w:val="28"/>
          <w:szCs w:val="28"/>
          <w:lang w:val="en-US" w:eastAsia="ru-RU"/>
        </w:rPr>
        <w:t xml:space="preserve">is </w:t>
      </w:r>
      <w:r w:rsidRPr="007C00FB">
        <w:rPr>
          <w:rFonts w:ascii="Times New Roman" w:eastAsia="Times New Roman" w:hAnsi="Times New Roman"/>
          <w:sz w:val="28"/>
          <w:szCs w:val="28"/>
          <w:lang w:val="en-US" w:eastAsia="ru-RU"/>
        </w:rPr>
        <w:t>increased</w:t>
      </w:r>
      <w:r w:rsidR="007C00FB" w:rsidRPr="007C00FB">
        <w:rPr>
          <w:rFonts w:ascii="Times New Roman" w:eastAsia="Times New Roman" w:hAnsi="Times New Roman"/>
          <w:sz w:val="28"/>
          <w:szCs w:val="28"/>
          <w:lang w:val="en-US" w:eastAsia="ru-RU"/>
        </w:rPr>
        <w:t xml:space="preserve"> by 5% or 2 million tons by 2015. Volumes of</w:t>
      </w:r>
      <w:r w:rsidRPr="007C00FB">
        <w:rPr>
          <w:rFonts w:ascii="Times New Roman" w:eastAsia="Times New Roman" w:hAnsi="Times New Roman"/>
          <w:sz w:val="28"/>
          <w:szCs w:val="28"/>
          <w:lang w:val="en-US" w:eastAsia="ru-RU"/>
        </w:rPr>
        <w:t xml:space="preserve"> production and sale of coal </w:t>
      </w:r>
      <w:r w:rsidR="007C00FB" w:rsidRPr="007C00FB">
        <w:rPr>
          <w:rFonts w:ascii="Times New Roman" w:eastAsia="Times New Roman" w:hAnsi="Times New Roman"/>
          <w:sz w:val="28"/>
          <w:szCs w:val="28"/>
          <w:lang w:val="en-US" w:eastAsia="ru-RU"/>
        </w:rPr>
        <w:t>for 2015-2016 are provided taking into account</w:t>
      </w:r>
      <w:r w:rsidRPr="007C00FB">
        <w:rPr>
          <w:rFonts w:ascii="Times New Roman" w:eastAsia="Times New Roman" w:hAnsi="Times New Roman"/>
          <w:sz w:val="28"/>
          <w:szCs w:val="28"/>
          <w:lang w:val="en-US" w:eastAsia="ru-RU"/>
        </w:rPr>
        <w:t xml:space="preserve"> the forecast volumes of electricity </w:t>
      </w:r>
      <w:r w:rsidR="007C00FB" w:rsidRPr="007C00FB">
        <w:rPr>
          <w:rFonts w:ascii="Times New Roman" w:eastAsia="Times New Roman" w:hAnsi="Times New Roman"/>
          <w:sz w:val="28"/>
          <w:szCs w:val="28"/>
          <w:lang w:val="en-US" w:eastAsia="ru-RU"/>
        </w:rPr>
        <w:t xml:space="preserve">generation </w:t>
      </w:r>
      <w:r w:rsidRPr="007C00FB">
        <w:rPr>
          <w:rFonts w:ascii="Times New Roman" w:eastAsia="Times New Roman" w:hAnsi="Times New Roman"/>
          <w:sz w:val="28"/>
          <w:szCs w:val="28"/>
          <w:lang w:val="en-US" w:eastAsia="ru-RU"/>
        </w:rPr>
        <w:t>in Kazakhstan and Russia.</w:t>
      </w:r>
    </w:p>
    <w:p w:rsidR="007C00FB" w:rsidRPr="007C00FB" w:rsidRDefault="007C00FB" w:rsidP="007C00FB">
      <w:pPr>
        <w:spacing w:after="0" w:line="240" w:lineRule="auto"/>
        <w:ind w:firstLine="708"/>
        <w:jc w:val="both"/>
        <w:rPr>
          <w:rFonts w:ascii="Times New Roman" w:eastAsia="Times New Roman" w:hAnsi="Times New Roman"/>
          <w:b/>
          <w:sz w:val="28"/>
          <w:szCs w:val="28"/>
          <w:lang w:val="en-US" w:eastAsia="ru-RU"/>
        </w:rPr>
      </w:pPr>
      <w:r w:rsidRPr="007C00FB">
        <w:rPr>
          <w:rFonts w:ascii="Times New Roman" w:eastAsia="Times New Roman" w:hAnsi="Times New Roman"/>
          <w:b/>
          <w:sz w:val="28"/>
          <w:szCs w:val="28"/>
          <w:lang w:val="en-US" w:eastAsia="ru-RU"/>
        </w:rPr>
        <w:lastRenderedPageBreak/>
        <w:t>"Samruk-Energ</w:t>
      </w:r>
      <w:r>
        <w:rPr>
          <w:rFonts w:ascii="Times New Roman" w:eastAsia="Times New Roman" w:hAnsi="Times New Roman"/>
          <w:b/>
          <w:sz w:val="28"/>
          <w:szCs w:val="28"/>
          <w:lang w:val="en-US" w:eastAsia="ru-RU"/>
        </w:rPr>
        <w:t>y</w:t>
      </w:r>
      <w:r w:rsidRPr="007C00FB">
        <w:rPr>
          <w:rFonts w:ascii="Times New Roman" w:eastAsia="Times New Roman" w:hAnsi="Times New Roman"/>
          <w:b/>
          <w:sz w:val="28"/>
          <w:szCs w:val="28"/>
          <w:lang w:val="en-US" w:eastAsia="ru-RU"/>
        </w:rPr>
        <w:t>"</w:t>
      </w:r>
      <w:r>
        <w:rPr>
          <w:rFonts w:ascii="Times New Roman" w:eastAsia="Times New Roman" w:hAnsi="Times New Roman"/>
          <w:b/>
          <w:sz w:val="28"/>
          <w:szCs w:val="28"/>
          <w:lang w:val="en-US" w:eastAsia="ru-RU"/>
        </w:rPr>
        <w:t xml:space="preserve"> JSC</w:t>
      </w:r>
      <w:r w:rsidRPr="007C00FB">
        <w:rPr>
          <w:rFonts w:ascii="Times New Roman" w:eastAsia="Times New Roman" w:hAnsi="Times New Roman"/>
          <w:b/>
          <w:sz w:val="28"/>
          <w:szCs w:val="28"/>
          <w:lang w:val="en-US" w:eastAsia="ru-RU"/>
        </w:rPr>
        <w:t xml:space="preserve"> Tariff policy</w:t>
      </w:r>
    </w:p>
    <w:p w:rsidR="007C00FB" w:rsidRPr="007C00FB" w:rsidRDefault="007C00FB" w:rsidP="007C00FB">
      <w:pPr>
        <w:spacing w:after="0" w:line="240" w:lineRule="auto"/>
        <w:ind w:firstLine="708"/>
        <w:jc w:val="both"/>
        <w:rPr>
          <w:rFonts w:ascii="Times New Roman" w:eastAsia="Times New Roman" w:hAnsi="Times New Roman"/>
          <w:sz w:val="28"/>
          <w:szCs w:val="28"/>
          <w:lang w:val="en-US" w:eastAsia="ru-RU"/>
        </w:rPr>
      </w:pPr>
    </w:p>
    <w:p w:rsidR="007C00FB" w:rsidRPr="007C00FB" w:rsidRDefault="009F564E" w:rsidP="007C00FB">
      <w:pPr>
        <w:spacing w:after="0" w:line="240" w:lineRule="auto"/>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D</w:t>
      </w:r>
      <w:r w:rsidR="007C00FB" w:rsidRPr="007C00FB">
        <w:rPr>
          <w:rFonts w:ascii="Times New Roman" w:eastAsia="Times New Roman" w:hAnsi="Times New Roman"/>
          <w:sz w:val="28"/>
          <w:szCs w:val="28"/>
          <w:lang w:val="en-US" w:eastAsia="ru-RU"/>
        </w:rPr>
        <w:t>epending on the type of</w:t>
      </w:r>
      <w:r w:rsidR="00D3384A">
        <w:rPr>
          <w:rFonts w:ascii="Times New Roman" w:eastAsia="Times New Roman" w:hAnsi="Times New Roman"/>
          <w:sz w:val="28"/>
          <w:szCs w:val="28"/>
          <w:lang w:val="en-US" w:eastAsia="ru-RU"/>
        </w:rPr>
        <w:t xml:space="preserve"> activity of </w:t>
      </w:r>
      <w:r w:rsidR="007C00FB" w:rsidRPr="007C00FB">
        <w:rPr>
          <w:rFonts w:ascii="Times New Roman" w:eastAsia="Times New Roman" w:hAnsi="Times New Roman"/>
          <w:sz w:val="28"/>
          <w:szCs w:val="28"/>
          <w:lang w:val="en-US" w:eastAsia="ru-RU"/>
        </w:rPr>
        <w:t xml:space="preserve"> energy companies, </w:t>
      </w:r>
      <w:r>
        <w:rPr>
          <w:rFonts w:ascii="Times New Roman" w:eastAsia="Times New Roman" w:hAnsi="Times New Roman"/>
          <w:sz w:val="28"/>
          <w:szCs w:val="28"/>
          <w:lang w:val="en-US" w:eastAsia="ru-RU"/>
        </w:rPr>
        <w:t>t</w:t>
      </w:r>
      <w:r w:rsidRPr="007C00FB">
        <w:rPr>
          <w:rFonts w:ascii="Times New Roman" w:eastAsia="Times New Roman" w:hAnsi="Times New Roman"/>
          <w:sz w:val="28"/>
          <w:szCs w:val="28"/>
          <w:lang w:val="en-US" w:eastAsia="ru-RU"/>
        </w:rPr>
        <w:t xml:space="preserve">ariff regulation </w:t>
      </w:r>
      <w:r w:rsidR="00D3384A">
        <w:rPr>
          <w:rFonts w:ascii="Times New Roman" w:eastAsia="Times New Roman" w:hAnsi="Times New Roman"/>
          <w:sz w:val="28"/>
          <w:szCs w:val="28"/>
          <w:lang w:val="en-US" w:eastAsia="ru-RU"/>
        </w:rPr>
        <w:t xml:space="preserve">pertains to </w:t>
      </w:r>
      <w:r w:rsidR="007C00FB" w:rsidRPr="007C00FB">
        <w:rPr>
          <w:rFonts w:ascii="Times New Roman" w:eastAsia="Times New Roman" w:hAnsi="Times New Roman"/>
          <w:sz w:val="28"/>
          <w:szCs w:val="28"/>
          <w:lang w:val="en-US" w:eastAsia="ru-RU"/>
        </w:rPr>
        <w:t xml:space="preserve">the competence of the Committee on Regulation of Natural Monopolies and Protection of Competition of </w:t>
      </w:r>
      <w:r w:rsidR="00D3384A">
        <w:rPr>
          <w:rFonts w:ascii="Times New Roman" w:eastAsia="Times New Roman" w:hAnsi="Times New Roman"/>
          <w:sz w:val="28"/>
          <w:szCs w:val="28"/>
          <w:lang w:val="en-US" w:eastAsia="ru-RU"/>
        </w:rPr>
        <w:t xml:space="preserve"> the Republic of </w:t>
      </w:r>
      <w:r w:rsidR="00D3384A" w:rsidRPr="007C00FB">
        <w:rPr>
          <w:rFonts w:ascii="Times New Roman" w:eastAsia="Times New Roman" w:hAnsi="Times New Roman"/>
          <w:sz w:val="28"/>
          <w:szCs w:val="28"/>
          <w:lang w:val="en-US" w:eastAsia="ru-RU"/>
        </w:rPr>
        <w:t xml:space="preserve">Kazakhstan </w:t>
      </w:r>
      <w:r w:rsidR="007C00FB" w:rsidRPr="007C00FB">
        <w:rPr>
          <w:rFonts w:ascii="Times New Roman" w:eastAsia="Times New Roman" w:hAnsi="Times New Roman"/>
          <w:sz w:val="28"/>
          <w:szCs w:val="28"/>
          <w:lang w:val="en-US" w:eastAsia="ru-RU"/>
        </w:rPr>
        <w:t>Ministry of National Economy (hereinafter - the Committee) or the Ministry of Energy of</w:t>
      </w:r>
      <w:r w:rsidR="00D3384A">
        <w:rPr>
          <w:rFonts w:ascii="Times New Roman" w:eastAsia="Times New Roman" w:hAnsi="Times New Roman"/>
          <w:sz w:val="28"/>
          <w:szCs w:val="28"/>
          <w:lang w:val="en-US" w:eastAsia="ru-RU"/>
        </w:rPr>
        <w:t xml:space="preserve"> the Republic of </w:t>
      </w:r>
      <w:r w:rsidR="007C00FB" w:rsidRPr="007C00FB">
        <w:rPr>
          <w:rFonts w:ascii="Times New Roman" w:eastAsia="Times New Roman" w:hAnsi="Times New Roman"/>
          <w:sz w:val="28"/>
          <w:szCs w:val="28"/>
          <w:lang w:val="en-US" w:eastAsia="ru-RU"/>
        </w:rPr>
        <w:t>Kazakhstan.</w:t>
      </w:r>
    </w:p>
    <w:p w:rsidR="007C00FB" w:rsidRPr="007C00FB" w:rsidRDefault="00BD2B19" w:rsidP="007C00FB">
      <w:pPr>
        <w:spacing w:after="0" w:line="240" w:lineRule="auto"/>
        <w:ind w:firstLine="708"/>
        <w:jc w:val="both"/>
        <w:rPr>
          <w:rFonts w:ascii="Times New Roman" w:eastAsia="Times New Roman" w:hAnsi="Times New Roman"/>
          <w:sz w:val="28"/>
          <w:szCs w:val="28"/>
          <w:lang w:val="en-US" w:eastAsia="ru-RU"/>
        </w:rPr>
      </w:pPr>
      <w:r>
        <w:rPr>
          <w:rFonts w:ascii="Times New Roman" w:eastAsia="Times New Roman" w:hAnsi="Times New Roman"/>
          <w:b/>
          <w:sz w:val="28"/>
          <w:szCs w:val="28"/>
          <w:lang w:val="en-US" w:eastAsia="ru-RU"/>
        </w:rPr>
        <w:t>Tariffs</w:t>
      </w:r>
      <w:r w:rsidR="007C00FB" w:rsidRPr="00BD2B19">
        <w:rPr>
          <w:rFonts w:ascii="Times New Roman" w:eastAsia="Times New Roman" w:hAnsi="Times New Roman"/>
          <w:b/>
          <w:sz w:val="28"/>
          <w:szCs w:val="28"/>
          <w:lang w:val="en-US" w:eastAsia="ru-RU"/>
        </w:rPr>
        <w:t xml:space="preserve"> for </w:t>
      </w:r>
      <w:r>
        <w:rPr>
          <w:rFonts w:ascii="Times New Roman" w:eastAsia="Times New Roman" w:hAnsi="Times New Roman"/>
          <w:b/>
          <w:sz w:val="28"/>
          <w:szCs w:val="28"/>
          <w:lang w:val="en-US" w:eastAsia="ru-RU"/>
        </w:rPr>
        <w:t>power</w:t>
      </w:r>
      <w:r w:rsidR="007C00FB" w:rsidRPr="00BD2B19">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val="en-US" w:eastAsia="ru-RU"/>
        </w:rPr>
        <w:t>generating companies</w:t>
      </w:r>
      <w:r w:rsidR="007C00FB" w:rsidRPr="00BD2B19">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val="en-US" w:eastAsia="ru-RU"/>
        </w:rPr>
        <w:t>P</w:t>
      </w:r>
      <w:r w:rsidR="00A15832">
        <w:rPr>
          <w:rFonts w:ascii="Times New Roman" w:eastAsia="Times New Roman" w:hAnsi="Times New Roman"/>
          <w:b/>
          <w:sz w:val="28"/>
          <w:szCs w:val="28"/>
          <w:lang w:val="en-US" w:eastAsia="ru-RU"/>
        </w:rPr>
        <w:t>GC</w:t>
      </w:r>
      <w:r w:rsidR="007C00FB" w:rsidRPr="00BD2B19">
        <w:rPr>
          <w:rFonts w:ascii="Times New Roman" w:eastAsia="Times New Roman" w:hAnsi="Times New Roman"/>
          <w:b/>
          <w:sz w:val="28"/>
          <w:szCs w:val="28"/>
          <w:lang w:val="en-US" w:eastAsia="ru-RU"/>
        </w:rPr>
        <w:t xml:space="preserve">) </w:t>
      </w:r>
      <w:r w:rsidR="007C00FB" w:rsidRPr="007C00FB">
        <w:rPr>
          <w:rFonts w:ascii="Times New Roman" w:eastAsia="Times New Roman" w:hAnsi="Times New Roman"/>
          <w:sz w:val="28"/>
          <w:szCs w:val="28"/>
          <w:lang w:val="en-US" w:eastAsia="ru-RU"/>
        </w:rPr>
        <w:t>appro</w:t>
      </w:r>
      <w:r>
        <w:rPr>
          <w:rFonts w:ascii="Times New Roman" w:eastAsia="Times New Roman" w:hAnsi="Times New Roman"/>
          <w:sz w:val="28"/>
          <w:szCs w:val="28"/>
          <w:lang w:val="en-US" w:eastAsia="ru-RU"/>
        </w:rPr>
        <w:t xml:space="preserve">ved by </w:t>
      </w:r>
      <w:r w:rsidR="009F564E">
        <w:rPr>
          <w:rFonts w:ascii="Times New Roman" w:eastAsia="Times New Roman" w:hAnsi="Times New Roman"/>
          <w:sz w:val="28"/>
          <w:szCs w:val="28"/>
          <w:lang w:val="en-US" w:eastAsia="ru-RU"/>
        </w:rPr>
        <w:t xml:space="preserve">the </w:t>
      </w:r>
      <w:r>
        <w:rPr>
          <w:rFonts w:ascii="Times New Roman" w:eastAsia="Times New Roman" w:hAnsi="Times New Roman"/>
          <w:sz w:val="28"/>
          <w:szCs w:val="28"/>
          <w:lang w:val="en-US" w:eastAsia="ru-RU"/>
        </w:rPr>
        <w:t>Government for</w:t>
      </w:r>
      <w:r w:rsidR="007C00FB" w:rsidRPr="007C00FB">
        <w:rPr>
          <w:rFonts w:ascii="Times New Roman" w:eastAsia="Times New Roman" w:hAnsi="Times New Roman"/>
          <w:sz w:val="28"/>
          <w:szCs w:val="28"/>
          <w:lang w:val="en-US" w:eastAsia="ru-RU"/>
        </w:rPr>
        <w:t xml:space="preserve"> 2009-2015 </w:t>
      </w:r>
      <w:r>
        <w:rPr>
          <w:rFonts w:ascii="Times New Roman" w:eastAsia="Times New Roman" w:hAnsi="Times New Roman"/>
          <w:sz w:val="28"/>
          <w:szCs w:val="28"/>
          <w:lang w:val="en-US" w:eastAsia="ru-RU"/>
        </w:rPr>
        <w:t>w</w:t>
      </w:r>
      <w:r w:rsidR="007C00FB" w:rsidRPr="007C00FB">
        <w:rPr>
          <w:rFonts w:ascii="Times New Roman" w:eastAsia="Times New Roman" w:hAnsi="Times New Roman"/>
          <w:sz w:val="28"/>
          <w:szCs w:val="28"/>
          <w:lang w:val="en-US" w:eastAsia="ru-RU"/>
        </w:rPr>
        <w:t>hich provide</w:t>
      </w:r>
      <w:r>
        <w:rPr>
          <w:rFonts w:ascii="Times New Roman" w:eastAsia="Times New Roman" w:hAnsi="Times New Roman"/>
          <w:sz w:val="28"/>
          <w:szCs w:val="28"/>
          <w:lang w:val="en-US" w:eastAsia="ru-RU"/>
        </w:rPr>
        <w:t>s for</w:t>
      </w:r>
      <w:r w:rsidR="007C00FB" w:rsidRPr="007C00FB">
        <w:rPr>
          <w:rFonts w:ascii="Times New Roman" w:eastAsia="Times New Roman" w:hAnsi="Times New Roman"/>
          <w:sz w:val="28"/>
          <w:szCs w:val="28"/>
          <w:lang w:val="en-US" w:eastAsia="ru-RU"/>
        </w:rPr>
        <w:t xml:space="preserve"> investment </w:t>
      </w:r>
      <w:r w:rsidR="00A15832" w:rsidRPr="007C00FB">
        <w:rPr>
          <w:rFonts w:ascii="Times New Roman" w:eastAsia="Times New Roman" w:hAnsi="Times New Roman"/>
          <w:sz w:val="28"/>
          <w:szCs w:val="28"/>
          <w:lang w:val="en-US" w:eastAsia="ru-RU"/>
        </w:rPr>
        <w:t>component</w:t>
      </w:r>
      <w:r w:rsidR="001A3201">
        <w:rPr>
          <w:rFonts w:ascii="Times New Roman" w:eastAsia="Times New Roman" w:hAnsi="Times New Roman"/>
          <w:sz w:val="28"/>
          <w:szCs w:val="28"/>
          <w:lang w:val="en-US" w:eastAsia="ru-RU"/>
        </w:rPr>
        <w:t xml:space="preserve"> </w:t>
      </w:r>
      <w:r w:rsidR="009F564E">
        <w:rPr>
          <w:rFonts w:ascii="Times New Roman" w:eastAsia="Times New Roman" w:hAnsi="Times New Roman"/>
          <w:sz w:val="28"/>
          <w:szCs w:val="28"/>
          <w:lang w:val="en-US" w:eastAsia="ru-RU"/>
        </w:rPr>
        <w:t>based on</w:t>
      </w:r>
      <w:r w:rsidR="001A3201">
        <w:rPr>
          <w:rFonts w:ascii="Times New Roman" w:eastAsia="Times New Roman" w:hAnsi="Times New Roman"/>
          <w:sz w:val="28"/>
          <w:szCs w:val="28"/>
          <w:lang w:val="en-US" w:eastAsia="ru-RU"/>
        </w:rPr>
        <w:t xml:space="preserve"> </w:t>
      </w:r>
      <w:r w:rsidR="00A15832">
        <w:rPr>
          <w:rFonts w:ascii="Times New Roman" w:eastAsia="Times New Roman" w:hAnsi="Times New Roman"/>
          <w:sz w:val="28"/>
          <w:szCs w:val="28"/>
          <w:lang w:val="en-US" w:eastAsia="ru-RU"/>
        </w:rPr>
        <w:t>“</w:t>
      </w:r>
      <w:r w:rsidR="007C00FB" w:rsidRPr="007C00FB">
        <w:rPr>
          <w:rFonts w:ascii="Times New Roman" w:eastAsia="Times New Roman" w:hAnsi="Times New Roman"/>
          <w:sz w:val="28"/>
          <w:szCs w:val="28"/>
          <w:lang w:val="en-US" w:eastAsia="ru-RU"/>
        </w:rPr>
        <w:t>tari</w:t>
      </w:r>
      <w:r>
        <w:rPr>
          <w:rFonts w:ascii="Times New Roman" w:eastAsia="Times New Roman" w:hAnsi="Times New Roman"/>
          <w:sz w:val="28"/>
          <w:szCs w:val="28"/>
          <w:lang w:val="en-US" w:eastAsia="ru-RU"/>
        </w:rPr>
        <w:t>ffs in exchange for investments</w:t>
      </w:r>
      <w:r w:rsidR="007C00FB" w:rsidRPr="007C00FB">
        <w:rPr>
          <w:rFonts w:ascii="Times New Roman" w:eastAsia="Times New Roman" w:hAnsi="Times New Roman"/>
          <w:sz w:val="28"/>
          <w:szCs w:val="28"/>
          <w:lang w:val="en-US" w:eastAsia="ru-RU"/>
        </w:rPr>
        <w:t>"</w:t>
      </w:r>
      <w:r w:rsidR="009F564E">
        <w:rPr>
          <w:rFonts w:ascii="Times New Roman" w:eastAsia="Times New Roman" w:hAnsi="Times New Roman"/>
          <w:sz w:val="28"/>
          <w:szCs w:val="28"/>
          <w:lang w:val="en-US" w:eastAsia="ru-RU"/>
        </w:rPr>
        <w:t xml:space="preserve"> mechanism</w:t>
      </w:r>
      <w:r w:rsidR="001A3201">
        <w:rPr>
          <w:rFonts w:ascii="Times New Roman" w:eastAsia="Times New Roman" w:hAnsi="Times New Roman"/>
          <w:sz w:val="28"/>
          <w:szCs w:val="28"/>
          <w:lang w:val="en-US" w:eastAsia="ru-RU"/>
        </w:rPr>
        <w:t xml:space="preserve">. </w:t>
      </w:r>
    </w:p>
    <w:p w:rsidR="007C00FB" w:rsidRPr="007C00FB" w:rsidRDefault="007C00FB" w:rsidP="007C00FB">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Th</w:t>
      </w:r>
      <w:r w:rsidR="001A3201">
        <w:rPr>
          <w:rFonts w:ascii="Times New Roman" w:eastAsia="Times New Roman" w:hAnsi="Times New Roman"/>
          <w:sz w:val="28"/>
          <w:szCs w:val="28"/>
          <w:lang w:val="en-US" w:eastAsia="ru-RU"/>
        </w:rPr>
        <w:t xml:space="preserve">e adoption </w:t>
      </w:r>
      <w:r w:rsidRPr="007C00FB">
        <w:rPr>
          <w:rFonts w:ascii="Times New Roman" w:eastAsia="Times New Roman" w:hAnsi="Times New Roman"/>
          <w:sz w:val="28"/>
          <w:szCs w:val="28"/>
          <w:lang w:val="en-US" w:eastAsia="ru-RU"/>
        </w:rPr>
        <w:t xml:space="preserve">of the program of </w:t>
      </w:r>
      <w:r w:rsidR="007203C3">
        <w:rPr>
          <w:rFonts w:ascii="Times New Roman" w:eastAsia="Times New Roman" w:hAnsi="Times New Roman"/>
          <w:sz w:val="28"/>
          <w:szCs w:val="28"/>
          <w:lang w:val="en-US" w:eastAsia="ru-RU"/>
        </w:rPr>
        <w:t>ceiling</w:t>
      </w:r>
      <w:r w:rsidRPr="007C00FB">
        <w:rPr>
          <w:rFonts w:ascii="Times New Roman" w:eastAsia="Times New Roman" w:hAnsi="Times New Roman"/>
          <w:sz w:val="28"/>
          <w:szCs w:val="28"/>
          <w:lang w:val="en-US" w:eastAsia="ru-RU"/>
        </w:rPr>
        <w:t xml:space="preserve"> tariffs</w:t>
      </w:r>
      <w:r w:rsidR="007203C3">
        <w:rPr>
          <w:rFonts w:ascii="Times New Roman" w:eastAsia="Times New Roman" w:hAnsi="Times New Roman"/>
          <w:sz w:val="28"/>
          <w:szCs w:val="28"/>
          <w:lang w:val="en-US" w:eastAsia="ru-RU"/>
        </w:rPr>
        <w:t xml:space="preserve"> in 2009</w:t>
      </w:r>
      <w:r w:rsidRPr="007C00FB">
        <w:rPr>
          <w:rFonts w:ascii="Times New Roman" w:eastAsia="Times New Roman" w:hAnsi="Times New Roman"/>
          <w:sz w:val="28"/>
          <w:szCs w:val="28"/>
          <w:lang w:val="en-US" w:eastAsia="ru-RU"/>
        </w:rPr>
        <w:t xml:space="preserve"> increase</w:t>
      </w:r>
      <w:r w:rsidR="007203C3">
        <w:rPr>
          <w:rFonts w:ascii="Times New Roman" w:eastAsia="Times New Roman" w:hAnsi="Times New Roman"/>
          <w:sz w:val="28"/>
          <w:szCs w:val="28"/>
          <w:lang w:val="en-US" w:eastAsia="ru-RU"/>
        </w:rPr>
        <w:t>d</w:t>
      </w:r>
      <w:r w:rsidRPr="007C00FB">
        <w:rPr>
          <w:rFonts w:ascii="Times New Roman" w:eastAsia="Times New Roman" w:hAnsi="Times New Roman"/>
          <w:sz w:val="28"/>
          <w:szCs w:val="28"/>
          <w:lang w:val="en-US" w:eastAsia="ru-RU"/>
        </w:rPr>
        <w:t xml:space="preserve"> the investment attractiveness of the power industry of Kazakhstan, providing a massive update, reconstruction and modernization of existing power</w:t>
      </w:r>
      <w:r w:rsidR="009F564E">
        <w:rPr>
          <w:rFonts w:ascii="Times New Roman" w:eastAsia="Times New Roman" w:hAnsi="Times New Roman"/>
          <w:sz w:val="28"/>
          <w:szCs w:val="28"/>
          <w:lang w:val="en-US" w:eastAsia="ru-RU"/>
        </w:rPr>
        <w:t xml:space="preserve"> plants’</w:t>
      </w:r>
      <w:r w:rsidRPr="007C00FB">
        <w:rPr>
          <w:rFonts w:ascii="Times New Roman" w:eastAsia="Times New Roman" w:hAnsi="Times New Roman"/>
          <w:sz w:val="28"/>
          <w:szCs w:val="28"/>
          <w:lang w:val="en-US" w:eastAsia="ru-RU"/>
        </w:rPr>
        <w:t xml:space="preserve"> assets.</w:t>
      </w:r>
    </w:p>
    <w:p w:rsidR="007C00FB" w:rsidRPr="007C00FB" w:rsidRDefault="007203C3" w:rsidP="007C00FB">
      <w:pPr>
        <w:spacing w:after="0" w:line="240" w:lineRule="auto"/>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Tariffs </w:t>
      </w:r>
      <w:r w:rsidR="009F564E">
        <w:rPr>
          <w:rFonts w:ascii="Times New Roman" w:eastAsia="Times New Roman" w:hAnsi="Times New Roman"/>
          <w:sz w:val="28"/>
          <w:szCs w:val="28"/>
          <w:lang w:val="en-US" w:eastAsia="ru-RU"/>
        </w:rPr>
        <w:t>n</w:t>
      </w:r>
      <w:r>
        <w:rPr>
          <w:rFonts w:ascii="Times New Roman" w:eastAsia="Times New Roman" w:hAnsi="Times New Roman"/>
          <w:sz w:val="28"/>
          <w:szCs w:val="28"/>
          <w:lang w:val="en-US" w:eastAsia="ru-RU"/>
        </w:rPr>
        <w:t>ot exceed</w:t>
      </w:r>
      <w:r w:rsidR="009F564E">
        <w:rPr>
          <w:rFonts w:ascii="Times New Roman" w:eastAsia="Times New Roman" w:hAnsi="Times New Roman"/>
          <w:sz w:val="28"/>
          <w:szCs w:val="28"/>
          <w:lang w:val="en-US" w:eastAsia="ru-RU"/>
        </w:rPr>
        <w:t>ing</w:t>
      </w:r>
      <w:r>
        <w:rPr>
          <w:rFonts w:ascii="Times New Roman" w:eastAsia="Times New Roman" w:hAnsi="Times New Roman"/>
          <w:sz w:val="28"/>
          <w:szCs w:val="28"/>
          <w:lang w:val="en-US" w:eastAsia="ru-RU"/>
        </w:rPr>
        <w:t xml:space="preserve"> the ceiling </w:t>
      </w:r>
      <w:r w:rsidR="002C751C">
        <w:rPr>
          <w:rFonts w:ascii="Times New Roman" w:eastAsia="Times New Roman" w:hAnsi="Times New Roman"/>
          <w:sz w:val="28"/>
          <w:szCs w:val="28"/>
          <w:lang w:val="en-US" w:eastAsia="ru-RU"/>
        </w:rPr>
        <w:t>value are set on the basis of Investment Agreements executed annually</w:t>
      </w:r>
      <w:r w:rsidR="002C751C" w:rsidRPr="007C00FB">
        <w:rPr>
          <w:rFonts w:ascii="Times New Roman" w:eastAsia="Times New Roman" w:hAnsi="Times New Roman"/>
          <w:sz w:val="28"/>
          <w:szCs w:val="28"/>
          <w:lang w:val="en-US" w:eastAsia="ru-RU"/>
        </w:rPr>
        <w:t xml:space="preserve"> with the Ministry of Energy of the Republic of </w:t>
      </w:r>
      <w:r w:rsidR="002C751C">
        <w:rPr>
          <w:rFonts w:ascii="Times New Roman" w:eastAsia="Times New Roman" w:hAnsi="Times New Roman"/>
          <w:sz w:val="28"/>
          <w:szCs w:val="28"/>
          <w:lang w:val="en-US" w:eastAsia="ru-RU"/>
        </w:rPr>
        <w:t xml:space="preserve">Kazakhstan. </w:t>
      </w:r>
    </w:p>
    <w:p w:rsidR="007C00FB" w:rsidRPr="007C00FB" w:rsidRDefault="002C751C" w:rsidP="007C00FB">
      <w:pPr>
        <w:spacing w:after="0" w:line="240" w:lineRule="auto"/>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From </w:t>
      </w:r>
      <w:r w:rsidR="007C00FB" w:rsidRPr="007C00FB">
        <w:rPr>
          <w:rFonts w:ascii="Times New Roman" w:eastAsia="Times New Roman" w:hAnsi="Times New Roman"/>
          <w:sz w:val="28"/>
          <w:szCs w:val="28"/>
          <w:lang w:val="en-US" w:eastAsia="ru-RU"/>
        </w:rPr>
        <w:t xml:space="preserve">2016 Kazakhstan plans to </w:t>
      </w:r>
      <w:r>
        <w:rPr>
          <w:rFonts w:ascii="Times New Roman" w:eastAsia="Times New Roman" w:hAnsi="Times New Roman"/>
          <w:sz w:val="28"/>
          <w:szCs w:val="28"/>
          <w:lang w:val="en-US" w:eastAsia="ru-RU"/>
        </w:rPr>
        <w:t>introduce capacity market</w:t>
      </w:r>
      <w:r w:rsidR="009F564E">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 xml:space="preserve"> </w:t>
      </w:r>
      <w:r w:rsidR="007C00FB" w:rsidRPr="007C00FB">
        <w:rPr>
          <w:rFonts w:ascii="Times New Roman" w:eastAsia="Times New Roman" w:hAnsi="Times New Roman"/>
          <w:sz w:val="28"/>
          <w:szCs w:val="28"/>
          <w:lang w:val="en-US" w:eastAsia="ru-RU"/>
        </w:rPr>
        <w:t xml:space="preserve">according to </w:t>
      </w:r>
      <w:r w:rsidR="009F564E">
        <w:rPr>
          <w:rFonts w:ascii="Times New Roman" w:eastAsia="Times New Roman" w:hAnsi="Times New Roman"/>
          <w:sz w:val="28"/>
          <w:szCs w:val="28"/>
          <w:lang w:val="en-US" w:eastAsia="ru-RU"/>
        </w:rPr>
        <w:t>it</w:t>
      </w:r>
      <w:r w:rsidR="007C00FB" w:rsidRPr="007C00FB">
        <w:rPr>
          <w:rFonts w:ascii="Times New Roman" w:eastAsia="Times New Roman" w:hAnsi="Times New Roman"/>
          <w:sz w:val="28"/>
          <w:szCs w:val="28"/>
          <w:lang w:val="en-US" w:eastAsia="ru-RU"/>
        </w:rPr>
        <w:t xml:space="preserve"> power generating companies</w:t>
      </w:r>
      <w:r w:rsidR="003D6A58">
        <w:rPr>
          <w:rFonts w:ascii="Times New Roman" w:eastAsia="Times New Roman" w:hAnsi="Times New Roman"/>
          <w:sz w:val="28"/>
          <w:szCs w:val="28"/>
          <w:lang w:val="en-US" w:eastAsia="ru-RU"/>
        </w:rPr>
        <w:t xml:space="preserve"> in addition to electricity</w:t>
      </w:r>
      <w:r w:rsidR="007C00FB" w:rsidRPr="007C00FB">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will sell the</w:t>
      </w:r>
      <w:r w:rsidR="007C00FB" w:rsidRPr="007C00FB">
        <w:rPr>
          <w:rFonts w:ascii="Times New Roman" w:eastAsia="Times New Roman" w:hAnsi="Times New Roman"/>
          <w:sz w:val="28"/>
          <w:szCs w:val="28"/>
          <w:lang w:val="en-US" w:eastAsia="ru-RU"/>
        </w:rPr>
        <w:t xml:space="preserve"> service</w:t>
      </w:r>
      <w:r>
        <w:rPr>
          <w:rFonts w:ascii="Times New Roman" w:eastAsia="Times New Roman" w:hAnsi="Times New Roman"/>
          <w:sz w:val="28"/>
          <w:szCs w:val="28"/>
          <w:lang w:val="en-US" w:eastAsia="ru-RU"/>
        </w:rPr>
        <w:t xml:space="preserve"> on maintenance of the </w:t>
      </w:r>
      <w:r w:rsidR="003D6A58">
        <w:rPr>
          <w:rFonts w:ascii="Times New Roman" w:eastAsia="Times New Roman" w:hAnsi="Times New Roman"/>
          <w:sz w:val="28"/>
          <w:szCs w:val="28"/>
          <w:lang w:val="en-US" w:eastAsia="ru-RU"/>
        </w:rPr>
        <w:t xml:space="preserve">capacity availability. </w:t>
      </w:r>
    </w:p>
    <w:p w:rsidR="007C00FB" w:rsidRPr="007C00FB" w:rsidRDefault="007C00FB" w:rsidP="007C00FB">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Electricity tariff will include all costs directly attributable to the production of electricity without the cost</w:t>
      </w:r>
      <w:r w:rsidR="00F04DA0">
        <w:rPr>
          <w:rFonts w:ascii="Times New Roman" w:eastAsia="Times New Roman" w:hAnsi="Times New Roman"/>
          <w:sz w:val="28"/>
          <w:szCs w:val="28"/>
          <w:lang w:val="en-US" w:eastAsia="ru-RU"/>
        </w:rPr>
        <w:t>s</w:t>
      </w:r>
      <w:r w:rsidRPr="007C00FB">
        <w:rPr>
          <w:rFonts w:ascii="Times New Roman" w:eastAsia="Times New Roman" w:hAnsi="Times New Roman"/>
          <w:sz w:val="28"/>
          <w:szCs w:val="28"/>
          <w:lang w:val="en-US" w:eastAsia="ru-RU"/>
        </w:rPr>
        <w:t xml:space="preserve"> o</w:t>
      </w:r>
      <w:r w:rsidR="00F04DA0">
        <w:rPr>
          <w:rFonts w:ascii="Times New Roman" w:eastAsia="Times New Roman" w:hAnsi="Times New Roman"/>
          <w:sz w:val="28"/>
          <w:szCs w:val="28"/>
          <w:lang w:val="en-US" w:eastAsia="ru-RU"/>
        </w:rPr>
        <w:t>n</w:t>
      </w:r>
      <w:r w:rsidRPr="007C00FB">
        <w:rPr>
          <w:rFonts w:ascii="Times New Roman" w:eastAsia="Times New Roman" w:hAnsi="Times New Roman"/>
          <w:sz w:val="28"/>
          <w:szCs w:val="28"/>
          <w:lang w:val="en-US" w:eastAsia="ru-RU"/>
        </w:rPr>
        <w:t xml:space="preserve"> </w:t>
      </w:r>
      <w:r w:rsidR="00F04DA0" w:rsidRPr="007C00FB">
        <w:rPr>
          <w:rFonts w:ascii="Times New Roman" w:eastAsia="Times New Roman" w:hAnsi="Times New Roman"/>
          <w:sz w:val="28"/>
          <w:szCs w:val="28"/>
          <w:lang w:val="en-US" w:eastAsia="ru-RU"/>
        </w:rPr>
        <w:t xml:space="preserve">maintaining existing assets </w:t>
      </w:r>
      <w:r w:rsidRPr="007C00FB">
        <w:rPr>
          <w:rFonts w:ascii="Times New Roman" w:eastAsia="Times New Roman" w:hAnsi="Times New Roman"/>
          <w:sz w:val="28"/>
          <w:szCs w:val="28"/>
          <w:lang w:val="en-US" w:eastAsia="ru-RU"/>
        </w:rPr>
        <w:t xml:space="preserve">in </w:t>
      </w:r>
      <w:r w:rsidR="00F04DA0">
        <w:rPr>
          <w:rFonts w:ascii="Times New Roman" w:eastAsia="Times New Roman" w:hAnsi="Times New Roman"/>
          <w:sz w:val="28"/>
          <w:szCs w:val="28"/>
          <w:lang w:val="en-US" w:eastAsia="ru-RU"/>
        </w:rPr>
        <w:t>operating</w:t>
      </w:r>
      <w:r w:rsidRPr="007C00FB">
        <w:rPr>
          <w:rFonts w:ascii="Times New Roman" w:eastAsia="Times New Roman" w:hAnsi="Times New Roman"/>
          <w:sz w:val="28"/>
          <w:szCs w:val="28"/>
          <w:lang w:val="en-US" w:eastAsia="ru-RU"/>
        </w:rPr>
        <w:t xml:space="preserve"> and good technical </w:t>
      </w:r>
      <w:r w:rsidR="00F04DA0" w:rsidRPr="007C00FB">
        <w:rPr>
          <w:rFonts w:ascii="Times New Roman" w:eastAsia="Times New Roman" w:hAnsi="Times New Roman"/>
          <w:sz w:val="28"/>
          <w:szCs w:val="28"/>
          <w:lang w:val="en-US" w:eastAsia="ru-RU"/>
        </w:rPr>
        <w:t>condition,</w:t>
      </w:r>
      <w:r w:rsidR="00F04DA0">
        <w:rPr>
          <w:rFonts w:ascii="Times New Roman" w:eastAsia="Times New Roman" w:hAnsi="Times New Roman"/>
          <w:sz w:val="28"/>
          <w:szCs w:val="28"/>
          <w:lang w:val="en-US" w:eastAsia="ru-RU"/>
        </w:rPr>
        <w:t xml:space="preserve"> as well as their</w:t>
      </w:r>
      <w:r w:rsidRPr="007C00FB">
        <w:rPr>
          <w:rFonts w:ascii="Times New Roman" w:eastAsia="Times New Roman" w:hAnsi="Times New Roman"/>
          <w:sz w:val="28"/>
          <w:szCs w:val="28"/>
          <w:lang w:val="en-US" w:eastAsia="ru-RU"/>
        </w:rPr>
        <w:t xml:space="preserve"> expansion, renovation, r</w:t>
      </w:r>
      <w:r w:rsidR="00F04DA0">
        <w:rPr>
          <w:rFonts w:ascii="Times New Roman" w:eastAsia="Times New Roman" w:hAnsi="Times New Roman"/>
          <w:sz w:val="28"/>
          <w:szCs w:val="28"/>
          <w:lang w:val="en-US" w:eastAsia="ru-RU"/>
        </w:rPr>
        <w:t xml:space="preserve">econstruction and modernization. </w:t>
      </w:r>
    </w:p>
    <w:p w:rsidR="007C00FB" w:rsidRPr="007C00FB" w:rsidRDefault="007C00FB" w:rsidP="007C00FB">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The cost</w:t>
      </w:r>
      <w:r w:rsidR="00092670">
        <w:rPr>
          <w:rFonts w:ascii="Times New Roman" w:eastAsia="Times New Roman" w:hAnsi="Times New Roman"/>
          <w:sz w:val="28"/>
          <w:szCs w:val="28"/>
          <w:lang w:val="en-US" w:eastAsia="ru-RU"/>
        </w:rPr>
        <w:t>s</w:t>
      </w:r>
      <w:r w:rsidRPr="007C00FB">
        <w:rPr>
          <w:rFonts w:ascii="Times New Roman" w:eastAsia="Times New Roman" w:hAnsi="Times New Roman"/>
          <w:sz w:val="28"/>
          <w:szCs w:val="28"/>
          <w:lang w:val="en-US" w:eastAsia="ru-RU"/>
        </w:rPr>
        <w:t xml:space="preserve"> </w:t>
      </w:r>
      <w:r w:rsidR="00092670">
        <w:rPr>
          <w:rFonts w:ascii="Times New Roman" w:eastAsia="Times New Roman" w:hAnsi="Times New Roman"/>
          <w:sz w:val="28"/>
          <w:szCs w:val="28"/>
          <w:lang w:val="en-US" w:eastAsia="ru-RU"/>
        </w:rPr>
        <w:t>for</w:t>
      </w:r>
      <w:r w:rsidRPr="007C00FB">
        <w:rPr>
          <w:rFonts w:ascii="Times New Roman" w:eastAsia="Times New Roman" w:hAnsi="Times New Roman"/>
          <w:sz w:val="28"/>
          <w:szCs w:val="28"/>
          <w:lang w:val="en-US" w:eastAsia="ru-RU"/>
        </w:rPr>
        <w:t xml:space="preserve"> maintaining </w:t>
      </w:r>
      <w:r w:rsidR="009F564E">
        <w:rPr>
          <w:rFonts w:ascii="Times New Roman" w:eastAsia="Times New Roman" w:hAnsi="Times New Roman"/>
          <w:sz w:val="28"/>
          <w:szCs w:val="28"/>
          <w:lang w:val="en-US" w:eastAsia="ru-RU"/>
        </w:rPr>
        <w:t xml:space="preserve">the </w:t>
      </w:r>
      <w:r w:rsidRPr="007C00FB">
        <w:rPr>
          <w:rFonts w:ascii="Times New Roman" w:eastAsia="Times New Roman" w:hAnsi="Times New Roman"/>
          <w:sz w:val="28"/>
          <w:szCs w:val="28"/>
          <w:lang w:val="en-US" w:eastAsia="ru-RU"/>
        </w:rPr>
        <w:t>existing assets</w:t>
      </w:r>
      <w:r w:rsidR="009F564E">
        <w:rPr>
          <w:rFonts w:ascii="Times New Roman" w:eastAsia="Times New Roman" w:hAnsi="Times New Roman"/>
          <w:sz w:val="28"/>
          <w:szCs w:val="28"/>
          <w:lang w:val="en-US" w:eastAsia="ru-RU"/>
        </w:rPr>
        <w:t xml:space="preserve"> in operating and good technical condition</w:t>
      </w:r>
      <w:r w:rsidR="00092670">
        <w:rPr>
          <w:rFonts w:ascii="Times New Roman" w:eastAsia="Times New Roman" w:hAnsi="Times New Roman"/>
          <w:sz w:val="28"/>
          <w:szCs w:val="28"/>
          <w:lang w:val="en-US" w:eastAsia="ru-RU"/>
        </w:rPr>
        <w:t xml:space="preserve"> as well as</w:t>
      </w:r>
      <w:r w:rsidRPr="007C00FB">
        <w:rPr>
          <w:rFonts w:ascii="Times New Roman" w:eastAsia="Times New Roman" w:hAnsi="Times New Roman"/>
          <w:sz w:val="28"/>
          <w:szCs w:val="28"/>
          <w:lang w:val="en-US" w:eastAsia="ru-RU"/>
        </w:rPr>
        <w:t xml:space="preserve"> expansion, renovation, reconstruction and modernization of existing assets will be included in the tariff for the service </w:t>
      </w:r>
      <w:r w:rsidR="00092670">
        <w:rPr>
          <w:rFonts w:ascii="Times New Roman" w:eastAsia="Times New Roman" w:hAnsi="Times New Roman"/>
          <w:sz w:val="28"/>
          <w:szCs w:val="28"/>
          <w:lang w:val="en-US" w:eastAsia="ru-RU"/>
        </w:rPr>
        <w:t xml:space="preserve">on </w:t>
      </w:r>
      <w:r w:rsidRPr="007C00FB">
        <w:rPr>
          <w:rFonts w:ascii="Times New Roman" w:eastAsia="Times New Roman" w:hAnsi="Times New Roman"/>
          <w:sz w:val="28"/>
          <w:szCs w:val="28"/>
          <w:lang w:val="en-US" w:eastAsia="ru-RU"/>
        </w:rPr>
        <w:t>maintain</w:t>
      </w:r>
      <w:r w:rsidR="00092670">
        <w:rPr>
          <w:rFonts w:ascii="Times New Roman" w:eastAsia="Times New Roman" w:hAnsi="Times New Roman"/>
          <w:sz w:val="28"/>
          <w:szCs w:val="28"/>
          <w:lang w:val="en-US" w:eastAsia="ru-RU"/>
        </w:rPr>
        <w:t>ing the availability of capacity</w:t>
      </w:r>
      <w:r w:rsidRPr="007C00FB">
        <w:rPr>
          <w:rFonts w:ascii="Times New Roman" w:eastAsia="Times New Roman" w:hAnsi="Times New Roman"/>
          <w:sz w:val="28"/>
          <w:szCs w:val="28"/>
          <w:lang w:val="en-US" w:eastAsia="ru-RU"/>
        </w:rPr>
        <w:t>.</w:t>
      </w:r>
      <w:r w:rsidR="009F564E">
        <w:rPr>
          <w:rFonts w:ascii="Times New Roman" w:eastAsia="Times New Roman" w:hAnsi="Times New Roman"/>
          <w:sz w:val="28"/>
          <w:szCs w:val="28"/>
          <w:lang w:val="en-US" w:eastAsia="ru-RU"/>
        </w:rPr>
        <w:t xml:space="preserve"> </w:t>
      </w:r>
    </w:p>
    <w:p w:rsidR="007C00FB" w:rsidRPr="007C00FB" w:rsidRDefault="007C00FB" w:rsidP="009119A4">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 xml:space="preserve">Tariffs </w:t>
      </w:r>
      <w:r w:rsidR="00092670">
        <w:rPr>
          <w:rFonts w:ascii="Times New Roman" w:eastAsia="Times New Roman" w:hAnsi="Times New Roman"/>
          <w:sz w:val="28"/>
          <w:szCs w:val="28"/>
          <w:lang w:val="en-US" w:eastAsia="ru-RU"/>
        </w:rPr>
        <w:t xml:space="preserve">of power </w:t>
      </w:r>
      <w:r w:rsidRPr="007C00FB">
        <w:rPr>
          <w:rFonts w:ascii="Times New Roman" w:eastAsia="Times New Roman" w:hAnsi="Times New Roman"/>
          <w:sz w:val="28"/>
          <w:szCs w:val="28"/>
          <w:lang w:val="en-US" w:eastAsia="ru-RU"/>
        </w:rPr>
        <w:t xml:space="preserve">transmission companies are regulated by the Committee for the long term (5 years). </w:t>
      </w:r>
      <w:r w:rsidR="00092670">
        <w:rPr>
          <w:rFonts w:ascii="Times New Roman" w:eastAsia="Times New Roman" w:hAnsi="Times New Roman"/>
          <w:sz w:val="28"/>
          <w:szCs w:val="28"/>
          <w:lang w:val="en-US" w:eastAsia="ru-RU"/>
        </w:rPr>
        <w:t xml:space="preserve">The method of comparative analysis (benchmarking) has been introduced from January 2013 for power transmission companies ((RECs), this method implies the approval of tariffs based on an analysis of 20 RECs </w:t>
      </w:r>
      <w:r w:rsidR="009119A4">
        <w:rPr>
          <w:rFonts w:ascii="Times New Roman" w:eastAsia="Times New Roman" w:hAnsi="Times New Roman"/>
          <w:sz w:val="28"/>
          <w:szCs w:val="28"/>
          <w:lang w:val="en-US" w:eastAsia="ru-RU"/>
        </w:rPr>
        <w:t>in accordance with 8 factors. Factor X  is determined a</w:t>
      </w:r>
      <w:r w:rsidRPr="007C00FB">
        <w:rPr>
          <w:rFonts w:ascii="Times New Roman" w:eastAsia="Times New Roman" w:hAnsi="Times New Roman"/>
          <w:sz w:val="28"/>
          <w:szCs w:val="28"/>
          <w:lang w:val="en-US" w:eastAsia="ru-RU"/>
        </w:rPr>
        <w:t xml:space="preserve">ccording to the results of the comparative analysis </w:t>
      </w:r>
      <w:r w:rsidR="009119A4">
        <w:rPr>
          <w:rFonts w:ascii="Times New Roman" w:eastAsia="Times New Roman" w:hAnsi="Times New Roman"/>
          <w:sz w:val="28"/>
          <w:szCs w:val="28"/>
          <w:lang w:val="en-US" w:eastAsia="ru-RU"/>
        </w:rPr>
        <w:t>on the basis of</w:t>
      </w:r>
      <w:r w:rsidRPr="007C00FB">
        <w:rPr>
          <w:rFonts w:ascii="Times New Roman" w:eastAsia="Times New Roman" w:hAnsi="Times New Roman"/>
          <w:sz w:val="28"/>
          <w:szCs w:val="28"/>
          <w:lang w:val="en-US" w:eastAsia="ru-RU"/>
        </w:rPr>
        <w:t xml:space="preserve"> which </w:t>
      </w:r>
      <w:r w:rsidR="009119A4">
        <w:rPr>
          <w:rFonts w:ascii="Times New Roman" w:eastAsia="Times New Roman" w:hAnsi="Times New Roman"/>
          <w:sz w:val="28"/>
          <w:szCs w:val="28"/>
          <w:lang w:val="en-US" w:eastAsia="ru-RU"/>
        </w:rPr>
        <w:t>the t</w:t>
      </w:r>
      <w:r w:rsidRPr="007C00FB">
        <w:rPr>
          <w:rFonts w:ascii="Times New Roman" w:eastAsia="Times New Roman" w:hAnsi="Times New Roman"/>
          <w:sz w:val="28"/>
          <w:szCs w:val="28"/>
          <w:lang w:val="en-US" w:eastAsia="ru-RU"/>
        </w:rPr>
        <w:t>ariff</w:t>
      </w:r>
      <w:r w:rsidR="009119A4">
        <w:rPr>
          <w:rFonts w:ascii="Times New Roman" w:eastAsia="Times New Roman" w:hAnsi="Times New Roman"/>
          <w:sz w:val="28"/>
          <w:szCs w:val="28"/>
          <w:lang w:val="en-US" w:eastAsia="ru-RU"/>
        </w:rPr>
        <w:t xml:space="preserve"> is formed</w:t>
      </w:r>
      <w:r w:rsidRPr="007C00FB">
        <w:rPr>
          <w:rFonts w:ascii="Times New Roman" w:eastAsia="Times New Roman" w:hAnsi="Times New Roman"/>
          <w:sz w:val="28"/>
          <w:szCs w:val="28"/>
          <w:lang w:val="en-US" w:eastAsia="ru-RU"/>
        </w:rPr>
        <w:t>.</w:t>
      </w:r>
    </w:p>
    <w:p w:rsidR="00242D4B" w:rsidRPr="007C00FB" w:rsidRDefault="007C00FB" w:rsidP="007C00FB">
      <w:pPr>
        <w:spacing w:after="0" w:line="240" w:lineRule="auto"/>
        <w:ind w:firstLine="708"/>
        <w:jc w:val="both"/>
        <w:rPr>
          <w:rFonts w:ascii="Times New Roman" w:eastAsia="Times New Roman" w:hAnsi="Times New Roman"/>
          <w:sz w:val="28"/>
          <w:szCs w:val="28"/>
          <w:lang w:val="en-US" w:eastAsia="ru-RU"/>
        </w:rPr>
      </w:pPr>
      <w:r w:rsidRPr="007C00FB">
        <w:rPr>
          <w:rFonts w:ascii="Times New Roman" w:eastAsia="Times New Roman" w:hAnsi="Times New Roman"/>
          <w:sz w:val="28"/>
          <w:szCs w:val="28"/>
          <w:lang w:val="en-US" w:eastAsia="ru-RU"/>
        </w:rPr>
        <w:t>Tariffs for power supply companies (</w:t>
      </w:r>
      <w:r w:rsidR="009119A4">
        <w:rPr>
          <w:rFonts w:ascii="Times New Roman" w:eastAsia="Times New Roman" w:hAnsi="Times New Roman"/>
          <w:sz w:val="28"/>
          <w:szCs w:val="28"/>
          <w:lang w:val="en-US" w:eastAsia="ru-RU"/>
        </w:rPr>
        <w:t>PSC</w:t>
      </w:r>
      <w:r w:rsidRPr="007C00FB">
        <w:rPr>
          <w:rFonts w:ascii="Times New Roman" w:eastAsia="Times New Roman" w:hAnsi="Times New Roman"/>
          <w:sz w:val="28"/>
          <w:szCs w:val="28"/>
          <w:lang w:val="en-US" w:eastAsia="ru-RU"/>
        </w:rPr>
        <w:t xml:space="preserve">) which are the </w:t>
      </w:r>
      <w:r w:rsidR="009119A4">
        <w:rPr>
          <w:rFonts w:ascii="Times New Roman" w:eastAsia="Times New Roman" w:hAnsi="Times New Roman"/>
          <w:sz w:val="28"/>
          <w:szCs w:val="28"/>
          <w:lang w:val="en-US" w:eastAsia="ru-RU"/>
        </w:rPr>
        <w:t xml:space="preserve">objects of a regulated market are subject to compulsory approval by </w:t>
      </w:r>
      <w:r w:rsidRPr="007C00FB">
        <w:rPr>
          <w:rFonts w:ascii="Times New Roman" w:eastAsia="Times New Roman" w:hAnsi="Times New Roman"/>
          <w:sz w:val="28"/>
          <w:szCs w:val="28"/>
          <w:lang w:val="en-US" w:eastAsia="ru-RU"/>
        </w:rPr>
        <w:t xml:space="preserve"> the Committee and are forme</w:t>
      </w:r>
      <w:r w:rsidR="009119A4">
        <w:rPr>
          <w:rFonts w:ascii="Times New Roman" w:eastAsia="Times New Roman" w:hAnsi="Times New Roman"/>
          <w:sz w:val="28"/>
          <w:szCs w:val="28"/>
          <w:lang w:val="en-US" w:eastAsia="ru-RU"/>
        </w:rPr>
        <w:t>d of the following costs: purchase</w:t>
      </w:r>
      <w:r w:rsidRPr="007C00FB">
        <w:rPr>
          <w:rFonts w:ascii="Times New Roman" w:eastAsia="Times New Roman" w:hAnsi="Times New Roman"/>
          <w:sz w:val="28"/>
          <w:szCs w:val="28"/>
          <w:lang w:val="en-US" w:eastAsia="ru-RU"/>
        </w:rPr>
        <w:t xml:space="preserve"> from sources</w:t>
      </w:r>
      <w:r w:rsidR="009119A4">
        <w:rPr>
          <w:rFonts w:ascii="Times New Roman" w:eastAsia="Times New Roman" w:hAnsi="Times New Roman"/>
          <w:sz w:val="28"/>
          <w:szCs w:val="28"/>
          <w:lang w:val="en-US" w:eastAsia="ru-RU"/>
        </w:rPr>
        <w:t>, s</w:t>
      </w:r>
      <w:r w:rsidRPr="007C00FB">
        <w:rPr>
          <w:rFonts w:ascii="Times New Roman" w:eastAsia="Times New Roman" w:hAnsi="Times New Roman"/>
          <w:sz w:val="28"/>
          <w:szCs w:val="28"/>
          <w:lang w:val="en-US" w:eastAsia="ru-RU"/>
        </w:rPr>
        <w:t>ervices</w:t>
      </w:r>
      <w:r w:rsidR="009119A4">
        <w:rPr>
          <w:rFonts w:ascii="Times New Roman" w:eastAsia="Times New Roman" w:hAnsi="Times New Roman"/>
          <w:sz w:val="28"/>
          <w:szCs w:val="28"/>
          <w:lang w:val="en-US" w:eastAsia="ru-RU"/>
        </w:rPr>
        <w:t xml:space="preserve"> of  System Operator (KEGOC) on the</w:t>
      </w:r>
      <w:r w:rsidRPr="007C00FB">
        <w:rPr>
          <w:rFonts w:ascii="Times New Roman" w:eastAsia="Times New Roman" w:hAnsi="Times New Roman"/>
          <w:sz w:val="28"/>
          <w:szCs w:val="28"/>
          <w:lang w:val="en-US" w:eastAsia="ru-RU"/>
        </w:rPr>
        <w:t xml:space="preserve"> transfer, balancing</w:t>
      </w:r>
      <w:r w:rsidR="009119A4">
        <w:rPr>
          <w:rFonts w:ascii="Times New Roman" w:eastAsia="Times New Roman" w:hAnsi="Times New Roman"/>
          <w:sz w:val="28"/>
          <w:szCs w:val="28"/>
          <w:lang w:val="en-US" w:eastAsia="ru-RU"/>
        </w:rPr>
        <w:t>, dispatching</w:t>
      </w:r>
      <w:r w:rsidRPr="007C00FB">
        <w:rPr>
          <w:rFonts w:ascii="Times New Roman" w:eastAsia="Times New Roman" w:hAnsi="Times New Roman"/>
          <w:sz w:val="28"/>
          <w:szCs w:val="28"/>
          <w:lang w:val="en-US" w:eastAsia="ru-RU"/>
        </w:rPr>
        <w:t xml:space="preserve"> and services</w:t>
      </w:r>
      <w:r w:rsidR="00AD3C31">
        <w:rPr>
          <w:rFonts w:ascii="Times New Roman" w:eastAsia="Times New Roman" w:hAnsi="Times New Roman"/>
          <w:sz w:val="28"/>
          <w:szCs w:val="28"/>
          <w:lang w:val="en-US" w:eastAsia="ru-RU"/>
        </w:rPr>
        <w:t xml:space="preserve"> of</w:t>
      </w:r>
      <w:r w:rsidRPr="007C00FB">
        <w:rPr>
          <w:rFonts w:ascii="Times New Roman" w:eastAsia="Times New Roman" w:hAnsi="Times New Roman"/>
          <w:sz w:val="28"/>
          <w:szCs w:val="28"/>
          <w:lang w:val="en-US" w:eastAsia="ru-RU"/>
        </w:rPr>
        <w:t xml:space="preserve"> RECs</w:t>
      </w:r>
      <w:r w:rsidR="00AD3C31">
        <w:rPr>
          <w:rFonts w:ascii="Times New Roman" w:eastAsia="Times New Roman" w:hAnsi="Times New Roman"/>
          <w:sz w:val="28"/>
          <w:szCs w:val="28"/>
          <w:lang w:val="en-US" w:eastAsia="ru-RU"/>
        </w:rPr>
        <w:t>,</w:t>
      </w:r>
      <w:r w:rsidRPr="007C00FB">
        <w:rPr>
          <w:rFonts w:ascii="Times New Roman" w:eastAsia="Times New Roman" w:hAnsi="Times New Roman"/>
          <w:sz w:val="28"/>
          <w:szCs w:val="28"/>
          <w:lang w:val="en-US" w:eastAsia="ru-RU"/>
        </w:rPr>
        <w:t xml:space="preserve"> </w:t>
      </w:r>
      <w:r w:rsidR="00AD3C31">
        <w:rPr>
          <w:rFonts w:ascii="Times New Roman" w:eastAsia="Times New Roman" w:hAnsi="Times New Roman"/>
          <w:sz w:val="28"/>
          <w:szCs w:val="28"/>
          <w:lang w:val="en-US" w:eastAsia="ru-RU"/>
        </w:rPr>
        <w:t>PSC expenses (supply surcharge)</w:t>
      </w:r>
      <w:r w:rsidRPr="007C00FB">
        <w:rPr>
          <w:rFonts w:ascii="Times New Roman" w:eastAsia="Times New Roman" w:hAnsi="Times New Roman"/>
          <w:sz w:val="28"/>
          <w:szCs w:val="28"/>
          <w:lang w:val="en-US" w:eastAsia="ru-RU"/>
        </w:rPr>
        <w:t>.</w:t>
      </w:r>
    </w:p>
    <w:p w:rsidR="00242D4B" w:rsidRDefault="00242D4B" w:rsidP="00DE5279">
      <w:pPr>
        <w:spacing w:after="0" w:line="240" w:lineRule="auto"/>
        <w:ind w:firstLine="708"/>
        <w:jc w:val="both"/>
        <w:rPr>
          <w:rFonts w:ascii="Times New Roman" w:eastAsia="Times New Roman" w:hAnsi="Times New Roman"/>
          <w:b/>
          <w:sz w:val="28"/>
          <w:szCs w:val="28"/>
          <w:lang w:val="en-US" w:eastAsia="ru-RU"/>
        </w:rPr>
      </w:pPr>
    </w:p>
    <w:p w:rsidR="007C00FB" w:rsidRPr="0028633E" w:rsidRDefault="007C00FB" w:rsidP="00DE5279">
      <w:pPr>
        <w:spacing w:after="0" w:line="240" w:lineRule="auto"/>
        <w:ind w:firstLine="709"/>
        <w:jc w:val="both"/>
        <w:rPr>
          <w:rFonts w:ascii="Times New Roman" w:hAnsi="Times New Roman"/>
          <w:b/>
          <w:color w:val="4F81BD" w:themeColor="accent1"/>
          <w:sz w:val="28"/>
          <w:szCs w:val="28"/>
          <w:lang w:val="en-US"/>
        </w:rPr>
      </w:pPr>
    </w:p>
    <w:p w:rsidR="0028633E" w:rsidRPr="00161FF3" w:rsidRDefault="00027020" w:rsidP="0028633E">
      <w:pPr>
        <w:ind w:firstLine="567"/>
        <w:jc w:val="both"/>
        <w:rPr>
          <w:rFonts w:ascii="Times New Roman" w:hAnsi="Times New Roman"/>
          <w:b/>
          <w:sz w:val="28"/>
          <w:szCs w:val="28"/>
          <w:lang w:val="en-US"/>
        </w:rPr>
      </w:pPr>
      <w:r w:rsidRPr="00161FF3">
        <w:rPr>
          <w:rFonts w:ascii="Times New Roman" w:hAnsi="Times New Roman"/>
          <w:b/>
          <w:sz w:val="28"/>
          <w:szCs w:val="28"/>
          <w:lang w:val="en-US"/>
        </w:rPr>
        <w:t>Management’s a</w:t>
      </w:r>
      <w:r w:rsidR="0028633E" w:rsidRPr="00161FF3">
        <w:rPr>
          <w:rFonts w:ascii="Times New Roman" w:hAnsi="Times New Roman"/>
          <w:b/>
          <w:sz w:val="28"/>
          <w:szCs w:val="28"/>
          <w:lang w:val="en-US"/>
        </w:rPr>
        <w:t xml:space="preserve">nalysis of </w:t>
      </w:r>
      <w:r w:rsidRPr="00161FF3">
        <w:rPr>
          <w:rFonts w:ascii="Times New Roman" w:hAnsi="Times New Roman"/>
          <w:b/>
          <w:sz w:val="28"/>
          <w:szCs w:val="28"/>
          <w:lang w:val="en-US"/>
        </w:rPr>
        <w:t>financial and economic activity results of the company</w:t>
      </w:r>
    </w:p>
    <w:p w:rsidR="0028633E" w:rsidRPr="00161FF3" w:rsidRDefault="0028633E" w:rsidP="0028633E">
      <w:pPr>
        <w:ind w:firstLine="567"/>
        <w:jc w:val="both"/>
        <w:rPr>
          <w:rFonts w:ascii="Times New Roman" w:hAnsi="Times New Roman"/>
          <w:sz w:val="28"/>
          <w:szCs w:val="28"/>
          <w:lang w:val="en-US"/>
        </w:rPr>
      </w:pPr>
      <w:r w:rsidRPr="00161FF3">
        <w:rPr>
          <w:rFonts w:ascii="Times New Roman" w:hAnsi="Times New Roman"/>
          <w:b/>
          <w:sz w:val="28"/>
          <w:szCs w:val="28"/>
          <w:lang w:val="en-US"/>
        </w:rPr>
        <w:t xml:space="preserve"> </w:t>
      </w:r>
      <w:r w:rsidR="00027020" w:rsidRPr="00161FF3">
        <w:rPr>
          <w:rFonts w:ascii="Times New Roman" w:hAnsi="Times New Roman"/>
          <w:b/>
          <w:sz w:val="28"/>
          <w:szCs w:val="28"/>
          <w:lang w:val="en-US"/>
        </w:rPr>
        <w:t>“</w:t>
      </w:r>
      <w:r w:rsidR="00027020" w:rsidRPr="00161FF3">
        <w:rPr>
          <w:rFonts w:ascii="Times New Roman" w:hAnsi="Times New Roman"/>
          <w:sz w:val="28"/>
          <w:szCs w:val="28"/>
          <w:lang w:val="en-US"/>
        </w:rPr>
        <w:t xml:space="preserve">Samruk-Energy” </w:t>
      </w:r>
      <w:r w:rsidR="00161FF3" w:rsidRPr="00161FF3">
        <w:rPr>
          <w:rFonts w:ascii="Times New Roman" w:hAnsi="Times New Roman"/>
          <w:sz w:val="28"/>
          <w:szCs w:val="28"/>
          <w:lang w:val="en-US"/>
        </w:rPr>
        <w:t>JSC companies</w:t>
      </w:r>
      <w:r w:rsidR="00161FF3">
        <w:rPr>
          <w:rFonts w:ascii="Times New Roman" w:hAnsi="Times New Roman"/>
          <w:sz w:val="28"/>
          <w:szCs w:val="28"/>
          <w:lang w:val="en-US"/>
        </w:rPr>
        <w:t xml:space="preserve"> group</w:t>
      </w:r>
      <w:r w:rsidRPr="00161FF3">
        <w:rPr>
          <w:rFonts w:ascii="Times New Roman" w:hAnsi="Times New Roman"/>
          <w:sz w:val="28"/>
          <w:szCs w:val="28"/>
          <w:lang w:val="en-US"/>
        </w:rPr>
        <w:t xml:space="preserve"> </w:t>
      </w:r>
      <w:r w:rsidR="00027020" w:rsidRPr="00161FF3">
        <w:rPr>
          <w:rFonts w:ascii="Times New Roman" w:hAnsi="Times New Roman"/>
          <w:sz w:val="28"/>
          <w:szCs w:val="28"/>
          <w:lang w:val="en-US"/>
        </w:rPr>
        <w:t>use t</w:t>
      </w:r>
      <w:r w:rsidRPr="00161FF3">
        <w:rPr>
          <w:rFonts w:ascii="Times New Roman" w:hAnsi="Times New Roman"/>
          <w:sz w:val="28"/>
          <w:szCs w:val="28"/>
          <w:lang w:val="en-US"/>
        </w:rPr>
        <w:t>he equity</w:t>
      </w:r>
      <w:r w:rsidR="00161FF3" w:rsidRPr="00161FF3">
        <w:rPr>
          <w:rFonts w:ascii="Times New Roman" w:hAnsi="Times New Roman"/>
          <w:sz w:val="28"/>
          <w:szCs w:val="28"/>
          <w:lang w:val="en-US"/>
        </w:rPr>
        <w:t xml:space="preserve"> method in f</w:t>
      </w:r>
      <w:r w:rsidR="00027020" w:rsidRPr="00161FF3">
        <w:rPr>
          <w:rFonts w:ascii="Times New Roman" w:hAnsi="Times New Roman"/>
          <w:sz w:val="28"/>
          <w:szCs w:val="28"/>
          <w:lang w:val="en-US"/>
        </w:rPr>
        <w:t>or the purposes of a common approach in the preparation of the report on the</w:t>
      </w:r>
      <w:r w:rsidR="00161FF3" w:rsidRPr="00161FF3">
        <w:rPr>
          <w:rFonts w:ascii="Times New Roman" w:hAnsi="Times New Roman"/>
          <w:sz w:val="28"/>
          <w:szCs w:val="28"/>
          <w:lang w:val="en-US"/>
        </w:rPr>
        <w:t xml:space="preserve"> results of</w:t>
      </w:r>
      <w:r w:rsidR="00027020" w:rsidRPr="00161FF3">
        <w:rPr>
          <w:rFonts w:ascii="Times New Roman" w:hAnsi="Times New Roman"/>
          <w:sz w:val="28"/>
          <w:szCs w:val="28"/>
          <w:lang w:val="en-US"/>
        </w:rPr>
        <w:t xml:space="preserve"> </w:t>
      </w:r>
      <w:r w:rsidR="00027020" w:rsidRPr="00161FF3">
        <w:rPr>
          <w:rFonts w:ascii="Times New Roman" w:hAnsi="Times New Roman"/>
          <w:sz w:val="28"/>
          <w:szCs w:val="28"/>
          <w:lang w:val="en-US"/>
        </w:rPr>
        <w:lastRenderedPageBreak/>
        <w:t>financial and economic</w:t>
      </w:r>
      <w:r w:rsidR="00161FF3" w:rsidRPr="00161FF3">
        <w:rPr>
          <w:rFonts w:ascii="Times New Roman" w:hAnsi="Times New Roman"/>
          <w:sz w:val="28"/>
          <w:szCs w:val="28"/>
          <w:lang w:val="en-US"/>
        </w:rPr>
        <w:t xml:space="preserve"> performance</w:t>
      </w:r>
      <w:r w:rsidRPr="00161FF3">
        <w:rPr>
          <w:rFonts w:ascii="Times New Roman" w:hAnsi="Times New Roman"/>
          <w:sz w:val="28"/>
          <w:szCs w:val="28"/>
          <w:lang w:val="en-US"/>
        </w:rPr>
        <w:t xml:space="preserve">. In addition, in accordance with current accounting </w:t>
      </w:r>
      <w:r w:rsidR="00161FF3" w:rsidRPr="00161FF3">
        <w:rPr>
          <w:rFonts w:ascii="Times New Roman" w:hAnsi="Times New Roman"/>
          <w:sz w:val="28"/>
          <w:szCs w:val="28"/>
          <w:lang w:val="en-US"/>
        </w:rPr>
        <w:t>policies fixed</w:t>
      </w:r>
      <w:r w:rsidRPr="00161FF3">
        <w:rPr>
          <w:rFonts w:ascii="Times New Roman" w:hAnsi="Times New Roman"/>
          <w:sz w:val="28"/>
          <w:szCs w:val="28"/>
          <w:lang w:val="en-US"/>
        </w:rPr>
        <w:t xml:space="preserve"> assets and intangible assets </w:t>
      </w:r>
      <w:r w:rsidR="00161FF3" w:rsidRPr="00161FF3">
        <w:rPr>
          <w:rFonts w:ascii="Times New Roman" w:hAnsi="Times New Roman"/>
          <w:sz w:val="28"/>
          <w:szCs w:val="28"/>
          <w:lang w:val="en-US"/>
        </w:rPr>
        <w:t xml:space="preserve">are reflected at the initial cost, </w:t>
      </w:r>
      <w:r w:rsidRPr="00161FF3">
        <w:rPr>
          <w:rFonts w:ascii="Times New Roman" w:hAnsi="Times New Roman"/>
          <w:sz w:val="28"/>
          <w:szCs w:val="28"/>
          <w:lang w:val="en-US"/>
        </w:rPr>
        <w:t>i</w:t>
      </w:r>
      <w:r w:rsidR="00161FF3" w:rsidRPr="00161FF3">
        <w:rPr>
          <w:rFonts w:ascii="Times New Roman" w:hAnsi="Times New Roman"/>
          <w:sz w:val="28"/>
          <w:szCs w:val="28"/>
          <w:lang w:val="en-US"/>
        </w:rPr>
        <w:t>.</w:t>
      </w:r>
      <w:r w:rsidRPr="00161FF3">
        <w:rPr>
          <w:rFonts w:ascii="Times New Roman" w:hAnsi="Times New Roman"/>
          <w:sz w:val="28"/>
          <w:szCs w:val="28"/>
          <w:lang w:val="en-US"/>
        </w:rPr>
        <w:t>e</w:t>
      </w:r>
      <w:r w:rsidR="00161FF3" w:rsidRPr="00161FF3">
        <w:rPr>
          <w:rFonts w:ascii="Times New Roman" w:hAnsi="Times New Roman"/>
          <w:sz w:val="28"/>
          <w:szCs w:val="28"/>
          <w:lang w:val="en-US"/>
        </w:rPr>
        <w:t>.</w:t>
      </w:r>
      <w:r w:rsidRPr="00161FF3">
        <w:rPr>
          <w:rFonts w:ascii="Times New Roman" w:hAnsi="Times New Roman"/>
          <w:sz w:val="28"/>
          <w:szCs w:val="28"/>
          <w:lang w:val="en-US"/>
        </w:rPr>
        <w:t xml:space="preserve"> </w:t>
      </w:r>
      <w:r w:rsidR="00161FF3" w:rsidRPr="00161FF3">
        <w:rPr>
          <w:rFonts w:ascii="Times New Roman" w:hAnsi="Times New Roman"/>
          <w:sz w:val="28"/>
          <w:szCs w:val="28"/>
          <w:lang w:val="en-US"/>
        </w:rPr>
        <w:t>without revaluation</w:t>
      </w:r>
      <w:r w:rsidRPr="00161FF3">
        <w:rPr>
          <w:rFonts w:ascii="Times New Roman" w:hAnsi="Times New Roman"/>
          <w:sz w:val="28"/>
          <w:szCs w:val="28"/>
          <w:lang w:val="en-US"/>
        </w:rPr>
        <w:t>.</w:t>
      </w:r>
    </w:p>
    <w:p w:rsidR="007E5C0E" w:rsidRPr="007E5C0E" w:rsidRDefault="0028633E" w:rsidP="0028633E">
      <w:pPr>
        <w:ind w:firstLine="567"/>
        <w:jc w:val="both"/>
        <w:rPr>
          <w:rFonts w:ascii="Times New Roman" w:hAnsi="Times New Roman"/>
          <w:sz w:val="28"/>
          <w:szCs w:val="28"/>
          <w:lang w:val="en-US"/>
        </w:rPr>
      </w:pPr>
      <w:r w:rsidRPr="007E5C0E">
        <w:rPr>
          <w:rFonts w:ascii="Times New Roman" w:hAnsi="Times New Roman"/>
          <w:sz w:val="28"/>
          <w:szCs w:val="28"/>
          <w:lang w:val="en-US"/>
        </w:rPr>
        <w:t xml:space="preserve">Based on the above, </w:t>
      </w:r>
      <w:r w:rsidR="00161FF3" w:rsidRPr="007E5C0E">
        <w:rPr>
          <w:rFonts w:ascii="Times New Roman" w:hAnsi="Times New Roman"/>
          <w:sz w:val="28"/>
          <w:szCs w:val="28"/>
          <w:lang w:val="en-US"/>
        </w:rPr>
        <w:t xml:space="preserve">at </w:t>
      </w:r>
      <w:r w:rsidRPr="007E5C0E">
        <w:rPr>
          <w:rFonts w:ascii="Times New Roman" w:hAnsi="Times New Roman"/>
          <w:sz w:val="28"/>
          <w:szCs w:val="28"/>
          <w:lang w:val="en-US"/>
        </w:rPr>
        <w:t>using the equity method turnover</w:t>
      </w:r>
      <w:r w:rsidR="007E5C0E" w:rsidRPr="007E5C0E">
        <w:rPr>
          <w:rFonts w:ascii="Times New Roman" w:hAnsi="Times New Roman"/>
          <w:sz w:val="28"/>
          <w:szCs w:val="28"/>
          <w:lang w:val="en-US"/>
        </w:rPr>
        <w:t>s</w:t>
      </w:r>
      <w:r w:rsidRPr="007E5C0E">
        <w:rPr>
          <w:rFonts w:ascii="Times New Roman" w:hAnsi="Times New Roman"/>
          <w:sz w:val="28"/>
          <w:szCs w:val="28"/>
          <w:lang w:val="en-US"/>
        </w:rPr>
        <w:t xml:space="preserve"> of large companies such as "SEGRES-2"</w:t>
      </w:r>
      <w:r w:rsidR="00161FF3" w:rsidRPr="007E5C0E">
        <w:rPr>
          <w:rFonts w:ascii="Times New Roman" w:hAnsi="Times New Roman"/>
          <w:sz w:val="28"/>
          <w:szCs w:val="28"/>
          <w:lang w:val="en-US"/>
        </w:rPr>
        <w:t xml:space="preserve"> JSC</w:t>
      </w:r>
      <w:r w:rsidRPr="007E5C0E">
        <w:rPr>
          <w:rFonts w:ascii="Times New Roman" w:hAnsi="Times New Roman"/>
          <w:sz w:val="28"/>
          <w:szCs w:val="28"/>
          <w:lang w:val="en-US"/>
        </w:rPr>
        <w:t>, coal assets</w:t>
      </w:r>
      <w:r w:rsidR="00161FF3" w:rsidRPr="007E5C0E">
        <w:rPr>
          <w:rFonts w:ascii="Times New Roman" w:hAnsi="Times New Roman"/>
          <w:sz w:val="28"/>
          <w:szCs w:val="28"/>
          <w:lang w:val="en-US"/>
        </w:rPr>
        <w:t xml:space="preserve"> company</w:t>
      </w:r>
      <w:r w:rsidRPr="007E5C0E">
        <w:rPr>
          <w:rFonts w:ascii="Times New Roman" w:hAnsi="Times New Roman"/>
          <w:sz w:val="28"/>
          <w:szCs w:val="28"/>
          <w:lang w:val="en-US"/>
        </w:rPr>
        <w:t xml:space="preserve"> «Forum Muider BV» </w:t>
      </w:r>
      <w:r w:rsidR="007E5C0E" w:rsidRPr="007E5C0E">
        <w:rPr>
          <w:rFonts w:ascii="Times New Roman" w:hAnsi="Times New Roman"/>
          <w:sz w:val="28"/>
          <w:szCs w:val="28"/>
          <w:lang w:val="en-US"/>
        </w:rPr>
        <w:t>50% of ownership interest of which belong to "Samruk-Energy</w:t>
      </w:r>
      <w:r w:rsidRPr="007E5C0E">
        <w:rPr>
          <w:rFonts w:ascii="Times New Roman" w:hAnsi="Times New Roman"/>
          <w:sz w:val="28"/>
          <w:szCs w:val="28"/>
          <w:lang w:val="en-US"/>
        </w:rPr>
        <w:t xml:space="preserve">" </w:t>
      </w:r>
      <w:r w:rsidR="007E5C0E" w:rsidRPr="007E5C0E">
        <w:rPr>
          <w:rFonts w:ascii="Times New Roman" w:hAnsi="Times New Roman"/>
          <w:sz w:val="28"/>
          <w:szCs w:val="28"/>
          <w:lang w:val="en-US"/>
        </w:rPr>
        <w:t xml:space="preserve">were excluded in the consolidated balance sheet. </w:t>
      </w:r>
    </w:p>
    <w:p w:rsidR="0028633E" w:rsidRPr="007E5C0E" w:rsidRDefault="007E5C0E" w:rsidP="0028633E">
      <w:pPr>
        <w:ind w:firstLine="567"/>
        <w:jc w:val="both"/>
        <w:rPr>
          <w:rFonts w:ascii="Times New Roman" w:hAnsi="Times New Roman"/>
          <w:sz w:val="28"/>
          <w:szCs w:val="28"/>
          <w:lang w:val="en-US"/>
        </w:rPr>
      </w:pPr>
      <w:r>
        <w:rPr>
          <w:rFonts w:ascii="Times New Roman" w:hAnsi="Times New Roman"/>
          <w:sz w:val="28"/>
          <w:szCs w:val="28"/>
          <w:lang w:val="en-US"/>
        </w:rPr>
        <w:t>A</w:t>
      </w:r>
      <w:r w:rsidRPr="007E5C0E">
        <w:rPr>
          <w:rFonts w:ascii="Times New Roman" w:hAnsi="Times New Roman"/>
          <w:sz w:val="28"/>
          <w:szCs w:val="28"/>
          <w:lang w:val="en-US"/>
        </w:rPr>
        <w:t>t the formation of "Samruk-Energy" JSC consolidated financial result</w:t>
      </w:r>
      <w:r>
        <w:rPr>
          <w:rFonts w:ascii="Times New Roman" w:hAnsi="Times New Roman"/>
          <w:sz w:val="28"/>
          <w:szCs w:val="28"/>
          <w:lang w:val="en-US"/>
        </w:rPr>
        <w:t xml:space="preserve"> </w:t>
      </w:r>
      <w:r w:rsidRPr="007E5C0E">
        <w:rPr>
          <w:rFonts w:ascii="Times New Roman" w:hAnsi="Times New Roman"/>
          <w:sz w:val="28"/>
          <w:szCs w:val="28"/>
          <w:lang w:val="en-US"/>
        </w:rPr>
        <w:t>s</w:t>
      </w:r>
      <w:r w:rsidR="0028633E" w:rsidRPr="007E5C0E">
        <w:rPr>
          <w:rFonts w:ascii="Times New Roman" w:hAnsi="Times New Roman"/>
          <w:sz w:val="28"/>
          <w:szCs w:val="28"/>
          <w:lang w:val="en-US"/>
        </w:rPr>
        <w:t>hare of profits of these companies</w:t>
      </w:r>
      <w:r w:rsidRPr="007E5C0E">
        <w:rPr>
          <w:rFonts w:ascii="Times New Roman" w:hAnsi="Times New Roman"/>
          <w:sz w:val="28"/>
          <w:szCs w:val="28"/>
          <w:lang w:val="en-US"/>
        </w:rPr>
        <w:t xml:space="preserve"> are</w:t>
      </w:r>
      <w:r w:rsidR="0028633E" w:rsidRPr="007E5C0E">
        <w:rPr>
          <w:rFonts w:ascii="Times New Roman" w:hAnsi="Times New Roman"/>
          <w:sz w:val="28"/>
          <w:szCs w:val="28"/>
          <w:lang w:val="en-US"/>
        </w:rPr>
        <w:t xml:space="preserve"> reflected in the </w:t>
      </w:r>
      <w:r w:rsidRPr="007E5C0E">
        <w:rPr>
          <w:rFonts w:ascii="Times New Roman" w:hAnsi="Times New Roman"/>
          <w:sz w:val="28"/>
          <w:szCs w:val="28"/>
          <w:lang w:val="en-US"/>
        </w:rPr>
        <w:t>article “S</w:t>
      </w:r>
      <w:r w:rsidR="0028633E" w:rsidRPr="007E5C0E">
        <w:rPr>
          <w:rFonts w:ascii="Times New Roman" w:hAnsi="Times New Roman"/>
          <w:sz w:val="28"/>
          <w:szCs w:val="28"/>
          <w:lang w:val="en-US"/>
        </w:rPr>
        <w:t>hare of profit / loss of companies accounted using the equity method"</w:t>
      </w:r>
      <w:r w:rsidRPr="007E5C0E">
        <w:rPr>
          <w:rFonts w:ascii="Times New Roman" w:hAnsi="Times New Roman"/>
          <w:sz w:val="28"/>
          <w:szCs w:val="28"/>
          <w:lang w:val="en-US"/>
        </w:rPr>
        <w:t xml:space="preserve"> </w:t>
      </w:r>
    </w:p>
    <w:p w:rsidR="0028633E" w:rsidRPr="007E5C0E" w:rsidRDefault="0028633E" w:rsidP="0028633E">
      <w:pPr>
        <w:ind w:firstLine="567"/>
        <w:jc w:val="both"/>
        <w:rPr>
          <w:rFonts w:ascii="Times New Roman" w:hAnsi="Times New Roman"/>
          <w:sz w:val="28"/>
          <w:szCs w:val="28"/>
          <w:lang w:val="en-US"/>
        </w:rPr>
      </w:pPr>
      <w:r w:rsidRPr="007E5C0E">
        <w:rPr>
          <w:rFonts w:ascii="Times New Roman" w:hAnsi="Times New Roman"/>
          <w:sz w:val="28"/>
          <w:szCs w:val="28"/>
          <w:lang w:val="en-US"/>
        </w:rPr>
        <w:t>The results of financial</w:t>
      </w:r>
      <w:r w:rsidR="007E5C0E" w:rsidRPr="007E5C0E">
        <w:rPr>
          <w:rFonts w:ascii="Times New Roman" w:hAnsi="Times New Roman"/>
          <w:sz w:val="28"/>
          <w:szCs w:val="28"/>
          <w:lang w:val="en-US"/>
        </w:rPr>
        <w:t xml:space="preserve"> and </w:t>
      </w:r>
      <w:r w:rsidRPr="007E5C0E">
        <w:rPr>
          <w:rFonts w:ascii="Times New Roman" w:hAnsi="Times New Roman"/>
          <w:sz w:val="28"/>
          <w:szCs w:val="28"/>
          <w:lang w:val="en-US"/>
        </w:rPr>
        <w:t xml:space="preserve">economic </w:t>
      </w:r>
      <w:r w:rsidR="007E5C0E" w:rsidRPr="007E5C0E">
        <w:rPr>
          <w:rFonts w:ascii="Times New Roman" w:hAnsi="Times New Roman"/>
          <w:sz w:val="28"/>
          <w:szCs w:val="28"/>
          <w:lang w:val="en-US"/>
        </w:rPr>
        <w:t xml:space="preserve">performance of </w:t>
      </w:r>
      <w:r w:rsidRPr="007E5C0E">
        <w:rPr>
          <w:rFonts w:ascii="Times New Roman" w:hAnsi="Times New Roman"/>
          <w:sz w:val="28"/>
          <w:szCs w:val="28"/>
          <w:lang w:val="en-US"/>
        </w:rPr>
        <w:t xml:space="preserve">"Zhambyl GRES </w:t>
      </w:r>
      <w:r w:rsidR="007E5C0E" w:rsidRPr="007E5C0E">
        <w:rPr>
          <w:rFonts w:ascii="Times New Roman" w:hAnsi="Times New Roman"/>
          <w:sz w:val="28"/>
          <w:szCs w:val="28"/>
          <w:lang w:val="en-US"/>
        </w:rPr>
        <w:t xml:space="preserve">named after </w:t>
      </w:r>
      <w:r w:rsidRPr="007E5C0E">
        <w:rPr>
          <w:rFonts w:ascii="Times New Roman" w:hAnsi="Times New Roman"/>
          <w:sz w:val="28"/>
          <w:szCs w:val="28"/>
          <w:lang w:val="en-US"/>
        </w:rPr>
        <w:t>T.I.Baturov" are not included in the consolidated statement of "Samruk-Energ</w:t>
      </w:r>
      <w:r w:rsidR="0070565A">
        <w:rPr>
          <w:rFonts w:ascii="Times New Roman" w:hAnsi="Times New Roman"/>
          <w:sz w:val="28"/>
          <w:szCs w:val="28"/>
          <w:lang w:val="en-US"/>
        </w:rPr>
        <w:t>y</w:t>
      </w:r>
      <w:r w:rsidRPr="007E5C0E">
        <w:rPr>
          <w:rFonts w:ascii="Times New Roman" w:hAnsi="Times New Roman"/>
          <w:sz w:val="28"/>
          <w:szCs w:val="28"/>
          <w:lang w:val="en-US"/>
        </w:rPr>
        <w:t>"</w:t>
      </w:r>
      <w:r w:rsidR="0070565A">
        <w:rPr>
          <w:rFonts w:ascii="Times New Roman" w:hAnsi="Times New Roman"/>
          <w:sz w:val="28"/>
          <w:szCs w:val="28"/>
          <w:lang w:val="en-US"/>
        </w:rPr>
        <w:t xml:space="preserve"> JSC connection with assets</w:t>
      </w:r>
      <w:r w:rsidRPr="007E5C0E">
        <w:rPr>
          <w:rFonts w:ascii="Times New Roman" w:hAnsi="Times New Roman"/>
          <w:sz w:val="28"/>
          <w:szCs w:val="28"/>
          <w:lang w:val="en-US"/>
        </w:rPr>
        <w:t xml:space="preserve"> impairment.</w:t>
      </w:r>
    </w:p>
    <w:p w:rsidR="0028633E" w:rsidRPr="007E5C0E" w:rsidRDefault="0028633E" w:rsidP="0028633E">
      <w:pPr>
        <w:ind w:firstLine="567"/>
        <w:jc w:val="both"/>
        <w:rPr>
          <w:rFonts w:ascii="Times New Roman" w:hAnsi="Times New Roman"/>
          <w:sz w:val="28"/>
          <w:szCs w:val="28"/>
          <w:lang w:val="en-US"/>
        </w:rPr>
      </w:pPr>
      <w:r w:rsidRPr="007E5C0E">
        <w:rPr>
          <w:rFonts w:ascii="Times New Roman" w:hAnsi="Times New Roman"/>
          <w:sz w:val="28"/>
          <w:szCs w:val="28"/>
          <w:lang w:val="en-US"/>
        </w:rPr>
        <w:t xml:space="preserve">In addition, in accordance with the Government Resolution on a comprehensive plan </w:t>
      </w:r>
      <w:r w:rsidR="0070565A">
        <w:rPr>
          <w:rFonts w:ascii="Times New Roman" w:hAnsi="Times New Roman"/>
          <w:sz w:val="28"/>
          <w:szCs w:val="28"/>
          <w:lang w:val="en-US"/>
        </w:rPr>
        <w:t>for</w:t>
      </w:r>
      <w:r w:rsidRPr="007E5C0E">
        <w:rPr>
          <w:rFonts w:ascii="Times New Roman" w:hAnsi="Times New Roman"/>
          <w:sz w:val="28"/>
          <w:szCs w:val="28"/>
          <w:lang w:val="en-US"/>
        </w:rPr>
        <w:t xml:space="preserve"> privatization and the standard </w:t>
      </w:r>
      <w:r w:rsidR="0070565A">
        <w:rPr>
          <w:rFonts w:ascii="Times New Roman" w:hAnsi="Times New Roman"/>
          <w:sz w:val="28"/>
          <w:szCs w:val="28"/>
          <w:lang w:val="en-US"/>
        </w:rPr>
        <w:t>No.5</w:t>
      </w:r>
      <w:r w:rsidRPr="007E5C0E">
        <w:rPr>
          <w:rFonts w:ascii="Times New Roman" w:hAnsi="Times New Roman"/>
          <w:sz w:val="28"/>
          <w:szCs w:val="28"/>
          <w:lang w:val="en-US"/>
        </w:rPr>
        <w:t xml:space="preserve"> of IFRS  "Non-current Assets </w:t>
      </w:r>
      <w:r w:rsidR="0070565A">
        <w:rPr>
          <w:rFonts w:ascii="Times New Roman" w:hAnsi="Times New Roman"/>
          <w:sz w:val="28"/>
          <w:szCs w:val="28"/>
          <w:lang w:val="en-US"/>
        </w:rPr>
        <w:t>held</w:t>
      </w:r>
      <w:r w:rsidRPr="007E5C0E">
        <w:rPr>
          <w:rFonts w:ascii="Times New Roman" w:hAnsi="Times New Roman"/>
          <w:sz w:val="28"/>
          <w:szCs w:val="28"/>
          <w:lang w:val="en-US"/>
        </w:rPr>
        <w:t xml:space="preserve"> for </w:t>
      </w:r>
      <w:r w:rsidR="0070565A">
        <w:rPr>
          <w:rFonts w:ascii="Times New Roman" w:hAnsi="Times New Roman"/>
          <w:sz w:val="28"/>
          <w:szCs w:val="28"/>
          <w:lang w:val="en-US"/>
        </w:rPr>
        <w:t>sa</w:t>
      </w:r>
      <w:r w:rsidRPr="007E5C0E">
        <w:rPr>
          <w:rFonts w:ascii="Times New Roman" w:hAnsi="Times New Roman"/>
          <w:sz w:val="28"/>
          <w:szCs w:val="28"/>
          <w:lang w:val="en-US"/>
        </w:rPr>
        <w:t xml:space="preserve">le and </w:t>
      </w:r>
      <w:r w:rsidR="0070565A">
        <w:rPr>
          <w:rFonts w:ascii="Times New Roman" w:hAnsi="Times New Roman"/>
          <w:sz w:val="28"/>
          <w:szCs w:val="28"/>
          <w:lang w:val="en-US"/>
        </w:rPr>
        <w:t>d</w:t>
      </w:r>
      <w:r w:rsidRPr="007E5C0E">
        <w:rPr>
          <w:rFonts w:ascii="Times New Roman" w:hAnsi="Times New Roman"/>
          <w:sz w:val="28"/>
          <w:szCs w:val="28"/>
          <w:lang w:val="en-US"/>
        </w:rPr>
        <w:t xml:space="preserve">iscontinued </w:t>
      </w:r>
      <w:r w:rsidR="0070565A">
        <w:rPr>
          <w:rFonts w:ascii="Times New Roman" w:hAnsi="Times New Roman"/>
          <w:sz w:val="28"/>
          <w:szCs w:val="28"/>
          <w:lang w:val="en-US"/>
        </w:rPr>
        <w:t>o</w:t>
      </w:r>
      <w:r w:rsidRPr="007E5C0E">
        <w:rPr>
          <w:rFonts w:ascii="Times New Roman" w:hAnsi="Times New Roman"/>
          <w:sz w:val="28"/>
          <w:szCs w:val="28"/>
          <w:lang w:val="en-US"/>
        </w:rPr>
        <w:t xml:space="preserve">perations", </w:t>
      </w:r>
      <w:r w:rsidR="0070565A">
        <w:rPr>
          <w:rFonts w:ascii="Times New Roman" w:hAnsi="Times New Roman"/>
          <w:sz w:val="28"/>
          <w:szCs w:val="28"/>
          <w:lang w:val="en-US"/>
        </w:rPr>
        <w:t xml:space="preserve"> </w:t>
      </w:r>
      <w:r w:rsidRPr="007E5C0E">
        <w:rPr>
          <w:rFonts w:ascii="Times New Roman" w:hAnsi="Times New Roman"/>
          <w:sz w:val="28"/>
          <w:szCs w:val="28"/>
          <w:lang w:val="en-US"/>
        </w:rPr>
        <w:t xml:space="preserve">assets </w:t>
      </w:r>
      <w:r w:rsidR="0070565A">
        <w:rPr>
          <w:rFonts w:ascii="Times New Roman" w:hAnsi="Times New Roman"/>
          <w:sz w:val="28"/>
          <w:szCs w:val="28"/>
          <w:lang w:val="en-US"/>
        </w:rPr>
        <w:t>subject</w:t>
      </w:r>
      <w:r w:rsidRPr="007E5C0E">
        <w:rPr>
          <w:rFonts w:ascii="Times New Roman" w:hAnsi="Times New Roman"/>
          <w:sz w:val="28"/>
          <w:szCs w:val="28"/>
          <w:lang w:val="en-US"/>
        </w:rPr>
        <w:t xml:space="preserve"> for sale ( "Aktobe CHP"</w:t>
      </w:r>
      <w:r w:rsidR="0070565A">
        <w:rPr>
          <w:rFonts w:ascii="Times New Roman" w:hAnsi="Times New Roman"/>
          <w:sz w:val="28"/>
          <w:szCs w:val="28"/>
          <w:lang w:val="en-US"/>
        </w:rPr>
        <w:t xml:space="preserve"> JSC</w:t>
      </w:r>
      <w:r w:rsidRPr="007E5C0E">
        <w:rPr>
          <w:rFonts w:ascii="Times New Roman" w:hAnsi="Times New Roman"/>
          <w:sz w:val="28"/>
          <w:szCs w:val="28"/>
          <w:lang w:val="en-US"/>
        </w:rPr>
        <w:t>, "MEDC"</w:t>
      </w:r>
      <w:r w:rsidR="0070565A">
        <w:rPr>
          <w:rFonts w:ascii="Times New Roman" w:hAnsi="Times New Roman"/>
          <w:sz w:val="28"/>
          <w:szCs w:val="28"/>
          <w:lang w:val="en-US"/>
        </w:rPr>
        <w:t xml:space="preserve"> JSC</w:t>
      </w:r>
      <w:r w:rsidRPr="007E5C0E">
        <w:rPr>
          <w:rFonts w:ascii="Times New Roman" w:hAnsi="Times New Roman"/>
          <w:sz w:val="28"/>
          <w:szCs w:val="28"/>
          <w:lang w:val="en-US"/>
        </w:rPr>
        <w:t>,  "</w:t>
      </w:r>
      <w:r w:rsidR="0070565A">
        <w:rPr>
          <w:rFonts w:ascii="Times New Roman" w:hAnsi="Times New Roman"/>
          <w:sz w:val="28"/>
          <w:szCs w:val="28"/>
          <w:lang w:val="en-US"/>
        </w:rPr>
        <w:t>EK REC” JSC</w:t>
      </w:r>
      <w:r w:rsidRPr="007E5C0E">
        <w:rPr>
          <w:rFonts w:ascii="Times New Roman" w:hAnsi="Times New Roman"/>
          <w:sz w:val="28"/>
          <w:szCs w:val="28"/>
          <w:lang w:val="en-US"/>
        </w:rPr>
        <w:t xml:space="preserve">, </w:t>
      </w:r>
      <w:r w:rsidR="0070565A">
        <w:rPr>
          <w:rFonts w:ascii="Times New Roman" w:hAnsi="Times New Roman"/>
          <w:sz w:val="28"/>
          <w:szCs w:val="28"/>
          <w:lang w:val="en-US"/>
        </w:rPr>
        <w:t>"ShE</w:t>
      </w:r>
      <w:r w:rsidRPr="007E5C0E">
        <w:rPr>
          <w:rFonts w:ascii="Times New Roman" w:hAnsi="Times New Roman"/>
          <w:sz w:val="28"/>
          <w:szCs w:val="28"/>
          <w:lang w:val="en-US"/>
        </w:rPr>
        <w:t>T"</w:t>
      </w:r>
      <w:r w:rsidR="0070565A">
        <w:rPr>
          <w:rFonts w:ascii="Times New Roman" w:hAnsi="Times New Roman"/>
          <w:sz w:val="28"/>
          <w:szCs w:val="28"/>
          <w:lang w:val="en-US"/>
        </w:rPr>
        <w:t xml:space="preserve"> LLP</w:t>
      </w:r>
      <w:r w:rsidRPr="007E5C0E">
        <w:rPr>
          <w:rFonts w:ascii="Times New Roman" w:hAnsi="Times New Roman"/>
          <w:sz w:val="28"/>
          <w:szCs w:val="28"/>
          <w:lang w:val="en-US"/>
        </w:rPr>
        <w:t>) have been</w:t>
      </w:r>
      <w:r w:rsidR="0070565A">
        <w:rPr>
          <w:rFonts w:ascii="Times New Roman" w:hAnsi="Times New Roman"/>
          <w:sz w:val="28"/>
          <w:szCs w:val="28"/>
          <w:lang w:val="en-US"/>
        </w:rPr>
        <w:t xml:space="preserve"> considered</w:t>
      </w:r>
      <w:r w:rsidRPr="007E5C0E">
        <w:rPr>
          <w:rFonts w:ascii="Times New Roman" w:hAnsi="Times New Roman"/>
          <w:sz w:val="28"/>
          <w:szCs w:val="28"/>
          <w:lang w:val="en-US"/>
        </w:rPr>
        <w:t xml:space="preserve"> in the line income from discontinued operations.</w:t>
      </w:r>
    </w:p>
    <w:p w:rsidR="0028633E" w:rsidRPr="007E5C0E" w:rsidRDefault="0028633E" w:rsidP="0028633E">
      <w:pPr>
        <w:ind w:firstLine="567"/>
        <w:jc w:val="both"/>
        <w:rPr>
          <w:rFonts w:ascii="Times New Roman" w:hAnsi="Times New Roman"/>
          <w:sz w:val="28"/>
          <w:szCs w:val="28"/>
          <w:lang w:val="en-US"/>
        </w:rPr>
      </w:pPr>
      <w:r w:rsidRPr="007E5C0E">
        <w:rPr>
          <w:rFonts w:ascii="Times New Roman" w:hAnsi="Times New Roman"/>
          <w:sz w:val="28"/>
          <w:szCs w:val="28"/>
          <w:lang w:val="en-US"/>
        </w:rPr>
        <w:t xml:space="preserve">Significant events of the reporting year was the acquisition </w:t>
      </w:r>
      <w:r w:rsidR="00D230FA" w:rsidRPr="007E5C0E">
        <w:rPr>
          <w:rFonts w:ascii="Times New Roman" w:hAnsi="Times New Roman"/>
          <w:sz w:val="28"/>
          <w:szCs w:val="28"/>
          <w:lang w:val="en-US"/>
        </w:rPr>
        <w:t xml:space="preserve">of </w:t>
      </w:r>
      <w:r w:rsidR="00D230FA">
        <w:rPr>
          <w:rFonts w:ascii="Times New Roman" w:hAnsi="Times New Roman"/>
          <w:sz w:val="28"/>
          <w:szCs w:val="28"/>
          <w:lang w:val="en-US"/>
        </w:rPr>
        <w:t>“</w:t>
      </w:r>
      <w:r w:rsidRPr="007E5C0E">
        <w:rPr>
          <w:rFonts w:ascii="Times New Roman" w:hAnsi="Times New Roman"/>
          <w:sz w:val="28"/>
          <w:szCs w:val="28"/>
          <w:lang w:val="en-US"/>
        </w:rPr>
        <w:t>GRES-1"</w:t>
      </w:r>
      <w:r w:rsidR="00D230FA">
        <w:rPr>
          <w:rFonts w:ascii="Times New Roman" w:hAnsi="Times New Roman"/>
          <w:sz w:val="28"/>
          <w:szCs w:val="28"/>
          <w:lang w:val="en-US"/>
        </w:rPr>
        <w:t xml:space="preserve"> LLP</w:t>
      </w:r>
      <w:r w:rsidRPr="007E5C0E">
        <w:rPr>
          <w:rFonts w:ascii="Times New Roman" w:hAnsi="Times New Roman"/>
          <w:sz w:val="28"/>
          <w:szCs w:val="28"/>
          <w:lang w:val="en-US"/>
        </w:rPr>
        <w:t xml:space="preserve"> The a</w:t>
      </w:r>
      <w:r w:rsidR="00D230FA">
        <w:rPr>
          <w:rFonts w:ascii="Times New Roman" w:hAnsi="Times New Roman"/>
          <w:sz w:val="28"/>
          <w:szCs w:val="28"/>
          <w:lang w:val="en-US"/>
        </w:rPr>
        <w:t xml:space="preserve">cquisition cost amounted to 236,6 billion </w:t>
      </w:r>
      <w:r w:rsidRPr="007E5C0E">
        <w:rPr>
          <w:rFonts w:ascii="Times New Roman" w:hAnsi="Times New Roman"/>
          <w:sz w:val="28"/>
          <w:szCs w:val="28"/>
          <w:lang w:val="en-US"/>
        </w:rPr>
        <w:t xml:space="preserve"> </w:t>
      </w:r>
      <w:r w:rsidR="00D230FA">
        <w:rPr>
          <w:rFonts w:ascii="Times New Roman" w:hAnsi="Times New Roman"/>
          <w:sz w:val="28"/>
          <w:szCs w:val="28"/>
          <w:lang w:val="en-US"/>
        </w:rPr>
        <w:t>t</w:t>
      </w:r>
      <w:r w:rsidRPr="007E5C0E">
        <w:rPr>
          <w:rFonts w:ascii="Times New Roman" w:hAnsi="Times New Roman"/>
          <w:sz w:val="28"/>
          <w:szCs w:val="28"/>
          <w:lang w:val="en-US"/>
        </w:rPr>
        <w:t xml:space="preserve">enge. </w:t>
      </w:r>
    </w:p>
    <w:p w:rsidR="00D230FA" w:rsidRDefault="0028633E" w:rsidP="0028633E">
      <w:pPr>
        <w:ind w:firstLine="567"/>
        <w:jc w:val="both"/>
        <w:rPr>
          <w:rFonts w:ascii="Times New Roman" w:hAnsi="Times New Roman"/>
          <w:sz w:val="28"/>
          <w:szCs w:val="28"/>
          <w:lang w:val="en-US"/>
        </w:rPr>
      </w:pPr>
      <w:r w:rsidRPr="007E5C0E">
        <w:rPr>
          <w:rFonts w:ascii="Times New Roman" w:hAnsi="Times New Roman"/>
          <w:sz w:val="28"/>
          <w:szCs w:val="28"/>
          <w:lang w:val="en-US"/>
        </w:rPr>
        <w:t>In addition, the</w:t>
      </w:r>
      <w:r w:rsidR="00D230FA">
        <w:rPr>
          <w:rFonts w:ascii="Times New Roman" w:hAnsi="Times New Roman"/>
          <w:sz w:val="28"/>
          <w:szCs w:val="28"/>
          <w:lang w:val="en-US"/>
        </w:rPr>
        <w:t xml:space="preserve"> transaction on</w:t>
      </w:r>
      <w:r w:rsidRPr="007E5C0E">
        <w:rPr>
          <w:rFonts w:ascii="Times New Roman" w:hAnsi="Times New Roman"/>
          <w:sz w:val="28"/>
          <w:szCs w:val="28"/>
          <w:lang w:val="en-US"/>
        </w:rPr>
        <w:t xml:space="preserve"> acquisition of 49% of "Mo</w:t>
      </w:r>
      <w:r w:rsidR="00D230FA">
        <w:rPr>
          <w:rFonts w:ascii="Times New Roman" w:hAnsi="Times New Roman"/>
          <w:sz w:val="28"/>
          <w:szCs w:val="28"/>
          <w:lang w:val="en-US"/>
        </w:rPr>
        <w:t>y</w:t>
      </w:r>
      <w:r w:rsidRPr="007E5C0E">
        <w:rPr>
          <w:rFonts w:ascii="Times New Roman" w:hAnsi="Times New Roman"/>
          <w:sz w:val="28"/>
          <w:szCs w:val="28"/>
          <w:lang w:val="en-US"/>
        </w:rPr>
        <w:t>nak HPP"</w:t>
      </w:r>
      <w:r w:rsidR="00D230FA">
        <w:rPr>
          <w:rFonts w:ascii="Times New Roman" w:hAnsi="Times New Roman"/>
          <w:sz w:val="28"/>
          <w:szCs w:val="28"/>
          <w:lang w:val="en-US"/>
        </w:rPr>
        <w:t xml:space="preserve"> JSC was carried out. The</w:t>
      </w:r>
      <w:r w:rsidR="00D230FA" w:rsidRPr="00D230FA">
        <w:rPr>
          <w:rFonts w:ascii="Times New Roman" w:hAnsi="Times New Roman"/>
          <w:sz w:val="28"/>
          <w:szCs w:val="28"/>
        </w:rPr>
        <w:t xml:space="preserve"> </w:t>
      </w:r>
      <w:r w:rsidR="00D230FA">
        <w:rPr>
          <w:rFonts w:ascii="Times New Roman" w:hAnsi="Times New Roman"/>
          <w:sz w:val="28"/>
          <w:szCs w:val="28"/>
          <w:lang w:val="en-US"/>
        </w:rPr>
        <w:t>acquisition</w:t>
      </w:r>
      <w:r w:rsidR="00D230FA" w:rsidRPr="00D230FA">
        <w:rPr>
          <w:rFonts w:ascii="Times New Roman" w:hAnsi="Times New Roman"/>
          <w:sz w:val="28"/>
          <w:szCs w:val="28"/>
        </w:rPr>
        <w:t xml:space="preserve"> </w:t>
      </w:r>
      <w:r w:rsidR="00D230FA">
        <w:rPr>
          <w:rFonts w:ascii="Times New Roman" w:hAnsi="Times New Roman"/>
          <w:sz w:val="28"/>
          <w:szCs w:val="28"/>
          <w:lang w:val="en-US"/>
        </w:rPr>
        <w:t>cost</w:t>
      </w:r>
      <w:r w:rsidR="00D230FA" w:rsidRPr="00D230FA">
        <w:rPr>
          <w:rFonts w:ascii="Times New Roman" w:hAnsi="Times New Roman"/>
          <w:sz w:val="28"/>
          <w:szCs w:val="28"/>
        </w:rPr>
        <w:t xml:space="preserve"> </w:t>
      </w:r>
      <w:r w:rsidR="00D230FA">
        <w:rPr>
          <w:rFonts w:ascii="Times New Roman" w:hAnsi="Times New Roman"/>
          <w:sz w:val="28"/>
          <w:szCs w:val="28"/>
          <w:lang w:val="en-US"/>
        </w:rPr>
        <w:t>was</w:t>
      </w:r>
      <w:r w:rsidR="00D230FA" w:rsidRPr="00D230FA">
        <w:rPr>
          <w:rFonts w:ascii="Times New Roman" w:hAnsi="Times New Roman"/>
          <w:sz w:val="28"/>
          <w:szCs w:val="28"/>
        </w:rPr>
        <w:t xml:space="preserve"> 18,</w:t>
      </w:r>
      <w:r w:rsidRPr="00D230FA">
        <w:rPr>
          <w:rFonts w:ascii="Times New Roman" w:hAnsi="Times New Roman"/>
          <w:sz w:val="28"/>
          <w:szCs w:val="28"/>
        </w:rPr>
        <w:t xml:space="preserve">5 </w:t>
      </w:r>
      <w:r w:rsidRPr="007E5C0E">
        <w:rPr>
          <w:rFonts w:ascii="Times New Roman" w:hAnsi="Times New Roman"/>
          <w:sz w:val="28"/>
          <w:szCs w:val="28"/>
          <w:lang w:val="en-US"/>
        </w:rPr>
        <w:t>bln</w:t>
      </w:r>
      <w:r w:rsidRPr="00D230FA">
        <w:rPr>
          <w:rFonts w:ascii="Times New Roman" w:hAnsi="Times New Roman"/>
          <w:sz w:val="28"/>
          <w:szCs w:val="28"/>
        </w:rPr>
        <w:t>.</w:t>
      </w:r>
      <w:r w:rsidR="00D230FA">
        <w:rPr>
          <w:rFonts w:ascii="Times New Roman" w:hAnsi="Times New Roman"/>
          <w:sz w:val="28"/>
          <w:szCs w:val="28"/>
          <w:lang w:val="en-US"/>
        </w:rPr>
        <w:t>t</w:t>
      </w:r>
      <w:r w:rsidRPr="007E5C0E">
        <w:rPr>
          <w:rFonts w:ascii="Times New Roman" w:hAnsi="Times New Roman"/>
          <w:sz w:val="28"/>
          <w:szCs w:val="28"/>
          <w:lang w:val="en-US"/>
        </w:rPr>
        <w:t>enge</w:t>
      </w:r>
      <w:r w:rsidR="00D230FA" w:rsidRPr="00D230FA">
        <w:rPr>
          <w:rFonts w:ascii="Times New Roman" w:hAnsi="Times New Roman"/>
          <w:sz w:val="28"/>
          <w:szCs w:val="28"/>
        </w:rPr>
        <w:t>.</w:t>
      </w:r>
      <w:r w:rsidR="00D230FA">
        <w:rPr>
          <w:rFonts w:ascii="Times New Roman" w:hAnsi="Times New Roman"/>
          <w:sz w:val="28"/>
          <w:szCs w:val="28"/>
          <w:lang w:val="en-US"/>
        </w:rPr>
        <w:t xml:space="preserve"> </w:t>
      </w:r>
    </w:p>
    <w:p w:rsidR="0091654B" w:rsidRPr="0091654B" w:rsidRDefault="0091654B" w:rsidP="0091654B">
      <w:pPr>
        <w:ind w:firstLine="567"/>
        <w:jc w:val="both"/>
        <w:rPr>
          <w:rFonts w:ascii="Times New Roman" w:hAnsi="Times New Roman"/>
          <w:b/>
          <w:sz w:val="28"/>
          <w:szCs w:val="28"/>
          <w:lang w:val="en-US"/>
        </w:rPr>
      </w:pPr>
      <w:r>
        <w:rPr>
          <w:rFonts w:ascii="Times New Roman" w:hAnsi="Times New Roman"/>
          <w:b/>
          <w:sz w:val="28"/>
          <w:szCs w:val="28"/>
          <w:lang w:val="en-US"/>
        </w:rPr>
        <w:t xml:space="preserve">Financial and economic performance </w:t>
      </w:r>
    </w:p>
    <w:tbl>
      <w:tblPr>
        <w:tblW w:w="9020" w:type="dxa"/>
        <w:tblInd w:w="93" w:type="dxa"/>
        <w:tblLook w:val="04A0"/>
      </w:tblPr>
      <w:tblGrid>
        <w:gridCol w:w="516"/>
        <w:gridCol w:w="3700"/>
        <w:gridCol w:w="960"/>
        <w:gridCol w:w="960"/>
        <w:gridCol w:w="960"/>
        <w:gridCol w:w="962"/>
        <w:gridCol w:w="962"/>
      </w:tblGrid>
      <w:tr w:rsidR="0091654B" w:rsidRPr="006D58BF" w:rsidTr="009A6873">
        <w:trPr>
          <w:trHeight w:val="28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No.</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Indicator, mln.tenge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1654B" w:rsidRPr="006D58BF" w:rsidRDefault="0091654B" w:rsidP="009A6873">
            <w:pPr>
              <w:spacing w:after="0" w:line="240" w:lineRule="auto"/>
              <w:jc w:val="center"/>
              <w:rPr>
                <w:rFonts w:ascii="Times New Roman" w:eastAsia="Times New Roman" w:hAnsi="Times New Roman"/>
                <w:b/>
                <w:bCs/>
                <w:color w:val="000000"/>
                <w:lang w:eastAsia="ru-RU"/>
              </w:rPr>
            </w:pPr>
            <w:r w:rsidRPr="006D58BF">
              <w:rPr>
                <w:rFonts w:ascii="Times New Roman" w:eastAsia="Times New Roman" w:hAnsi="Times New Roman"/>
                <w:b/>
                <w:bCs/>
                <w:color w:val="000000"/>
                <w:lang w:eastAsia="ru-RU"/>
              </w:rPr>
              <w:t>2012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1654B" w:rsidRPr="006D58BF" w:rsidRDefault="0091654B" w:rsidP="009A6873">
            <w:pPr>
              <w:spacing w:after="0" w:line="240" w:lineRule="auto"/>
              <w:jc w:val="center"/>
              <w:rPr>
                <w:rFonts w:ascii="Times New Roman" w:eastAsia="Times New Roman" w:hAnsi="Times New Roman"/>
                <w:b/>
                <w:bCs/>
                <w:color w:val="000000"/>
                <w:lang w:eastAsia="ru-RU"/>
              </w:rPr>
            </w:pPr>
            <w:r w:rsidRPr="006D58BF">
              <w:rPr>
                <w:rFonts w:ascii="Times New Roman" w:eastAsia="Times New Roman" w:hAnsi="Times New Roman"/>
                <w:b/>
                <w:bCs/>
                <w:color w:val="000000"/>
                <w:lang w:eastAsia="ru-RU"/>
              </w:rPr>
              <w:t>2013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1654B" w:rsidRPr="006D58BF" w:rsidRDefault="0091654B" w:rsidP="009A6873">
            <w:pPr>
              <w:spacing w:after="0" w:line="240" w:lineRule="auto"/>
              <w:jc w:val="center"/>
              <w:rPr>
                <w:rFonts w:ascii="Times New Roman" w:eastAsia="Times New Roman" w:hAnsi="Times New Roman"/>
                <w:b/>
                <w:bCs/>
                <w:color w:val="000000"/>
                <w:lang w:eastAsia="ru-RU"/>
              </w:rPr>
            </w:pPr>
            <w:r w:rsidRPr="006D58BF">
              <w:rPr>
                <w:rFonts w:ascii="Times New Roman" w:eastAsia="Times New Roman" w:hAnsi="Times New Roman"/>
                <w:b/>
                <w:bCs/>
                <w:color w:val="000000"/>
                <w:lang w:eastAsia="ru-RU"/>
              </w:rPr>
              <w:t>2014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1654B" w:rsidRPr="006D58BF" w:rsidRDefault="0091654B" w:rsidP="009A6873">
            <w:pPr>
              <w:spacing w:after="0" w:line="240" w:lineRule="auto"/>
              <w:jc w:val="center"/>
              <w:rPr>
                <w:rFonts w:ascii="Times New Roman" w:eastAsia="Times New Roman" w:hAnsi="Times New Roman"/>
                <w:b/>
                <w:bCs/>
                <w:color w:val="000000"/>
                <w:lang w:eastAsia="ru-RU"/>
              </w:rPr>
            </w:pPr>
            <w:r w:rsidRPr="006D58BF">
              <w:rPr>
                <w:rFonts w:ascii="Times New Roman" w:eastAsia="Times New Roman" w:hAnsi="Times New Roman"/>
                <w:b/>
                <w:bCs/>
                <w:color w:val="000000"/>
                <w:lang w:eastAsia="ru-RU"/>
              </w:rPr>
              <w:t>2015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1654B" w:rsidRPr="006D58BF" w:rsidRDefault="0091654B" w:rsidP="009A6873">
            <w:pPr>
              <w:spacing w:after="0" w:line="240" w:lineRule="auto"/>
              <w:jc w:val="center"/>
              <w:rPr>
                <w:rFonts w:ascii="Times New Roman" w:eastAsia="Times New Roman" w:hAnsi="Times New Roman"/>
                <w:b/>
                <w:bCs/>
                <w:color w:val="000000"/>
                <w:lang w:eastAsia="ru-RU"/>
              </w:rPr>
            </w:pPr>
            <w:r w:rsidRPr="006D58BF">
              <w:rPr>
                <w:rFonts w:ascii="Times New Roman" w:eastAsia="Times New Roman" w:hAnsi="Times New Roman"/>
                <w:b/>
                <w:bCs/>
                <w:color w:val="000000"/>
                <w:lang w:eastAsia="ru-RU"/>
              </w:rPr>
              <w:t>2016</w:t>
            </w:r>
          </w:p>
        </w:tc>
      </w:tr>
      <w:tr w:rsidR="0091654B" w:rsidRPr="006D58BF" w:rsidTr="009A6873">
        <w:trPr>
          <w:trHeight w:val="2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91654B" w:rsidRPr="006D58BF" w:rsidRDefault="0091654B" w:rsidP="009A6873">
            <w:pPr>
              <w:spacing w:after="0" w:line="240" w:lineRule="auto"/>
              <w:rPr>
                <w:rFonts w:ascii="Times New Roman" w:eastAsia="Times New Roman" w:hAnsi="Times New Roman"/>
                <w:b/>
                <w:bCs/>
                <w:color w:val="000000"/>
                <w:sz w:val="20"/>
                <w:szCs w:val="20"/>
                <w:lang w:eastAsia="ru-RU"/>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rsidR="0091654B" w:rsidRPr="006D58BF" w:rsidRDefault="0091654B" w:rsidP="009A6873">
            <w:pPr>
              <w:spacing w:after="0" w:line="240" w:lineRule="auto"/>
              <w:rPr>
                <w:rFonts w:ascii="Times New Roman" w:eastAsia="Times New Roman" w:hAnsi="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960" w:type="dxa"/>
            <w:tcBorders>
              <w:top w:val="nil"/>
              <w:left w:val="nil"/>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960" w:type="dxa"/>
            <w:tcBorders>
              <w:top w:val="nil"/>
              <w:left w:val="nil"/>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960" w:type="dxa"/>
            <w:tcBorders>
              <w:top w:val="nil"/>
              <w:left w:val="nil"/>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forecast</w:t>
            </w:r>
          </w:p>
        </w:tc>
        <w:tc>
          <w:tcPr>
            <w:tcW w:w="960" w:type="dxa"/>
            <w:tcBorders>
              <w:top w:val="nil"/>
              <w:left w:val="nil"/>
              <w:bottom w:val="single" w:sz="4" w:space="0" w:color="auto"/>
              <w:right w:val="single" w:sz="4" w:space="0" w:color="auto"/>
            </w:tcBorders>
            <w:shd w:val="clear" w:color="auto" w:fill="auto"/>
            <w:vAlign w:val="center"/>
            <w:hideMark/>
          </w:tcPr>
          <w:p w:rsidR="0091654B" w:rsidRPr="0091654B" w:rsidRDefault="0091654B" w:rsidP="009A6873">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forecast</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w:t>
            </w:r>
          </w:p>
        </w:tc>
        <w:tc>
          <w:tcPr>
            <w:tcW w:w="3760" w:type="dxa"/>
            <w:tcBorders>
              <w:top w:val="nil"/>
              <w:left w:val="nil"/>
              <w:bottom w:val="single" w:sz="4" w:space="0" w:color="auto"/>
              <w:right w:val="single" w:sz="4" w:space="0" w:color="auto"/>
            </w:tcBorders>
            <w:shd w:val="clear" w:color="auto" w:fill="auto"/>
            <w:hideMark/>
          </w:tcPr>
          <w:p w:rsidR="0091654B" w:rsidRPr="0091654B" w:rsidRDefault="0091654B" w:rsidP="009A6873">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Income from sale of products and services delivery</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94 558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135 844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178 085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194 442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120 729</w:t>
            </w:r>
          </w:p>
        </w:tc>
      </w:tr>
      <w:tr w:rsidR="0091654B" w:rsidRPr="00DA1D7E" w:rsidTr="009A6873">
        <w:trPr>
          <w:trHeight w:val="199"/>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 </w:t>
            </w:r>
          </w:p>
        </w:tc>
        <w:tc>
          <w:tcPr>
            <w:tcW w:w="8560" w:type="dxa"/>
            <w:gridSpan w:val="6"/>
            <w:tcBorders>
              <w:top w:val="single" w:sz="4" w:space="0" w:color="auto"/>
              <w:left w:val="nil"/>
              <w:bottom w:val="single" w:sz="4" w:space="0" w:color="auto"/>
              <w:right w:val="single" w:sz="4" w:space="0" w:color="auto"/>
            </w:tcBorders>
            <w:shd w:val="clear" w:color="auto" w:fill="auto"/>
            <w:hideMark/>
          </w:tcPr>
          <w:p w:rsidR="0091654B" w:rsidRPr="0091654B" w:rsidRDefault="0091654B" w:rsidP="008F7752">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including by type of activity without </w:t>
            </w:r>
            <w:r w:rsidR="008F7752">
              <w:rPr>
                <w:rFonts w:ascii="Times New Roman" w:eastAsia="Times New Roman" w:hAnsi="Times New Roman"/>
                <w:b/>
                <w:bCs/>
                <w:color w:val="000000"/>
                <w:sz w:val="20"/>
                <w:szCs w:val="20"/>
                <w:lang w:val="en-US" w:eastAsia="ru-RU"/>
              </w:rPr>
              <w:t>considering</w:t>
            </w:r>
            <w:r>
              <w:rPr>
                <w:rFonts w:ascii="Times New Roman" w:eastAsia="Times New Roman" w:hAnsi="Times New Roman"/>
                <w:b/>
                <w:bCs/>
                <w:color w:val="000000"/>
                <w:sz w:val="20"/>
                <w:szCs w:val="20"/>
                <w:lang w:val="en-US" w:eastAsia="ru-RU"/>
              </w:rPr>
              <w:t xml:space="preserve"> the </w:t>
            </w:r>
            <w:r w:rsidR="008F7752">
              <w:rPr>
                <w:rFonts w:ascii="Times New Roman" w:eastAsia="Times New Roman" w:hAnsi="Times New Roman"/>
                <w:b/>
                <w:bCs/>
                <w:color w:val="000000"/>
                <w:sz w:val="20"/>
                <w:szCs w:val="20"/>
                <w:lang w:val="en-US" w:eastAsia="ru-RU"/>
              </w:rPr>
              <w:t xml:space="preserve">elimination </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Electricity generation</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125 346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47 017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115 904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126 970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118 238</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sale of electricity by power supplying organizations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88 435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99 014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85 042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96 418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1.3.</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heat production</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14 029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14 224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14 699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14 577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electricity transmission</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and</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distribution</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34 167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45 927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31 156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34 080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1.5.</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sale</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of</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chemically purified water</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998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955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1 792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1 897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1.6.</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construction and installation works and repair work</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2 239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1.7.</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rent</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1 537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1 907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2 050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2 039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2 041</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1.8.</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8 532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9 754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20 682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566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450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lastRenderedPageBreak/>
              <w:t>2</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Cost of goods sold and services rendered</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77 064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104 944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120 135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140 991</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61 613</w:t>
            </w:r>
          </w:p>
        </w:tc>
      </w:tr>
      <w:tr w:rsidR="0091654B" w:rsidRPr="00DA1D7E" w:rsidTr="009A6873">
        <w:trPr>
          <w:trHeight w:val="169"/>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 </w:t>
            </w:r>
          </w:p>
        </w:tc>
        <w:tc>
          <w:tcPr>
            <w:tcW w:w="8560" w:type="dxa"/>
            <w:gridSpan w:val="6"/>
            <w:tcBorders>
              <w:top w:val="single" w:sz="4" w:space="0" w:color="auto"/>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including by type of activity without considering the elimination</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2.1.</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 cost of electricity generation</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57 638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30 371</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66 122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83 219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61 604</w:t>
            </w:r>
          </w:p>
        </w:tc>
      </w:tr>
      <w:tr w:rsidR="0091654B" w:rsidRPr="006D58BF" w:rsidTr="009A6873">
        <w:trPr>
          <w:trHeight w:val="76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2.2.</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cost</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of</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electricity</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sale</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by</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power</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supplying</w:t>
            </w:r>
            <w:r w:rsidRPr="008F775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organizations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85 303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97 312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85 072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95 817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2.3.</w:t>
            </w:r>
          </w:p>
        </w:tc>
        <w:tc>
          <w:tcPr>
            <w:tcW w:w="3760" w:type="dxa"/>
            <w:tcBorders>
              <w:top w:val="nil"/>
              <w:left w:val="nil"/>
              <w:bottom w:val="single" w:sz="4" w:space="0" w:color="auto"/>
              <w:right w:val="single" w:sz="4" w:space="0" w:color="auto"/>
            </w:tcBorders>
            <w:shd w:val="clear" w:color="auto" w:fill="auto"/>
            <w:hideMark/>
          </w:tcPr>
          <w:p w:rsidR="0091654B" w:rsidRPr="008F7752" w:rsidRDefault="008F7752" w:rsidP="009A687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head</w:t>
            </w:r>
            <w:r w:rsidRPr="008F775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production</w:t>
            </w:r>
            <w:r w:rsidRPr="008F775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cost</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16 812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14 735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14 407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15 580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2.4.</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Electricity transmission cost</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30 335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34 208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25 400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26 490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2.5.</w:t>
            </w:r>
          </w:p>
        </w:tc>
        <w:tc>
          <w:tcPr>
            <w:tcW w:w="3760" w:type="dxa"/>
            <w:tcBorders>
              <w:top w:val="single" w:sz="4" w:space="0" w:color="auto"/>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cost of sale of chemically purified water</w:t>
            </w:r>
          </w:p>
        </w:tc>
        <w:tc>
          <w:tcPr>
            <w:tcW w:w="960" w:type="dxa"/>
            <w:tcBorders>
              <w:top w:val="single" w:sz="4" w:space="0" w:color="auto"/>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1 006</w:t>
            </w:r>
          </w:p>
        </w:tc>
        <w:tc>
          <w:tcPr>
            <w:tcW w:w="960" w:type="dxa"/>
            <w:tcBorders>
              <w:top w:val="single" w:sz="4" w:space="0" w:color="auto"/>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1 671</w:t>
            </w:r>
          </w:p>
        </w:tc>
        <w:tc>
          <w:tcPr>
            <w:tcW w:w="960" w:type="dxa"/>
            <w:tcBorders>
              <w:top w:val="single" w:sz="4" w:space="0" w:color="auto"/>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1 742</w:t>
            </w:r>
          </w:p>
        </w:tc>
        <w:tc>
          <w:tcPr>
            <w:tcW w:w="960" w:type="dxa"/>
            <w:tcBorders>
              <w:top w:val="single" w:sz="4" w:space="0" w:color="auto"/>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1 883</w:t>
            </w:r>
          </w:p>
        </w:tc>
        <w:tc>
          <w:tcPr>
            <w:tcW w:w="960" w:type="dxa"/>
            <w:tcBorders>
              <w:top w:val="single" w:sz="4" w:space="0" w:color="auto"/>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2.6.</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 cost of construction and installation works as well as repair works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2 311</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0</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2.7.</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cost</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of</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other</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core</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activities</w:t>
            </w:r>
            <w:r w:rsidRPr="004D30C4">
              <w:rPr>
                <w:rFonts w:ascii="Times New Roman" w:eastAsia="Times New Roman" w:hAnsi="Times New Roman"/>
                <w:color w:val="000000"/>
                <w:sz w:val="20"/>
                <w:szCs w:val="20"/>
                <w:lang w:val="en-US" w:eastAsia="ru-RU"/>
              </w:rPr>
              <w:t xml:space="preserve"> </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w:t>
            </w:r>
          </w:p>
        </w:tc>
      </w:tr>
      <w:tr w:rsidR="0091654B" w:rsidRPr="006D58BF" w:rsidTr="009A6873">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 </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i/>
                <w:iCs/>
                <w:color w:val="000000"/>
                <w:sz w:val="18"/>
                <w:szCs w:val="18"/>
                <w:lang w:val="en-US" w:eastAsia="ru-RU"/>
              </w:rPr>
            </w:pPr>
            <w:r>
              <w:rPr>
                <w:rFonts w:ascii="Times New Roman" w:eastAsia="Times New Roman" w:hAnsi="Times New Roman"/>
                <w:i/>
                <w:iCs/>
                <w:color w:val="000000"/>
                <w:sz w:val="18"/>
                <w:szCs w:val="18"/>
                <w:lang w:val="en-US" w:eastAsia="ru-RU"/>
              </w:rPr>
              <w:t>depreciation</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of</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fixed</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assets</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and</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intangible</w:t>
            </w:r>
            <w:r w:rsidRPr="004D30C4">
              <w:rPr>
                <w:rFonts w:ascii="Times New Roman" w:eastAsia="Times New Roman" w:hAnsi="Times New Roman"/>
                <w:i/>
                <w:iCs/>
                <w:color w:val="000000"/>
                <w:sz w:val="18"/>
                <w:szCs w:val="18"/>
                <w:lang w:val="en-US" w:eastAsia="ru-RU"/>
              </w:rPr>
              <w:t xml:space="preserve"> </w:t>
            </w:r>
            <w:r>
              <w:rPr>
                <w:rFonts w:ascii="Times New Roman" w:eastAsia="Times New Roman" w:hAnsi="Times New Roman"/>
                <w:i/>
                <w:iCs/>
                <w:color w:val="000000"/>
                <w:sz w:val="18"/>
                <w:szCs w:val="18"/>
                <w:lang w:val="en-US" w:eastAsia="ru-RU"/>
              </w:rPr>
              <w:t>assets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8 146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11 794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25 303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36 509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i/>
                <w:iCs/>
                <w:color w:val="000000"/>
                <w:sz w:val="18"/>
                <w:szCs w:val="18"/>
                <w:lang w:eastAsia="ru-RU"/>
              </w:rPr>
            </w:pPr>
            <w:r w:rsidRPr="006D58BF">
              <w:rPr>
                <w:rFonts w:ascii="Times New Roman" w:eastAsia="Times New Roman" w:hAnsi="Times New Roman"/>
                <w:i/>
                <w:iCs/>
                <w:color w:val="000000"/>
                <w:sz w:val="18"/>
                <w:szCs w:val="18"/>
                <w:lang w:eastAsia="ru-RU"/>
              </w:rPr>
              <w:t>26 819</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3</w:t>
            </w:r>
          </w:p>
        </w:tc>
        <w:tc>
          <w:tcPr>
            <w:tcW w:w="3760" w:type="dxa"/>
            <w:tcBorders>
              <w:top w:val="nil"/>
              <w:left w:val="nil"/>
              <w:bottom w:val="single" w:sz="4" w:space="0" w:color="auto"/>
              <w:right w:val="single" w:sz="4" w:space="0" w:color="auto"/>
            </w:tcBorders>
            <w:shd w:val="clear" w:color="auto" w:fill="auto"/>
            <w:hideMark/>
          </w:tcPr>
          <w:p w:rsidR="0091654B" w:rsidRPr="006D58BF" w:rsidRDefault="004D30C4" w:rsidP="009A6873">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Gross profit</w:t>
            </w:r>
            <w:r w:rsidR="0091654B" w:rsidRPr="006D58BF">
              <w:rPr>
                <w:rFonts w:ascii="Times New Roman" w:eastAsia="Times New Roman" w:hAnsi="Times New Roman"/>
                <w:b/>
                <w:bCs/>
                <w:color w:val="000000"/>
                <w:sz w:val="20"/>
                <w:szCs w:val="20"/>
                <w:lang w:val="en-US" w:eastAsia="ru-RU"/>
              </w:rPr>
              <w:t xml:space="preserve"> (Gross operating profit=1-2)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17 494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30 900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57 950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53 451</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59 116</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Income from financing</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1 702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3 294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4 064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1 407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3 159</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 income</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6 577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3 799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70 435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787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expenses for goods sale and delivery of services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153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2 416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2 883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3 488</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7</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General and administrative expenses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6 770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10 718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11 287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12 761</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9 732</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Income for financing </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5 300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8 377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23 993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19 530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18 315</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w:t>
            </w:r>
          </w:p>
        </w:tc>
        <w:tc>
          <w:tcPr>
            <w:tcW w:w="3760" w:type="dxa"/>
            <w:tcBorders>
              <w:top w:val="nil"/>
              <w:left w:val="nil"/>
              <w:bottom w:val="single" w:sz="4" w:space="0" w:color="auto"/>
              <w:right w:val="single" w:sz="4" w:space="0" w:color="auto"/>
            </w:tcBorders>
            <w:shd w:val="clear" w:color="auto" w:fill="auto"/>
            <w:hideMark/>
          </w:tcPr>
          <w:p w:rsidR="0091654B" w:rsidRPr="004D30C4" w:rsidRDefault="004D30C4" w:rsidP="004D30C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expenses</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from</w:t>
            </w:r>
            <w:r w:rsidRPr="004D30C4">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non-core operations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4 632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1 314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87 438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1 312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41</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w:t>
            </w:r>
          </w:p>
        </w:tc>
        <w:tc>
          <w:tcPr>
            <w:tcW w:w="3760" w:type="dxa"/>
            <w:tcBorders>
              <w:top w:val="nil"/>
              <w:left w:val="nil"/>
              <w:bottom w:val="single" w:sz="4" w:space="0" w:color="auto"/>
              <w:right w:val="single" w:sz="4" w:space="0" w:color="auto"/>
            </w:tcBorders>
            <w:shd w:val="clear" w:color="auto" w:fill="auto"/>
            <w:hideMark/>
          </w:tcPr>
          <w:p w:rsidR="0091654B" w:rsidRPr="00D457F2" w:rsidRDefault="004D30C4"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w:t>
            </w:r>
            <w:r w:rsidRPr="00D457F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share</w:t>
            </w:r>
            <w:r w:rsidRPr="00D457F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of</w:t>
            </w:r>
            <w:r w:rsidRPr="00D457F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profit</w:t>
            </w:r>
            <w:r w:rsidRPr="00D457F2">
              <w:rPr>
                <w:rFonts w:ascii="Times New Roman" w:eastAsia="Times New Roman" w:hAnsi="Times New Roman"/>
                <w:color w:val="000000"/>
                <w:sz w:val="20"/>
                <w:szCs w:val="20"/>
                <w:lang w:val="en-US" w:eastAsia="ru-RU"/>
              </w:rPr>
              <w:t>/</w:t>
            </w:r>
            <w:r>
              <w:rPr>
                <w:rFonts w:ascii="Times New Roman" w:eastAsia="Times New Roman" w:hAnsi="Times New Roman"/>
                <w:color w:val="000000"/>
                <w:sz w:val="20"/>
                <w:szCs w:val="20"/>
                <w:lang w:val="en-US" w:eastAsia="ru-RU"/>
              </w:rPr>
              <w:t>loss</w:t>
            </w:r>
            <w:r w:rsidRPr="00D457F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of</w:t>
            </w:r>
            <w:r w:rsidRPr="00D457F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organizations</w:t>
            </w:r>
            <w:r w:rsidRPr="00D457F2">
              <w:rPr>
                <w:rFonts w:ascii="Times New Roman" w:eastAsia="Times New Roman" w:hAnsi="Times New Roman"/>
                <w:color w:val="000000"/>
                <w:sz w:val="20"/>
                <w:szCs w:val="20"/>
                <w:lang w:val="en-US" w:eastAsia="ru-RU"/>
              </w:rPr>
              <w:t xml:space="preserve"> </w:t>
            </w:r>
            <w:r w:rsidR="00D457F2">
              <w:rPr>
                <w:rFonts w:ascii="Times New Roman" w:eastAsia="Times New Roman" w:hAnsi="Times New Roman"/>
                <w:color w:val="000000"/>
                <w:sz w:val="20"/>
                <w:szCs w:val="20"/>
                <w:lang w:val="en-US" w:eastAsia="ru-RU"/>
              </w:rPr>
              <w:t>accounted using equity method</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13 177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30 106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12 956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11 447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12 339</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w:t>
            </w:r>
          </w:p>
        </w:tc>
        <w:tc>
          <w:tcPr>
            <w:tcW w:w="3760" w:type="dxa"/>
            <w:tcBorders>
              <w:top w:val="nil"/>
              <w:left w:val="nil"/>
              <w:bottom w:val="single" w:sz="4" w:space="0" w:color="auto"/>
              <w:right w:val="single" w:sz="4" w:space="0" w:color="auto"/>
            </w:tcBorders>
            <w:shd w:val="clear" w:color="auto" w:fill="auto"/>
            <w:hideMark/>
          </w:tcPr>
          <w:p w:rsidR="0091654B" w:rsidRPr="00DD5375" w:rsidRDefault="00E93AD0"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The</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profit</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loss</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from</w:t>
            </w:r>
            <w:r w:rsidRPr="00DD5375">
              <w:rPr>
                <w:rFonts w:ascii="Times New Roman" w:eastAsia="Times New Roman" w:hAnsi="Times New Roman"/>
                <w:color w:val="000000"/>
                <w:sz w:val="20"/>
                <w:szCs w:val="20"/>
                <w:lang w:val="en-US" w:eastAsia="ru-RU"/>
              </w:rPr>
              <w:t xml:space="preserve"> </w:t>
            </w:r>
            <w:r w:rsidR="00DD5375">
              <w:rPr>
                <w:rFonts w:ascii="Times New Roman" w:eastAsia="Times New Roman" w:hAnsi="Times New Roman"/>
                <w:color w:val="000000"/>
                <w:sz w:val="20"/>
                <w:szCs w:val="20"/>
                <w:lang w:val="en-US" w:eastAsia="ru-RU"/>
              </w:rPr>
              <w:t>discontinued operations</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60</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2 987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3 822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6 382</w:t>
            </w:r>
          </w:p>
        </w:tc>
      </w:tr>
      <w:tr w:rsidR="0091654B" w:rsidRPr="006D58BF" w:rsidTr="009A6873">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13</w:t>
            </w:r>
          </w:p>
        </w:tc>
        <w:tc>
          <w:tcPr>
            <w:tcW w:w="3760" w:type="dxa"/>
            <w:tcBorders>
              <w:top w:val="nil"/>
              <w:left w:val="nil"/>
              <w:bottom w:val="single" w:sz="4" w:space="0" w:color="auto"/>
              <w:right w:val="single" w:sz="4" w:space="0" w:color="auto"/>
            </w:tcBorders>
            <w:shd w:val="clear" w:color="auto" w:fill="auto"/>
            <w:hideMark/>
          </w:tcPr>
          <w:p w:rsidR="0091654B" w:rsidRPr="00DD5375" w:rsidRDefault="00DD5375"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Expenses</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on</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corporate</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income</w:t>
            </w:r>
            <w:r w:rsidRPr="00DD537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tax</w:t>
            </w:r>
            <w:r w:rsidRPr="00DD5375">
              <w:rPr>
                <w:rFonts w:ascii="Times New Roman" w:eastAsia="Times New Roman" w:hAnsi="Times New Roman"/>
                <w:color w:val="000000"/>
                <w:sz w:val="20"/>
                <w:szCs w:val="20"/>
                <w:lang w:val="en-US" w:eastAsia="ru-RU"/>
              </w:rPr>
              <w:t xml:space="preserve"> </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3 522</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5 618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10 009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9 036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10 135</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14</w:t>
            </w:r>
          </w:p>
        </w:tc>
        <w:tc>
          <w:tcPr>
            <w:tcW w:w="3760" w:type="dxa"/>
            <w:tcBorders>
              <w:top w:val="nil"/>
              <w:left w:val="nil"/>
              <w:bottom w:val="single" w:sz="4" w:space="0" w:color="auto"/>
              <w:right w:val="single" w:sz="4" w:space="0" w:color="auto"/>
            </w:tcBorders>
            <w:shd w:val="clear" w:color="auto" w:fill="auto"/>
            <w:hideMark/>
          </w:tcPr>
          <w:p w:rsidR="0091654B" w:rsidRPr="00DD5375" w:rsidRDefault="00DD5375" w:rsidP="009A6873">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Minority share</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-126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1 023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-2 696</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104</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101</w:t>
            </w:r>
          </w:p>
        </w:tc>
      </w:tr>
      <w:tr w:rsidR="0091654B" w:rsidRPr="006D58BF" w:rsidTr="009A6873">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15</w:t>
            </w:r>
          </w:p>
        </w:tc>
        <w:tc>
          <w:tcPr>
            <w:tcW w:w="3760" w:type="dxa"/>
            <w:tcBorders>
              <w:top w:val="nil"/>
              <w:left w:val="nil"/>
              <w:bottom w:val="single" w:sz="4" w:space="0" w:color="auto"/>
              <w:right w:val="single" w:sz="4" w:space="0" w:color="auto"/>
            </w:tcBorders>
            <w:shd w:val="clear" w:color="auto" w:fill="auto"/>
            <w:hideMark/>
          </w:tcPr>
          <w:p w:rsidR="0091654B" w:rsidRPr="00DD5375" w:rsidRDefault="00DD5375" w:rsidP="009A6873">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Total profit</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18 758</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40 853</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15 947</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25 289</w:t>
            </w:r>
          </w:p>
        </w:tc>
        <w:tc>
          <w:tcPr>
            <w:tcW w:w="960" w:type="dxa"/>
            <w:tcBorders>
              <w:top w:val="nil"/>
              <w:left w:val="nil"/>
              <w:bottom w:val="single" w:sz="4" w:space="0" w:color="auto"/>
              <w:right w:val="single" w:sz="4" w:space="0" w:color="auto"/>
            </w:tcBorders>
            <w:shd w:val="clear" w:color="auto" w:fill="auto"/>
            <w:noWrap/>
            <w:hideMark/>
          </w:tcPr>
          <w:p w:rsidR="0091654B" w:rsidRPr="006D58BF" w:rsidRDefault="0091654B" w:rsidP="009A6873">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39 190</w:t>
            </w:r>
          </w:p>
        </w:tc>
      </w:tr>
    </w:tbl>
    <w:p w:rsidR="00D230FA" w:rsidRDefault="00D230FA" w:rsidP="0028633E">
      <w:pPr>
        <w:ind w:firstLine="567"/>
        <w:jc w:val="both"/>
        <w:rPr>
          <w:rFonts w:ascii="Times New Roman" w:hAnsi="Times New Roman"/>
          <w:sz w:val="28"/>
          <w:szCs w:val="28"/>
          <w:lang w:val="en-US"/>
        </w:rPr>
      </w:pPr>
    </w:p>
    <w:p w:rsidR="009A6873" w:rsidRPr="009A6873" w:rsidRDefault="009A6873" w:rsidP="009A6873">
      <w:pPr>
        <w:ind w:firstLine="567"/>
        <w:jc w:val="both"/>
        <w:rPr>
          <w:rFonts w:ascii="Times New Roman" w:hAnsi="Times New Roman"/>
          <w:sz w:val="28"/>
          <w:szCs w:val="28"/>
          <w:lang w:val="en-US"/>
        </w:rPr>
      </w:pPr>
      <w:r>
        <w:rPr>
          <w:rFonts w:ascii="Times New Roman" w:hAnsi="Times New Roman"/>
          <w:b/>
          <w:sz w:val="28"/>
          <w:szCs w:val="28"/>
          <w:lang w:val="en-US"/>
        </w:rPr>
        <w:t>Income from s</w:t>
      </w:r>
      <w:r w:rsidRPr="009A6873">
        <w:rPr>
          <w:rFonts w:ascii="Times New Roman" w:hAnsi="Times New Roman"/>
          <w:b/>
          <w:sz w:val="28"/>
          <w:szCs w:val="28"/>
          <w:lang w:val="en-US"/>
        </w:rPr>
        <w:t>ale of products and service</w:t>
      </w:r>
      <w:r>
        <w:rPr>
          <w:rFonts w:ascii="Times New Roman" w:hAnsi="Times New Roman"/>
          <w:b/>
          <w:sz w:val="28"/>
          <w:szCs w:val="28"/>
          <w:lang w:val="en-US"/>
        </w:rPr>
        <w:t xml:space="preserve">s delivery for “Samruk-Energy” JSC </w:t>
      </w:r>
      <w:r w:rsidRPr="009A6873">
        <w:rPr>
          <w:rFonts w:ascii="Times New Roman" w:hAnsi="Times New Roman"/>
          <w:sz w:val="28"/>
          <w:szCs w:val="28"/>
          <w:lang w:val="en-US"/>
        </w:rPr>
        <w:t xml:space="preserve"> group of companies amounted to 178</w:t>
      </w:r>
      <w:r>
        <w:rPr>
          <w:rFonts w:ascii="Times New Roman" w:hAnsi="Times New Roman"/>
          <w:sz w:val="28"/>
          <w:szCs w:val="28"/>
          <w:lang w:val="en-US"/>
        </w:rPr>
        <w:t xml:space="preserve"> </w:t>
      </w:r>
      <w:r w:rsidRPr="009A6873">
        <w:rPr>
          <w:rFonts w:ascii="Times New Roman" w:hAnsi="Times New Roman"/>
          <w:sz w:val="28"/>
          <w:szCs w:val="28"/>
          <w:lang w:val="en-US"/>
        </w:rPr>
        <w:t xml:space="preserve">085 mln.  Compared with the same period </w:t>
      </w:r>
      <w:r>
        <w:rPr>
          <w:rFonts w:ascii="Times New Roman" w:hAnsi="Times New Roman"/>
          <w:sz w:val="28"/>
          <w:szCs w:val="28"/>
          <w:lang w:val="en-US"/>
        </w:rPr>
        <w:t xml:space="preserve">of </w:t>
      </w:r>
      <w:r w:rsidRPr="009A6873">
        <w:rPr>
          <w:rFonts w:ascii="Times New Roman" w:hAnsi="Times New Roman"/>
          <w:sz w:val="28"/>
          <w:szCs w:val="28"/>
          <w:lang w:val="en-US"/>
        </w:rPr>
        <w:t>last year</w:t>
      </w:r>
      <w:r>
        <w:rPr>
          <w:rFonts w:ascii="Times New Roman" w:hAnsi="Times New Roman"/>
          <w:sz w:val="28"/>
          <w:szCs w:val="28"/>
          <w:lang w:val="en-US"/>
        </w:rPr>
        <w:t xml:space="preserve"> it has</w:t>
      </w:r>
      <w:r w:rsidRPr="009A6873">
        <w:rPr>
          <w:rFonts w:ascii="Times New Roman" w:hAnsi="Times New Roman"/>
          <w:sz w:val="28"/>
          <w:szCs w:val="28"/>
          <w:lang w:val="en-US"/>
        </w:rPr>
        <w:t xml:space="preserve"> increased by 131%</w:t>
      </w:r>
      <w:r>
        <w:rPr>
          <w:rFonts w:ascii="Times New Roman" w:hAnsi="Times New Roman"/>
          <w:sz w:val="28"/>
          <w:szCs w:val="28"/>
          <w:lang w:val="en-US"/>
        </w:rPr>
        <w:t>,</w:t>
      </w:r>
      <w:r w:rsidRPr="009A6873">
        <w:rPr>
          <w:rFonts w:ascii="Times New Roman" w:hAnsi="Times New Roman"/>
          <w:sz w:val="28"/>
          <w:szCs w:val="28"/>
          <w:lang w:val="en-US"/>
        </w:rPr>
        <w:t xml:space="preserve"> due to the inclusion in the consolidation of  new asset</w:t>
      </w:r>
      <w:r>
        <w:rPr>
          <w:rFonts w:ascii="Times New Roman" w:hAnsi="Times New Roman"/>
          <w:sz w:val="28"/>
          <w:szCs w:val="28"/>
          <w:lang w:val="en-US"/>
        </w:rPr>
        <w:t xml:space="preserve"> </w:t>
      </w:r>
      <w:r w:rsidRPr="009A6873">
        <w:rPr>
          <w:rFonts w:ascii="Times New Roman" w:hAnsi="Times New Roman"/>
          <w:sz w:val="28"/>
          <w:szCs w:val="28"/>
          <w:lang w:val="en-US"/>
        </w:rPr>
        <w:t>"Ekibastuz GRES - 1"</w:t>
      </w:r>
      <w:r>
        <w:rPr>
          <w:rFonts w:ascii="Times New Roman" w:hAnsi="Times New Roman"/>
          <w:sz w:val="28"/>
          <w:szCs w:val="28"/>
          <w:lang w:val="en-US"/>
        </w:rPr>
        <w:t xml:space="preserve"> LLP</w:t>
      </w:r>
      <w:r w:rsidRPr="009A6873">
        <w:rPr>
          <w:rFonts w:ascii="Times New Roman" w:hAnsi="Times New Roman"/>
          <w:sz w:val="28"/>
          <w:szCs w:val="28"/>
          <w:lang w:val="en-US"/>
        </w:rPr>
        <w:t xml:space="preserve"> from April 2014 with the volume of electricity sale amount</w:t>
      </w:r>
      <w:r>
        <w:rPr>
          <w:rFonts w:ascii="Times New Roman" w:hAnsi="Times New Roman"/>
          <w:sz w:val="28"/>
          <w:szCs w:val="28"/>
          <w:lang w:val="en-US"/>
        </w:rPr>
        <w:t>ing to</w:t>
      </w:r>
      <w:r w:rsidRPr="009A6873">
        <w:rPr>
          <w:rFonts w:ascii="Times New Roman" w:hAnsi="Times New Roman"/>
          <w:sz w:val="28"/>
          <w:szCs w:val="28"/>
          <w:lang w:val="en-US"/>
        </w:rPr>
        <w:t xml:space="preserve"> 14 billion kWh</w:t>
      </w:r>
      <w:r>
        <w:rPr>
          <w:rFonts w:ascii="Times New Roman" w:hAnsi="Times New Roman"/>
          <w:sz w:val="28"/>
          <w:szCs w:val="28"/>
          <w:lang w:val="en-US"/>
        </w:rPr>
        <w:t xml:space="preserve">. </w:t>
      </w:r>
    </w:p>
    <w:p w:rsidR="009A6873" w:rsidRPr="009A6873" w:rsidRDefault="009A6873" w:rsidP="009A6873">
      <w:pPr>
        <w:ind w:firstLine="567"/>
        <w:jc w:val="both"/>
        <w:rPr>
          <w:rFonts w:ascii="Times New Roman" w:hAnsi="Times New Roman"/>
          <w:sz w:val="28"/>
          <w:szCs w:val="28"/>
          <w:lang w:val="en-US"/>
        </w:rPr>
      </w:pPr>
      <w:r w:rsidRPr="009A6873">
        <w:rPr>
          <w:rFonts w:ascii="Times New Roman" w:hAnsi="Times New Roman"/>
          <w:sz w:val="28"/>
          <w:szCs w:val="28"/>
          <w:lang w:val="en-US"/>
        </w:rPr>
        <w:t xml:space="preserve">However, when comparing the results of the previous year it should be noted that in accordance with Government Resolution on a comprehensive plan </w:t>
      </w:r>
      <w:r>
        <w:rPr>
          <w:rFonts w:ascii="Times New Roman" w:hAnsi="Times New Roman"/>
          <w:sz w:val="28"/>
          <w:szCs w:val="28"/>
          <w:lang w:val="en-US"/>
        </w:rPr>
        <w:t xml:space="preserve">for </w:t>
      </w:r>
      <w:r w:rsidRPr="009A6873">
        <w:rPr>
          <w:rFonts w:ascii="Times New Roman" w:hAnsi="Times New Roman"/>
          <w:sz w:val="28"/>
          <w:szCs w:val="28"/>
          <w:lang w:val="en-US"/>
        </w:rPr>
        <w:t xml:space="preserve">privatization and the </w:t>
      </w:r>
      <w:r>
        <w:rPr>
          <w:rFonts w:ascii="Times New Roman" w:hAnsi="Times New Roman"/>
          <w:sz w:val="28"/>
          <w:szCs w:val="28"/>
          <w:lang w:val="en-US"/>
        </w:rPr>
        <w:t xml:space="preserve">IFRS </w:t>
      </w:r>
      <w:r w:rsidRPr="009A6873">
        <w:rPr>
          <w:rFonts w:ascii="Times New Roman" w:hAnsi="Times New Roman"/>
          <w:sz w:val="28"/>
          <w:szCs w:val="28"/>
          <w:lang w:val="en-US"/>
        </w:rPr>
        <w:t xml:space="preserve">standard </w:t>
      </w:r>
      <w:r>
        <w:rPr>
          <w:rFonts w:ascii="Times New Roman" w:hAnsi="Times New Roman"/>
          <w:sz w:val="28"/>
          <w:szCs w:val="28"/>
          <w:lang w:val="en-US"/>
        </w:rPr>
        <w:t>No.5</w:t>
      </w:r>
      <w:r w:rsidRPr="009A6873">
        <w:rPr>
          <w:rFonts w:ascii="Times New Roman" w:hAnsi="Times New Roman"/>
          <w:sz w:val="28"/>
          <w:szCs w:val="28"/>
          <w:lang w:val="en-US"/>
        </w:rPr>
        <w:t xml:space="preserve"> "Non-current assets held for sale</w:t>
      </w:r>
      <w:r>
        <w:rPr>
          <w:rFonts w:ascii="Times New Roman" w:hAnsi="Times New Roman"/>
          <w:sz w:val="28"/>
          <w:szCs w:val="28"/>
          <w:lang w:val="en-US"/>
        </w:rPr>
        <w:t>,</w:t>
      </w:r>
      <w:r w:rsidRPr="009A6873">
        <w:rPr>
          <w:rFonts w:ascii="Times New Roman" w:hAnsi="Times New Roman"/>
          <w:sz w:val="28"/>
          <w:szCs w:val="28"/>
          <w:lang w:val="en-US"/>
        </w:rPr>
        <w:t xml:space="preserve"> and discontinued operations" </w:t>
      </w:r>
      <w:r>
        <w:rPr>
          <w:rFonts w:ascii="Times New Roman" w:hAnsi="Times New Roman"/>
          <w:sz w:val="28"/>
          <w:szCs w:val="28"/>
          <w:lang w:val="en-US"/>
        </w:rPr>
        <w:t xml:space="preserve">the </w:t>
      </w:r>
      <w:r w:rsidRPr="009A6873">
        <w:rPr>
          <w:rFonts w:ascii="Times New Roman" w:hAnsi="Times New Roman"/>
          <w:sz w:val="28"/>
          <w:szCs w:val="28"/>
          <w:lang w:val="en-US"/>
        </w:rPr>
        <w:t xml:space="preserve">assets </w:t>
      </w:r>
      <w:r>
        <w:rPr>
          <w:rFonts w:ascii="Times New Roman" w:hAnsi="Times New Roman"/>
          <w:sz w:val="28"/>
          <w:szCs w:val="28"/>
          <w:lang w:val="en-US"/>
        </w:rPr>
        <w:t>intended for sale</w:t>
      </w:r>
      <w:r w:rsidRPr="009A6873">
        <w:rPr>
          <w:rFonts w:ascii="Times New Roman" w:hAnsi="Times New Roman"/>
          <w:sz w:val="28"/>
          <w:szCs w:val="28"/>
          <w:lang w:val="en-US"/>
        </w:rPr>
        <w:t xml:space="preserve"> including: </w:t>
      </w:r>
      <w:r>
        <w:rPr>
          <w:rFonts w:ascii="Times New Roman" w:hAnsi="Times New Roman"/>
          <w:sz w:val="28"/>
          <w:szCs w:val="28"/>
          <w:lang w:val="en-US"/>
        </w:rPr>
        <w:t xml:space="preserve">power </w:t>
      </w:r>
      <w:r w:rsidR="00C4371B">
        <w:rPr>
          <w:rFonts w:ascii="Times New Roman" w:hAnsi="Times New Roman"/>
          <w:sz w:val="28"/>
          <w:szCs w:val="28"/>
          <w:lang w:val="en-US"/>
        </w:rPr>
        <w:t>plant</w:t>
      </w:r>
      <w:r w:rsidR="00C4371B" w:rsidRPr="009A6873">
        <w:rPr>
          <w:rFonts w:ascii="Times New Roman" w:hAnsi="Times New Roman"/>
          <w:sz w:val="28"/>
          <w:szCs w:val="28"/>
          <w:lang w:val="en-US"/>
        </w:rPr>
        <w:t xml:space="preserve"> </w:t>
      </w:r>
      <w:r w:rsidR="00C4371B">
        <w:rPr>
          <w:rFonts w:ascii="Times New Roman" w:hAnsi="Times New Roman"/>
          <w:sz w:val="28"/>
          <w:szCs w:val="28"/>
          <w:lang w:val="en-US"/>
        </w:rPr>
        <w:t>“</w:t>
      </w:r>
      <w:r w:rsidRPr="009A6873">
        <w:rPr>
          <w:rFonts w:ascii="Times New Roman" w:hAnsi="Times New Roman"/>
          <w:sz w:val="28"/>
          <w:szCs w:val="28"/>
          <w:lang w:val="en-US"/>
        </w:rPr>
        <w:t>Aktobe CHP"</w:t>
      </w:r>
      <w:r>
        <w:rPr>
          <w:rFonts w:ascii="Times New Roman" w:hAnsi="Times New Roman"/>
          <w:sz w:val="28"/>
          <w:szCs w:val="28"/>
          <w:lang w:val="en-US"/>
        </w:rPr>
        <w:t xml:space="preserve"> JSC, power transmission companies </w:t>
      </w:r>
      <w:r w:rsidR="00C4371B">
        <w:rPr>
          <w:rFonts w:ascii="Times New Roman" w:hAnsi="Times New Roman"/>
          <w:sz w:val="28"/>
          <w:szCs w:val="28"/>
          <w:lang w:val="en-US"/>
        </w:rPr>
        <w:t>"M</w:t>
      </w:r>
      <w:r w:rsidRPr="009A6873">
        <w:rPr>
          <w:rFonts w:ascii="Times New Roman" w:hAnsi="Times New Roman"/>
          <w:sz w:val="28"/>
          <w:szCs w:val="28"/>
          <w:lang w:val="en-US"/>
        </w:rPr>
        <w:t>D</w:t>
      </w:r>
      <w:r w:rsidR="00C4371B">
        <w:rPr>
          <w:rFonts w:ascii="Times New Roman" w:hAnsi="Times New Roman"/>
          <w:sz w:val="28"/>
          <w:szCs w:val="28"/>
          <w:lang w:val="en-US"/>
        </w:rPr>
        <w:t>PG</w:t>
      </w:r>
      <w:r w:rsidRPr="009A6873">
        <w:rPr>
          <w:rFonts w:ascii="Times New Roman" w:hAnsi="Times New Roman"/>
          <w:sz w:val="28"/>
          <w:szCs w:val="28"/>
          <w:lang w:val="en-US"/>
        </w:rPr>
        <w:t>C"</w:t>
      </w:r>
      <w:r>
        <w:rPr>
          <w:rFonts w:ascii="Times New Roman" w:hAnsi="Times New Roman"/>
          <w:sz w:val="28"/>
          <w:szCs w:val="28"/>
          <w:lang w:val="en-US"/>
        </w:rPr>
        <w:t xml:space="preserve"> JSC</w:t>
      </w:r>
      <w:r w:rsidRPr="009A6873">
        <w:rPr>
          <w:rFonts w:ascii="Times New Roman" w:hAnsi="Times New Roman"/>
          <w:sz w:val="28"/>
          <w:szCs w:val="28"/>
          <w:lang w:val="en-US"/>
        </w:rPr>
        <w:t>, "</w:t>
      </w:r>
      <w:r>
        <w:rPr>
          <w:rFonts w:ascii="Times New Roman" w:hAnsi="Times New Roman"/>
          <w:sz w:val="28"/>
          <w:szCs w:val="28"/>
          <w:lang w:val="en-US"/>
        </w:rPr>
        <w:t>E</w:t>
      </w:r>
      <w:r w:rsidRPr="009A6873">
        <w:rPr>
          <w:rFonts w:ascii="Times New Roman" w:hAnsi="Times New Roman"/>
          <w:sz w:val="28"/>
          <w:szCs w:val="28"/>
          <w:lang w:val="en-US"/>
        </w:rPr>
        <w:t>K</w:t>
      </w:r>
      <w:r>
        <w:rPr>
          <w:rFonts w:ascii="Times New Roman" w:hAnsi="Times New Roman"/>
          <w:sz w:val="28"/>
          <w:szCs w:val="28"/>
          <w:lang w:val="en-US"/>
        </w:rPr>
        <w:t xml:space="preserve"> REC</w:t>
      </w:r>
      <w:r w:rsidRPr="009A6873">
        <w:rPr>
          <w:rFonts w:ascii="Times New Roman" w:hAnsi="Times New Roman"/>
          <w:sz w:val="28"/>
          <w:szCs w:val="28"/>
          <w:lang w:val="en-US"/>
        </w:rPr>
        <w:t>"</w:t>
      </w:r>
      <w:r>
        <w:rPr>
          <w:rFonts w:ascii="Times New Roman" w:hAnsi="Times New Roman"/>
          <w:sz w:val="28"/>
          <w:szCs w:val="28"/>
          <w:lang w:val="en-US"/>
        </w:rPr>
        <w:t xml:space="preserve"> JSC</w:t>
      </w:r>
      <w:r w:rsidRPr="009A6873">
        <w:rPr>
          <w:rFonts w:ascii="Times New Roman" w:hAnsi="Times New Roman"/>
          <w:sz w:val="28"/>
          <w:szCs w:val="28"/>
          <w:lang w:val="en-US"/>
        </w:rPr>
        <w:t xml:space="preserve"> and </w:t>
      </w:r>
      <w:r>
        <w:rPr>
          <w:rFonts w:ascii="Times New Roman" w:hAnsi="Times New Roman"/>
          <w:sz w:val="28"/>
          <w:szCs w:val="28"/>
          <w:lang w:val="en-US"/>
        </w:rPr>
        <w:t xml:space="preserve">power supplying “SHET” LLP were not considered in 2014 income. </w:t>
      </w:r>
    </w:p>
    <w:p w:rsidR="009A6873" w:rsidRPr="009A6873" w:rsidRDefault="009A6873" w:rsidP="009A6873">
      <w:pPr>
        <w:ind w:firstLine="567"/>
        <w:jc w:val="both"/>
        <w:rPr>
          <w:rFonts w:ascii="Times New Roman" w:hAnsi="Times New Roman"/>
          <w:sz w:val="28"/>
          <w:szCs w:val="28"/>
          <w:lang w:val="en-US"/>
        </w:rPr>
      </w:pPr>
      <w:r w:rsidRPr="009A6873">
        <w:rPr>
          <w:rFonts w:ascii="Times New Roman" w:hAnsi="Times New Roman"/>
          <w:sz w:val="28"/>
          <w:szCs w:val="28"/>
          <w:lang w:val="en-US"/>
        </w:rPr>
        <w:lastRenderedPageBreak/>
        <w:t>Revenue from sale of products and services</w:t>
      </w:r>
      <w:r w:rsidR="00C4371B">
        <w:rPr>
          <w:rFonts w:ascii="Times New Roman" w:hAnsi="Times New Roman"/>
          <w:sz w:val="28"/>
          <w:szCs w:val="28"/>
          <w:lang w:val="en-US"/>
        </w:rPr>
        <w:t xml:space="preserve"> delivery</w:t>
      </w:r>
      <w:r w:rsidRPr="009A6873">
        <w:rPr>
          <w:rFonts w:ascii="Times New Roman" w:hAnsi="Times New Roman"/>
          <w:sz w:val="28"/>
          <w:szCs w:val="28"/>
          <w:lang w:val="en-US"/>
        </w:rPr>
        <w:t xml:space="preserve"> from these assets is 39 924 mln.</w:t>
      </w:r>
      <w:r w:rsidR="00C4371B">
        <w:rPr>
          <w:rFonts w:ascii="Times New Roman" w:hAnsi="Times New Roman"/>
          <w:sz w:val="28"/>
          <w:szCs w:val="28"/>
          <w:lang w:val="en-US"/>
        </w:rPr>
        <w:t>tenge.</w:t>
      </w:r>
      <w:r w:rsidRPr="009A6873">
        <w:rPr>
          <w:rFonts w:ascii="Times New Roman" w:hAnsi="Times New Roman"/>
          <w:sz w:val="28"/>
          <w:szCs w:val="28"/>
          <w:lang w:val="en-US"/>
        </w:rPr>
        <w:t xml:space="preserve"> These assets are reflected in the line </w:t>
      </w:r>
      <w:r w:rsidR="00C4371B">
        <w:rPr>
          <w:rFonts w:ascii="Times New Roman" w:hAnsi="Times New Roman"/>
          <w:sz w:val="28"/>
          <w:szCs w:val="28"/>
          <w:lang w:val="en-US"/>
        </w:rPr>
        <w:t>“</w:t>
      </w:r>
      <w:r w:rsidRPr="009A6873">
        <w:rPr>
          <w:rFonts w:ascii="Times New Roman" w:hAnsi="Times New Roman"/>
          <w:sz w:val="28"/>
          <w:szCs w:val="28"/>
          <w:lang w:val="en-US"/>
        </w:rPr>
        <w:t>profit from discontinued operations</w:t>
      </w:r>
      <w:r w:rsidR="00C4371B">
        <w:rPr>
          <w:rFonts w:ascii="Times New Roman" w:hAnsi="Times New Roman"/>
          <w:sz w:val="28"/>
          <w:szCs w:val="28"/>
          <w:lang w:val="en-US"/>
        </w:rPr>
        <w:t xml:space="preserve">” in the amount of </w:t>
      </w:r>
      <w:r w:rsidRPr="009A6873">
        <w:rPr>
          <w:rFonts w:ascii="Times New Roman" w:hAnsi="Times New Roman"/>
          <w:sz w:val="28"/>
          <w:szCs w:val="28"/>
          <w:lang w:val="en-US"/>
        </w:rPr>
        <w:t>2</w:t>
      </w:r>
      <w:r w:rsidR="00C4371B">
        <w:rPr>
          <w:rFonts w:ascii="Times New Roman" w:hAnsi="Times New Roman"/>
          <w:sz w:val="28"/>
          <w:szCs w:val="28"/>
          <w:lang w:val="en-US"/>
        </w:rPr>
        <w:t xml:space="preserve"> </w:t>
      </w:r>
      <w:r w:rsidRPr="009A6873">
        <w:rPr>
          <w:rFonts w:ascii="Times New Roman" w:hAnsi="Times New Roman"/>
          <w:sz w:val="28"/>
          <w:szCs w:val="28"/>
          <w:lang w:val="en-US"/>
        </w:rPr>
        <w:t>987 million tenge.</w:t>
      </w:r>
    </w:p>
    <w:p w:rsidR="009A6873" w:rsidRPr="009A6873" w:rsidRDefault="009A6873" w:rsidP="009A6873">
      <w:pPr>
        <w:ind w:firstLine="567"/>
        <w:jc w:val="both"/>
        <w:rPr>
          <w:rFonts w:ascii="Times New Roman" w:hAnsi="Times New Roman"/>
          <w:sz w:val="28"/>
          <w:szCs w:val="28"/>
          <w:lang w:val="en-US"/>
        </w:rPr>
      </w:pPr>
      <w:r w:rsidRPr="009A6873">
        <w:rPr>
          <w:rFonts w:ascii="Times New Roman" w:hAnsi="Times New Roman"/>
          <w:sz w:val="28"/>
          <w:szCs w:val="28"/>
          <w:lang w:val="en-US"/>
        </w:rPr>
        <w:t xml:space="preserve">Most of </w:t>
      </w:r>
      <w:r w:rsidR="00C4371B">
        <w:rPr>
          <w:rFonts w:ascii="Times New Roman" w:hAnsi="Times New Roman"/>
          <w:sz w:val="28"/>
          <w:szCs w:val="28"/>
          <w:lang w:val="en-US"/>
        </w:rPr>
        <w:t>r</w:t>
      </w:r>
      <w:r w:rsidRPr="009A6873">
        <w:rPr>
          <w:rFonts w:ascii="Times New Roman" w:hAnsi="Times New Roman"/>
          <w:sz w:val="28"/>
          <w:szCs w:val="28"/>
          <w:lang w:val="en-US"/>
        </w:rPr>
        <w:t xml:space="preserve">evenues </w:t>
      </w:r>
      <w:r w:rsidR="00C4371B">
        <w:rPr>
          <w:rFonts w:ascii="Times New Roman" w:hAnsi="Times New Roman"/>
          <w:sz w:val="28"/>
          <w:szCs w:val="28"/>
          <w:lang w:val="en-US"/>
        </w:rPr>
        <w:t xml:space="preserve">are </w:t>
      </w:r>
      <w:r w:rsidRPr="009A6873">
        <w:rPr>
          <w:rFonts w:ascii="Times New Roman" w:hAnsi="Times New Roman"/>
          <w:sz w:val="28"/>
          <w:szCs w:val="28"/>
          <w:lang w:val="en-US"/>
        </w:rPr>
        <w:t>generated by</w:t>
      </w:r>
      <w:r w:rsidR="00C4371B">
        <w:rPr>
          <w:rFonts w:ascii="Times New Roman" w:hAnsi="Times New Roman"/>
          <w:sz w:val="28"/>
          <w:szCs w:val="28"/>
          <w:lang w:val="en-US"/>
        </w:rPr>
        <w:t xml:space="preserve"> means of</w:t>
      </w:r>
      <w:r w:rsidRPr="009A6873">
        <w:rPr>
          <w:rFonts w:ascii="Times New Roman" w:hAnsi="Times New Roman"/>
          <w:sz w:val="28"/>
          <w:szCs w:val="28"/>
          <w:lang w:val="en-US"/>
        </w:rPr>
        <w:t xml:space="preserve"> proceeds from the sale of electricity</w:t>
      </w:r>
      <w:r w:rsidR="00C4371B">
        <w:rPr>
          <w:rFonts w:ascii="Times New Roman" w:hAnsi="Times New Roman"/>
          <w:sz w:val="28"/>
          <w:szCs w:val="28"/>
          <w:lang w:val="en-US"/>
        </w:rPr>
        <w:t xml:space="preserve"> by</w:t>
      </w:r>
      <w:r w:rsidRPr="009A6873">
        <w:rPr>
          <w:rFonts w:ascii="Times New Roman" w:hAnsi="Times New Roman"/>
          <w:sz w:val="28"/>
          <w:szCs w:val="28"/>
          <w:lang w:val="en-US"/>
        </w:rPr>
        <w:t xml:space="preserve"> </w:t>
      </w:r>
      <w:r w:rsidR="00C4371B">
        <w:rPr>
          <w:rFonts w:ascii="Times New Roman" w:hAnsi="Times New Roman"/>
          <w:sz w:val="28"/>
          <w:szCs w:val="28"/>
          <w:lang w:val="en-US"/>
        </w:rPr>
        <w:t xml:space="preserve">power </w:t>
      </w:r>
      <w:r w:rsidRPr="009A6873">
        <w:rPr>
          <w:rFonts w:ascii="Times New Roman" w:hAnsi="Times New Roman"/>
          <w:sz w:val="28"/>
          <w:szCs w:val="28"/>
          <w:lang w:val="en-US"/>
        </w:rPr>
        <w:t>generating companies of "Samruk-Energ</w:t>
      </w:r>
      <w:r w:rsidR="00C4371B">
        <w:rPr>
          <w:rFonts w:ascii="Times New Roman" w:hAnsi="Times New Roman"/>
          <w:sz w:val="28"/>
          <w:szCs w:val="28"/>
          <w:lang w:val="en-US"/>
        </w:rPr>
        <w:t>y</w:t>
      </w:r>
      <w:r w:rsidRPr="009A6873">
        <w:rPr>
          <w:rFonts w:ascii="Times New Roman" w:hAnsi="Times New Roman"/>
          <w:sz w:val="28"/>
          <w:szCs w:val="28"/>
          <w:lang w:val="en-US"/>
        </w:rPr>
        <w:t>" production volume in 2014 amounted to over 28 billion kWh</w:t>
      </w:r>
    </w:p>
    <w:p w:rsidR="009A6873" w:rsidRPr="009A6873" w:rsidRDefault="009A6873" w:rsidP="009A6873">
      <w:pPr>
        <w:ind w:firstLine="567"/>
        <w:jc w:val="both"/>
        <w:rPr>
          <w:rFonts w:ascii="Times New Roman" w:hAnsi="Times New Roman"/>
          <w:sz w:val="28"/>
          <w:szCs w:val="28"/>
          <w:lang w:val="en-US"/>
        </w:rPr>
      </w:pPr>
      <w:r w:rsidRPr="009A6873">
        <w:rPr>
          <w:rFonts w:ascii="Times New Roman" w:hAnsi="Times New Roman"/>
          <w:sz w:val="28"/>
          <w:szCs w:val="28"/>
          <w:lang w:val="en-US"/>
        </w:rPr>
        <w:t>Also, a significant share of income was income from sales of electricity supply authorities the volume of which in 2014 amounted to over 8.6 billion kWh and from the provision of services for power transmission and distribution 12</w:t>
      </w:r>
      <w:r w:rsidR="00E212DF">
        <w:rPr>
          <w:rFonts w:ascii="Times New Roman" w:hAnsi="Times New Roman"/>
          <w:sz w:val="28"/>
          <w:szCs w:val="28"/>
          <w:lang w:val="en-US"/>
        </w:rPr>
        <w:t>,</w:t>
      </w:r>
      <w:r w:rsidRPr="009A6873">
        <w:rPr>
          <w:rFonts w:ascii="Times New Roman" w:hAnsi="Times New Roman"/>
          <w:sz w:val="28"/>
          <w:szCs w:val="28"/>
          <w:lang w:val="en-US"/>
        </w:rPr>
        <w:t>3 billion kWh</w:t>
      </w:r>
      <w:r w:rsidR="00E212DF">
        <w:rPr>
          <w:rFonts w:ascii="Times New Roman" w:hAnsi="Times New Roman"/>
          <w:sz w:val="28"/>
          <w:szCs w:val="28"/>
          <w:lang w:val="en-US"/>
        </w:rPr>
        <w:t xml:space="preserve">. </w:t>
      </w:r>
    </w:p>
    <w:p w:rsidR="009A6873" w:rsidRPr="009A6873" w:rsidRDefault="009A6873" w:rsidP="009A6873">
      <w:pPr>
        <w:ind w:firstLine="567"/>
        <w:jc w:val="both"/>
        <w:rPr>
          <w:rFonts w:ascii="Times New Roman" w:hAnsi="Times New Roman"/>
          <w:sz w:val="28"/>
          <w:szCs w:val="28"/>
          <w:lang w:val="en-US"/>
        </w:rPr>
      </w:pPr>
      <w:r w:rsidRPr="00D0123A">
        <w:rPr>
          <w:rFonts w:ascii="Times New Roman" w:hAnsi="Times New Roman"/>
          <w:b/>
          <w:sz w:val="28"/>
          <w:szCs w:val="28"/>
          <w:lang w:val="en-US"/>
        </w:rPr>
        <w:t>The forecast for the future income from th</w:t>
      </w:r>
      <w:r w:rsidR="00E212DF" w:rsidRPr="00D0123A">
        <w:rPr>
          <w:rFonts w:ascii="Times New Roman" w:hAnsi="Times New Roman"/>
          <w:b/>
          <w:sz w:val="28"/>
          <w:szCs w:val="28"/>
          <w:lang w:val="en-US"/>
        </w:rPr>
        <w:t>e sale of products and services delivery</w:t>
      </w:r>
      <w:r w:rsidR="00D0123A">
        <w:rPr>
          <w:rFonts w:ascii="Times New Roman" w:hAnsi="Times New Roman"/>
          <w:sz w:val="28"/>
          <w:szCs w:val="28"/>
          <w:lang w:val="en-US"/>
        </w:rPr>
        <w:t>.</w:t>
      </w:r>
      <w:r w:rsidR="00E212DF">
        <w:rPr>
          <w:rFonts w:ascii="Times New Roman" w:hAnsi="Times New Roman"/>
          <w:sz w:val="28"/>
          <w:szCs w:val="28"/>
          <w:lang w:val="en-US"/>
        </w:rPr>
        <w:t xml:space="preserve"> </w:t>
      </w:r>
    </w:p>
    <w:p w:rsidR="009A6873" w:rsidRPr="009A6873" w:rsidRDefault="00E212DF" w:rsidP="009A6873">
      <w:pPr>
        <w:ind w:firstLine="567"/>
        <w:jc w:val="both"/>
        <w:rPr>
          <w:rFonts w:ascii="Times New Roman" w:hAnsi="Times New Roman"/>
          <w:sz w:val="28"/>
          <w:szCs w:val="28"/>
          <w:lang w:val="en-US"/>
        </w:rPr>
      </w:pPr>
      <w:r>
        <w:rPr>
          <w:rFonts w:ascii="Times New Roman" w:hAnsi="Times New Roman"/>
          <w:sz w:val="28"/>
          <w:szCs w:val="28"/>
          <w:lang w:val="en-US"/>
        </w:rPr>
        <w:t>In the</w:t>
      </w:r>
      <w:r w:rsidR="009A6873" w:rsidRPr="009A6873">
        <w:rPr>
          <w:rFonts w:ascii="Times New Roman" w:hAnsi="Times New Roman"/>
          <w:sz w:val="28"/>
          <w:szCs w:val="28"/>
          <w:lang w:val="en-US"/>
        </w:rPr>
        <w:t xml:space="preserve"> forecast for 2015 </w:t>
      </w:r>
      <w:r>
        <w:rPr>
          <w:rFonts w:ascii="Times New Roman" w:hAnsi="Times New Roman"/>
          <w:sz w:val="28"/>
          <w:szCs w:val="28"/>
          <w:lang w:val="en-US"/>
        </w:rPr>
        <w:t xml:space="preserve"> the income from sale is</w:t>
      </w:r>
      <w:r w:rsidR="009A6873" w:rsidRPr="009A6873">
        <w:rPr>
          <w:rFonts w:ascii="Times New Roman" w:hAnsi="Times New Roman"/>
          <w:sz w:val="28"/>
          <w:szCs w:val="28"/>
          <w:lang w:val="en-US"/>
        </w:rPr>
        <w:t xml:space="preserve"> plann</w:t>
      </w:r>
      <w:r>
        <w:rPr>
          <w:rFonts w:ascii="Times New Roman" w:hAnsi="Times New Roman"/>
          <w:sz w:val="28"/>
          <w:szCs w:val="28"/>
          <w:lang w:val="en-US"/>
        </w:rPr>
        <w:t xml:space="preserve">ed in the amount of 194 </w:t>
      </w:r>
      <w:r w:rsidR="009A6873" w:rsidRPr="009A6873">
        <w:rPr>
          <w:rFonts w:ascii="Times New Roman" w:hAnsi="Times New Roman"/>
          <w:sz w:val="28"/>
          <w:szCs w:val="28"/>
          <w:lang w:val="en-US"/>
        </w:rPr>
        <w:t xml:space="preserve">442 million tenge with growth in 2014 </w:t>
      </w:r>
      <w:r>
        <w:rPr>
          <w:rFonts w:ascii="Times New Roman" w:hAnsi="Times New Roman"/>
          <w:sz w:val="28"/>
          <w:szCs w:val="28"/>
          <w:lang w:val="en-US"/>
        </w:rPr>
        <w:t>by</w:t>
      </w:r>
      <w:r w:rsidR="009A6873" w:rsidRPr="009A6873">
        <w:rPr>
          <w:rFonts w:ascii="Times New Roman" w:hAnsi="Times New Roman"/>
          <w:sz w:val="28"/>
          <w:szCs w:val="28"/>
          <w:lang w:val="en-US"/>
        </w:rPr>
        <w:t xml:space="preserve"> 9%, due to an increase in tariffs.</w:t>
      </w:r>
      <w:r>
        <w:rPr>
          <w:rFonts w:ascii="Times New Roman" w:hAnsi="Times New Roman"/>
          <w:sz w:val="28"/>
          <w:szCs w:val="28"/>
          <w:lang w:val="en-US"/>
        </w:rPr>
        <w:t xml:space="preserve"> In t</w:t>
      </w:r>
      <w:r w:rsidR="009A6873" w:rsidRPr="009A6873">
        <w:rPr>
          <w:rFonts w:ascii="Times New Roman" w:hAnsi="Times New Roman"/>
          <w:sz w:val="28"/>
          <w:szCs w:val="28"/>
          <w:lang w:val="en-US"/>
        </w:rPr>
        <w:t xml:space="preserve">he forecast for 2016 </w:t>
      </w:r>
      <w:r>
        <w:rPr>
          <w:rFonts w:ascii="Times New Roman" w:hAnsi="Times New Roman"/>
          <w:sz w:val="28"/>
          <w:szCs w:val="28"/>
          <w:lang w:val="en-US"/>
        </w:rPr>
        <w:t xml:space="preserve">a </w:t>
      </w:r>
      <w:r w:rsidR="009A6873" w:rsidRPr="009A6873">
        <w:rPr>
          <w:rFonts w:ascii="Times New Roman" w:hAnsi="Times New Roman"/>
          <w:sz w:val="28"/>
          <w:szCs w:val="28"/>
          <w:lang w:val="en-US"/>
        </w:rPr>
        <w:t>decline</w:t>
      </w:r>
      <w:r>
        <w:rPr>
          <w:rFonts w:ascii="Times New Roman" w:hAnsi="Times New Roman"/>
          <w:sz w:val="28"/>
          <w:szCs w:val="28"/>
          <w:lang w:val="en-US"/>
        </w:rPr>
        <w:t xml:space="preserve"> is planned due to expected sale of power supplying companies and </w:t>
      </w:r>
      <w:r w:rsidR="009A6873" w:rsidRPr="009A6873">
        <w:rPr>
          <w:rFonts w:ascii="Times New Roman" w:hAnsi="Times New Roman"/>
          <w:sz w:val="28"/>
          <w:szCs w:val="28"/>
          <w:lang w:val="en-US"/>
        </w:rPr>
        <w:t>companies associated with the transfer of power.</w:t>
      </w:r>
    </w:p>
    <w:p w:rsidR="00D230FA" w:rsidRPr="00E212DF" w:rsidRDefault="009A6873" w:rsidP="009A6873">
      <w:pPr>
        <w:ind w:firstLine="567"/>
        <w:jc w:val="both"/>
        <w:rPr>
          <w:rFonts w:ascii="Times New Roman" w:hAnsi="Times New Roman"/>
          <w:b/>
          <w:sz w:val="28"/>
          <w:szCs w:val="28"/>
          <w:lang w:val="en-US"/>
        </w:rPr>
      </w:pPr>
      <w:r w:rsidRPr="00E212DF">
        <w:rPr>
          <w:rFonts w:ascii="Times New Roman" w:hAnsi="Times New Roman"/>
          <w:b/>
          <w:sz w:val="28"/>
          <w:szCs w:val="28"/>
          <w:lang w:val="en-US"/>
        </w:rPr>
        <w:t>Revenue from sales of products and services</w:t>
      </w:r>
      <w:r w:rsidR="00D0123A" w:rsidRPr="00E212DF">
        <w:rPr>
          <w:rFonts w:ascii="Times New Roman" w:hAnsi="Times New Roman"/>
          <w:b/>
          <w:sz w:val="28"/>
          <w:szCs w:val="28"/>
          <w:lang w:val="en-US"/>
        </w:rPr>
        <w:t xml:space="preserve">, </w:t>
      </w:r>
      <w:r w:rsidR="00D0123A">
        <w:rPr>
          <w:rFonts w:ascii="Times New Roman" w:hAnsi="Times New Roman"/>
          <w:b/>
          <w:sz w:val="28"/>
          <w:szCs w:val="28"/>
          <w:lang w:val="en-US"/>
        </w:rPr>
        <w:t>in the breakdown of producers</w:t>
      </w:r>
    </w:p>
    <w:tbl>
      <w:tblPr>
        <w:tblW w:w="9966" w:type="dxa"/>
        <w:tblInd w:w="93" w:type="dxa"/>
        <w:tblLook w:val="04A0"/>
      </w:tblPr>
      <w:tblGrid>
        <w:gridCol w:w="4360"/>
        <w:gridCol w:w="1089"/>
        <w:gridCol w:w="1089"/>
        <w:gridCol w:w="1089"/>
        <w:gridCol w:w="1272"/>
        <w:gridCol w:w="1067"/>
      </w:tblGrid>
      <w:tr w:rsidR="00D0123A" w:rsidRPr="009A4871" w:rsidTr="00ED1095">
        <w:trPr>
          <w:trHeight w:val="515"/>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23A" w:rsidRPr="00D0123A" w:rsidRDefault="00D0123A" w:rsidP="00D0123A">
            <w:pPr>
              <w:spacing w:after="0" w:line="240" w:lineRule="auto"/>
              <w:jc w:val="center"/>
              <w:rPr>
                <w:rFonts w:ascii="Times New Roman" w:eastAsia="Times New Roman" w:hAnsi="Times New Roman"/>
                <w:b/>
                <w:bCs/>
                <w:sz w:val="20"/>
                <w:szCs w:val="20"/>
                <w:lang w:val="en-US" w:eastAsia="ru-RU"/>
              </w:rPr>
            </w:pPr>
            <w:r>
              <w:rPr>
                <w:rFonts w:ascii="Times New Roman" w:eastAsia="Times New Roman" w:hAnsi="Times New Roman"/>
                <w:b/>
                <w:bCs/>
                <w:sz w:val="20"/>
                <w:szCs w:val="20"/>
                <w:lang w:val="en-US" w:eastAsia="ru-RU"/>
              </w:rPr>
              <w:t>Indicator</w:t>
            </w:r>
            <w:r w:rsidRPr="009A4871">
              <w:rPr>
                <w:rFonts w:ascii="Times New Roman" w:eastAsia="Times New Roman" w:hAnsi="Times New Roman"/>
                <w:b/>
                <w:bCs/>
                <w:sz w:val="20"/>
                <w:szCs w:val="20"/>
                <w:lang w:eastAsia="ru-RU"/>
              </w:rPr>
              <w:t>,</w:t>
            </w:r>
            <w:r>
              <w:rPr>
                <w:rFonts w:ascii="Times New Roman" w:eastAsia="Times New Roman" w:hAnsi="Times New Roman"/>
                <w:b/>
                <w:bCs/>
                <w:sz w:val="20"/>
                <w:szCs w:val="20"/>
                <w:lang w:val="en-US" w:eastAsia="ru-RU"/>
              </w:rPr>
              <w:t xml:space="preserve"> mln.tenge</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actual</w:t>
            </w:r>
            <w:r w:rsidRPr="009A4871">
              <w:rPr>
                <w:rFonts w:ascii="Times New Roman" w:eastAsia="Times New Roman" w:hAnsi="Times New Roman"/>
                <w:b/>
                <w:bCs/>
                <w:sz w:val="20"/>
                <w:szCs w:val="20"/>
                <w:lang w:eastAsia="ru-RU"/>
              </w:rPr>
              <w:t xml:space="preserve"> 2012</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actual</w:t>
            </w:r>
            <w:r w:rsidRPr="009A4871">
              <w:rPr>
                <w:rFonts w:ascii="Times New Roman" w:eastAsia="Times New Roman" w:hAnsi="Times New Roman"/>
                <w:b/>
                <w:bCs/>
                <w:sz w:val="20"/>
                <w:szCs w:val="20"/>
                <w:lang w:eastAsia="ru-RU"/>
              </w:rPr>
              <w:t xml:space="preserve"> 2013</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 xml:space="preserve">Actual </w:t>
            </w:r>
            <w:r w:rsidRPr="009A4871">
              <w:rPr>
                <w:rFonts w:ascii="Times New Roman" w:eastAsia="Times New Roman" w:hAnsi="Times New Roman"/>
                <w:b/>
                <w:bCs/>
                <w:sz w:val="20"/>
                <w:szCs w:val="20"/>
                <w:lang w:eastAsia="ru-RU"/>
              </w:rPr>
              <w:t>2014</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forecast</w:t>
            </w:r>
            <w:r w:rsidRPr="009A4871">
              <w:rPr>
                <w:rFonts w:ascii="Times New Roman" w:eastAsia="Times New Roman" w:hAnsi="Times New Roman"/>
                <w:b/>
                <w:bCs/>
                <w:sz w:val="20"/>
                <w:szCs w:val="20"/>
                <w:lang w:eastAsia="ru-RU"/>
              </w:rPr>
              <w:t xml:space="preserve"> 2015</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val="en-US" w:eastAsia="ru-RU"/>
              </w:rPr>
              <w:t>forecast</w:t>
            </w:r>
            <w:r w:rsidRPr="009A4871">
              <w:rPr>
                <w:rFonts w:ascii="Times New Roman" w:eastAsia="Times New Roman" w:hAnsi="Times New Roman"/>
                <w:b/>
                <w:bCs/>
                <w:sz w:val="20"/>
                <w:szCs w:val="20"/>
                <w:lang w:eastAsia="ru-RU"/>
              </w:rPr>
              <w:t xml:space="preserve"> 2016</w:t>
            </w:r>
          </w:p>
        </w:tc>
      </w:tr>
      <w:tr w:rsidR="00D0123A" w:rsidRPr="009A4871" w:rsidTr="00ED1095">
        <w:trPr>
          <w:trHeight w:val="500"/>
        </w:trPr>
        <w:tc>
          <w:tcPr>
            <w:tcW w:w="4360" w:type="dxa"/>
            <w:tcBorders>
              <w:top w:val="nil"/>
              <w:left w:val="single" w:sz="4" w:space="0" w:color="auto"/>
              <w:bottom w:val="single" w:sz="4" w:space="0" w:color="auto"/>
              <w:right w:val="single" w:sz="4" w:space="0" w:color="auto"/>
            </w:tcBorders>
            <w:shd w:val="clear" w:color="000000" w:fill="FFFFFF"/>
            <w:vAlign w:val="center"/>
            <w:hideMark/>
          </w:tcPr>
          <w:p w:rsidR="00D0123A" w:rsidRPr="00D0123A" w:rsidRDefault="00D0123A" w:rsidP="00ED1095">
            <w:pPr>
              <w:spacing w:after="0" w:line="240" w:lineRule="auto"/>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Income from sale of products and services delivery </w:t>
            </w:r>
          </w:p>
        </w:tc>
        <w:tc>
          <w:tcPr>
            <w:tcW w:w="1089" w:type="dxa"/>
            <w:tcBorders>
              <w:top w:val="nil"/>
              <w:left w:val="nil"/>
              <w:bottom w:val="single" w:sz="4" w:space="0" w:color="auto"/>
              <w:right w:val="single" w:sz="4" w:space="0" w:color="auto"/>
            </w:tcBorders>
            <w:shd w:val="clear" w:color="000000" w:fill="FFFFFF"/>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94 558</w:t>
            </w:r>
          </w:p>
        </w:tc>
        <w:tc>
          <w:tcPr>
            <w:tcW w:w="1089" w:type="dxa"/>
            <w:tcBorders>
              <w:top w:val="nil"/>
              <w:left w:val="nil"/>
              <w:bottom w:val="single" w:sz="4" w:space="0" w:color="auto"/>
              <w:right w:val="single" w:sz="4" w:space="0" w:color="auto"/>
            </w:tcBorders>
            <w:shd w:val="clear" w:color="000000" w:fill="FFFFFF"/>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135 844</w:t>
            </w:r>
          </w:p>
        </w:tc>
        <w:tc>
          <w:tcPr>
            <w:tcW w:w="1089" w:type="dxa"/>
            <w:tcBorders>
              <w:top w:val="nil"/>
              <w:left w:val="nil"/>
              <w:bottom w:val="single" w:sz="4" w:space="0" w:color="auto"/>
              <w:right w:val="single" w:sz="4" w:space="0" w:color="auto"/>
            </w:tcBorders>
            <w:shd w:val="clear" w:color="000000" w:fill="FFFFFF"/>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178 084</w:t>
            </w:r>
          </w:p>
        </w:tc>
        <w:tc>
          <w:tcPr>
            <w:tcW w:w="1272" w:type="dxa"/>
            <w:tcBorders>
              <w:top w:val="nil"/>
              <w:left w:val="nil"/>
              <w:bottom w:val="single" w:sz="4" w:space="0" w:color="auto"/>
              <w:right w:val="single" w:sz="4" w:space="0" w:color="auto"/>
            </w:tcBorders>
            <w:shd w:val="clear" w:color="000000" w:fill="FFFFFF"/>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194 442</w:t>
            </w:r>
          </w:p>
        </w:tc>
        <w:tc>
          <w:tcPr>
            <w:tcW w:w="1067" w:type="dxa"/>
            <w:tcBorders>
              <w:top w:val="nil"/>
              <w:left w:val="nil"/>
              <w:bottom w:val="single" w:sz="4" w:space="0" w:color="auto"/>
              <w:right w:val="single" w:sz="4" w:space="0" w:color="auto"/>
            </w:tcBorders>
            <w:shd w:val="clear" w:color="000000" w:fill="FFFFFF"/>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120 729</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Samruk</w:t>
            </w: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Energy</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9 094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20 399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18 888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20 928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D0123A" w:rsidP="00ED1095">
            <w:pPr>
              <w:spacing w:after="0" w:line="240" w:lineRule="auto"/>
              <w:rPr>
                <w:rFonts w:ascii="Times New Roman" w:eastAsia="Times New Roman" w:hAnsi="Times New Roman"/>
                <w:color w:val="000000"/>
                <w:sz w:val="20"/>
                <w:szCs w:val="20"/>
                <w:lang w:val="en-US" w:eastAsia="ru-RU"/>
              </w:rPr>
            </w:pPr>
            <w:r w:rsidRPr="009A4871">
              <w:rPr>
                <w:rFonts w:ascii="Times New Roman" w:eastAsia="Times New Roman" w:hAnsi="Times New Roman"/>
                <w:color w:val="000000"/>
                <w:sz w:val="20"/>
                <w:szCs w:val="20"/>
                <w:lang w:eastAsia="ru-RU"/>
              </w:rPr>
              <w:t>"Green Energy"</w:t>
            </w:r>
            <w:r w:rsidR="0055293A">
              <w:rPr>
                <w:rFonts w:ascii="Times New Roman" w:eastAsia="Times New Roman" w:hAnsi="Times New Roman"/>
                <w:color w:val="000000"/>
                <w:sz w:val="20"/>
                <w:szCs w:val="20"/>
                <w:lang w:val="en-US" w:eastAsia="ru-RU"/>
              </w:rPr>
              <w:t xml:space="preserve"> LLP</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15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125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132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Bukhtarminskaya</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HPP</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1 495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1 883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2 048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2 039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2 041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Shardarinskaya</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HPP</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1 975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1 806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2 422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1 763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1 823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Moynak</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HPP</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413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6 595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4 264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6 632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8 935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“Almatyenergosbyt” LLP</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67 368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74 737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85 042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96 418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“Samruk</w:t>
            </w: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Energostroyservice</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LLP</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11 000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2 346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“MDPGC” JSC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5 853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7 831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“AZHC” JSC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22 393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28 493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31 431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34 229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“APP” JSC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47 014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48 694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51 909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53 298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Aktobe</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CHP</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4 520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5 110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East</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Kazakhstan</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REC</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JSC</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10 170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“Shygysenergotrade” LLP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24 277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“EGRES-1” LLP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73 792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79 633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103 949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 “FWPP” LLP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2 406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3 850   </w:t>
            </w:r>
          </w:p>
        </w:tc>
      </w:tr>
      <w:tr w:rsidR="00D0123A" w:rsidRPr="009A4871" w:rsidTr="00ED1095">
        <w:trPr>
          <w:trHeight w:val="25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color w:val="000000"/>
                <w:sz w:val="20"/>
                <w:szCs w:val="20"/>
                <w:lang w:eastAsia="ru-RU"/>
              </w:rPr>
            </w:pPr>
            <w:r w:rsidRPr="0055293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Tegis</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Munay</w:t>
            </w:r>
            <w:r w:rsidRPr="0055293A">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val="en-US" w:eastAsia="ru-RU"/>
              </w:rPr>
              <w:t>LLP</w:t>
            </w:r>
            <w:r w:rsidRPr="0055293A">
              <w:rPr>
                <w:rFonts w:ascii="Times New Roman" w:eastAsia="Times New Roman" w:hAnsi="Times New Roman"/>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c>
          <w:tcPr>
            <w:tcW w:w="1272" w:type="dxa"/>
            <w:tcBorders>
              <w:top w:val="nil"/>
              <w:left w:val="nil"/>
              <w:bottom w:val="single" w:sz="4" w:space="0" w:color="auto"/>
              <w:right w:val="single" w:sz="4" w:space="0" w:color="auto"/>
            </w:tcBorders>
            <w:shd w:val="clear" w:color="auto" w:fill="auto"/>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xml:space="preserve">                  5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color w:val="000000"/>
                <w:sz w:val="20"/>
                <w:szCs w:val="20"/>
                <w:lang w:eastAsia="ru-RU"/>
              </w:rPr>
            </w:pPr>
            <w:r w:rsidRPr="009A4871">
              <w:rPr>
                <w:rFonts w:ascii="Times New Roman" w:eastAsia="Times New Roman" w:hAnsi="Times New Roman"/>
                <w:color w:val="000000"/>
                <w:sz w:val="20"/>
                <w:szCs w:val="20"/>
                <w:lang w:eastAsia="ru-RU"/>
              </w:rPr>
              <w:t> </w:t>
            </w:r>
          </w:p>
        </w:tc>
      </w:tr>
      <w:tr w:rsidR="00D0123A" w:rsidRPr="009A4871" w:rsidTr="00ED1095">
        <w:trPr>
          <w:trHeight w:val="5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D0123A" w:rsidRPr="0055293A" w:rsidRDefault="0055293A" w:rsidP="00ED1095">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intracompany</w:t>
            </w:r>
            <w:r w:rsidRPr="0055293A">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val="en-US" w:eastAsia="ru-RU"/>
              </w:rPr>
              <w:t xml:space="preserve">balance (elimination) </w:t>
            </w:r>
            <w:r w:rsidRPr="0055293A">
              <w:rPr>
                <w:rFonts w:ascii="Times New Roman" w:eastAsia="Times New Roman" w:hAnsi="Times New Roman"/>
                <w:b/>
                <w:bCs/>
                <w:color w:val="000000"/>
                <w:sz w:val="20"/>
                <w:szCs w:val="20"/>
                <w:lang w:eastAsia="ru-RU"/>
              </w:rPr>
              <w:t xml:space="preserve">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 xml:space="preserve">-  67 472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 xml:space="preserve">-  85 192   </w:t>
            </w:r>
          </w:p>
        </w:tc>
        <w:tc>
          <w:tcPr>
            <w:tcW w:w="1089"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 xml:space="preserve">-  93 239   </w:t>
            </w:r>
          </w:p>
        </w:tc>
        <w:tc>
          <w:tcPr>
            <w:tcW w:w="1272"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 xml:space="preserve">-    100 992   </w:t>
            </w:r>
          </w:p>
        </w:tc>
        <w:tc>
          <w:tcPr>
            <w:tcW w:w="1067" w:type="dxa"/>
            <w:tcBorders>
              <w:top w:val="nil"/>
              <w:left w:val="nil"/>
              <w:bottom w:val="single" w:sz="4" w:space="0" w:color="auto"/>
              <w:right w:val="single" w:sz="4" w:space="0" w:color="auto"/>
            </w:tcBorders>
            <w:shd w:val="clear" w:color="auto" w:fill="auto"/>
            <w:noWrap/>
            <w:vAlign w:val="center"/>
            <w:hideMark/>
          </w:tcPr>
          <w:p w:rsidR="00D0123A" w:rsidRPr="009A4871" w:rsidRDefault="00D0123A" w:rsidP="00ED1095">
            <w:pPr>
              <w:spacing w:after="0" w:line="240" w:lineRule="auto"/>
              <w:jc w:val="center"/>
              <w:rPr>
                <w:rFonts w:ascii="Times New Roman" w:eastAsia="Times New Roman" w:hAnsi="Times New Roman"/>
                <w:b/>
                <w:bCs/>
                <w:color w:val="000000"/>
                <w:sz w:val="20"/>
                <w:szCs w:val="20"/>
                <w:lang w:eastAsia="ru-RU"/>
              </w:rPr>
            </w:pPr>
            <w:r w:rsidRPr="009A4871">
              <w:rPr>
                <w:rFonts w:ascii="Times New Roman" w:eastAsia="Times New Roman" w:hAnsi="Times New Roman"/>
                <w:b/>
                <w:bCs/>
                <w:color w:val="000000"/>
                <w:sz w:val="20"/>
                <w:szCs w:val="20"/>
                <w:lang w:eastAsia="ru-RU"/>
              </w:rPr>
              <w:t xml:space="preserve">-  20 928   </w:t>
            </w:r>
          </w:p>
        </w:tc>
      </w:tr>
    </w:tbl>
    <w:p w:rsidR="00D230FA" w:rsidRDefault="00D230FA" w:rsidP="0028633E">
      <w:pPr>
        <w:ind w:firstLine="567"/>
        <w:jc w:val="both"/>
        <w:rPr>
          <w:rFonts w:ascii="Times New Roman" w:hAnsi="Times New Roman"/>
          <w:sz w:val="28"/>
          <w:szCs w:val="28"/>
          <w:lang w:val="en-US"/>
        </w:rPr>
      </w:pPr>
    </w:p>
    <w:p w:rsidR="00D230FA" w:rsidRDefault="00D230FA" w:rsidP="0028633E">
      <w:pPr>
        <w:ind w:firstLine="567"/>
        <w:jc w:val="both"/>
        <w:rPr>
          <w:rFonts w:ascii="Times New Roman" w:hAnsi="Times New Roman"/>
          <w:sz w:val="28"/>
          <w:szCs w:val="28"/>
          <w:lang w:val="en-US"/>
        </w:rPr>
      </w:pPr>
    </w:p>
    <w:p w:rsidR="00303039"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w:t>
      </w:r>
      <w:r w:rsidRPr="00E07B7A">
        <w:rPr>
          <w:rFonts w:ascii="Times New Roman" w:eastAsia="Times New Roman" w:hAnsi="Times New Roman"/>
          <w:sz w:val="28"/>
          <w:szCs w:val="28"/>
          <w:lang w:val="en-US" w:eastAsia="ru-RU"/>
        </w:rPr>
        <w:t>AlmatyEnergoSbyt"</w:t>
      </w:r>
      <w:r>
        <w:rPr>
          <w:rFonts w:ascii="Times New Roman" w:eastAsia="Times New Roman" w:hAnsi="Times New Roman"/>
          <w:sz w:val="28"/>
          <w:szCs w:val="28"/>
          <w:lang w:val="en-US" w:eastAsia="ru-RU"/>
        </w:rPr>
        <w:t xml:space="preserve"> LLP</w:t>
      </w:r>
      <w:r w:rsidRPr="00E07B7A">
        <w:rPr>
          <w:rFonts w:ascii="Times New Roman" w:eastAsia="Times New Roman" w:hAnsi="Times New Roman"/>
          <w:sz w:val="28"/>
          <w:szCs w:val="28"/>
          <w:lang w:val="en-US" w:eastAsia="ru-RU"/>
        </w:rPr>
        <w:t>, "GRES -1"</w:t>
      </w:r>
      <w:r>
        <w:rPr>
          <w:rFonts w:ascii="Times New Roman" w:eastAsia="Times New Roman" w:hAnsi="Times New Roman"/>
          <w:sz w:val="28"/>
          <w:szCs w:val="28"/>
          <w:lang w:val="en-US" w:eastAsia="ru-RU"/>
        </w:rPr>
        <w:t xml:space="preserve"> LLP</w:t>
      </w:r>
      <w:r w:rsidRPr="00E07B7A">
        <w:rPr>
          <w:rFonts w:ascii="Times New Roman" w:eastAsia="Times New Roman" w:hAnsi="Times New Roman"/>
          <w:sz w:val="28"/>
          <w:szCs w:val="28"/>
          <w:lang w:val="en-US" w:eastAsia="ru-RU"/>
        </w:rPr>
        <w:t>,  "A</w:t>
      </w:r>
      <w:r>
        <w:rPr>
          <w:rFonts w:ascii="Times New Roman" w:eastAsia="Times New Roman" w:hAnsi="Times New Roman"/>
          <w:sz w:val="28"/>
          <w:szCs w:val="28"/>
          <w:lang w:val="en-US" w:eastAsia="ru-RU"/>
        </w:rPr>
        <w:t>PP</w:t>
      </w:r>
      <w:r w:rsidRPr="00E07B7A">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 xml:space="preserve"> JSC</w:t>
      </w:r>
      <w:r w:rsidRPr="00E07B7A">
        <w:rPr>
          <w:rFonts w:ascii="Times New Roman" w:eastAsia="Times New Roman" w:hAnsi="Times New Roman"/>
          <w:sz w:val="28"/>
          <w:szCs w:val="28"/>
          <w:lang w:val="en-US" w:eastAsia="ru-RU"/>
        </w:rPr>
        <w:t xml:space="preserve"> and "AZh</w:t>
      </w:r>
      <w:r>
        <w:rPr>
          <w:rFonts w:ascii="Times New Roman" w:eastAsia="Times New Roman" w:hAnsi="Times New Roman"/>
          <w:sz w:val="28"/>
          <w:szCs w:val="28"/>
          <w:lang w:val="en-US" w:eastAsia="ru-RU"/>
        </w:rPr>
        <w:t>C</w:t>
      </w:r>
      <w:r w:rsidRPr="00E07B7A">
        <w:rPr>
          <w:rFonts w:ascii="Times New Roman" w:eastAsia="Times New Roman" w:hAnsi="Times New Roman"/>
          <w:sz w:val="28"/>
          <w:szCs w:val="28"/>
          <w:lang w:val="en-US" w:eastAsia="ru-RU"/>
        </w:rPr>
        <w:t>"</w:t>
      </w:r>
      <w:r>
        <w:rPr>
          <w:rFonts w:ascii="Times New Roman" w:eastAsia="Times New Roman" w:hAnsi="Times New Roman"/>
          <w:sz w:val="28"/>
          <w:szCs w:val="28"/>
          <w:lang w:val="en-US" w:eastAsia="ru-RU"/>
        </w:rPr>
        <w:t xml:space="preserve"> JSC occupy the main share </w:t>
      </w:r>
      <w:r w:rsidRPr="00E07B7A">
        <w:rPr>
          <w:rFonts w:ascii="Times New Roman" w:eastAsia="Times New Roman" w:hAnsi="Times New Roman"/>
          <w:sz w:val="28"/>
          <w:szCs w:val="28"/>
          <w:lang w:val="en-US" w:eastAsia="ru-RU"/>
        </w:rPr>
        <w:t xml:space="preserve"> of the income from the main </w:t>
      </w:r>
      <w:r>
        <w:rPr>
          <w:rFonts w:ascii="Times New Roman" w:eastAsia="Times New Roman" w:hAnsi="Times New Roman"/>
          <w:sz w:val="28"/>
          <w:szCs w:val="28"/>
          <w:lang w:val="en-US" w:eastAsia="ru-RU"/>
        </w:rPr>
        <w:t xml:space="preserve">activities of the Company. In addition to that, when consolidating the intercompany balance is excluded from the total amount. </w:t>
      </w:r>
    </w:p>
    <w:p w:rsidR="00303039" w:rsidRPr="00E07B7A"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sz w:val="28"/>
          <w:szCs w:val="28"/>
          <w:lang w:val="en-US" w:eastAsia="ru-RU"/>
        </w:rPr>
      </w:pPr>
    </w:p>
    <w:p w:rsidR="00303039" w:rsidRPr="00E07B7A"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b/>
          <w:sz w:val="28"/>
          <w:szCs w:val="28"/>
          <w:lang w:val="en-US" w:eastAsia="ru-RU"/>
        </w:rPr>
      </w:pPr>
    </w:p>
    <w:p w:rsidR="00303039" w:rsidRPr="0029044B"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Financial income </w:t>
      </w:r>
    </w:p>
    <w:p w:rsidR="00303039" w:rsidRPr="00BC50BB"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b/>
          <w:sz w:val="28"/>
          <w:szCs w:val="28"/>
          <w:lang w:eastAsia="ru-RU"/>
        </w:rPr>
      </w:pPr>
    </w:p>
    <w:tbl>
      <w:tblPr>
        <w:tblW w:w="8620" w:type="dxa"/>
        <w:tblInd w:w="817" w:type="dxa"/>
        <w:tblLook w:val="04A0"/>
      </w:tblPr>
      <w:tblGrid>
        <w:gridCol w:w="3340"/>
        <w:gridCol w:w="940"/>
        <w:gridCol w:w="1000"/>
        <w:gridCol w:w="1120"/>
        <w:gridCol w:w="1000"/>
        <w:gridCol w:w="1220"/>
      </w:tblGrid>
      <w:tr w:rsidR="00303039" w:rsidRPr="00401FFE" w:rsidTr="00ED1095">
        <w:trPr>
          <w:trHeight w:val="255"/>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Indicator, mln.tenge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2012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2013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2014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2015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2016</w:t>
            </w:r>
          </w:p>
        </w:tc>
      </w:tr>
      <w:tr w:rsidR="00303039" w:rsidRPr="00401FFE" w:rsidTr="00ED1095">
        <w:trPr>
          <w:trHeight w:val="255"/>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303039" w:rsidRPr="00401FFE" w:rsidRDefault="00303039" w:rsidP="00ED1095">
            <w:pPr>
              <w:spacing w:after="0" w:line="240" w:lineRule="auto"/>
              <w:rPr>
                <w:rFonts w:ascii="Times New Roman" w:eastAsia="Times New Roman" w:hAnsi="Times New Roman"/>
                <w:b/>
                <w:bCs/>
                <w:color w:val="000000"/>
                <w:sz w:val="20"/>
                <w:szCs w:val="20"/>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Actual </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Actual </w:t>
            </w:r>
          </w:p>
        </w:tc>
        <w:tc>
          <w:tcPr>
            <w:tcW w:w="1120" w:type="dxa"/>
            <w:tcBorders>
              <w:top w:val="nil"/>
              <w:left w:val="nil"/>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Actual </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Forecast </w:t>
            </w:r>
          </w:p>
        </w:tc>
        <w:tc>
          <w:tcPr>
            <w:tcW w:w="1220" w:type="dxa"/>
            <w:tcBorders>
              <w:top w:val="nil"/>
              <w:left w:val="nil"/>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Forecast </w:t>
            </w:r>
          </w:p>
        </w:tc>
      </w:tr>
      <w:tr w:rsidR="00303039" w:rsidRPr="00401FFE" w:rsidTr="00ED1095">
        <w:trPr>
          <w:trHeight w:val="510"/>
        </w:trPr>
        <w:tc>
          <w:tcPr>
            <w:tcW w:w="3340" w:type="dxa"/>
            <w:tcBorders>
              <w:top w:val="nil"/>
              <w:left w:val="single" w:sz="4" w:space="0" w:color="auto"/>
              <w:bottom w:val="single" w:sz="4" w:space="0" w:color="auto"/>
              <w:right w:val="single" w:sz="4" w:space="0" w:color="auto"/>
            </w:tcBorders>
            <w:shd w:val="clear" w:color="auto" w:fill="auto"/>
            <w:vAlign w:val="bottom"/>
            <w:hideMark/>
          </w:tcPr>
          <w:p w:rsidR="00303039" w:rsidRPr="0029044B"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Interest</w:t>
            </w:r>
            <w:r w:rsidRPr="0029044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income</w:t>
            </w:r>
            <w:r w:rsidRPr="0029044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on</w:t>
            </w:r>
            <w:r w:rsidRPr="0029044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bank</w:t>
            </w:r>
            <w:r w:rsidRPr="0029044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deposits</w:t>
            </w:r>
            <w:r w:rsidRPr="0029044B">
              <w:rPr>
                <w:rFonts w:ascii="Times New Roman" w:eastAsia="Times New Roman" w:hAnsi="Times New Roman"/>
                <w:color w:val="000000"/>
                <w:sz w:val="20"/>
                <w:szCs w:val="20"/>
                <w:lang w:val="en-US" w:eastAsia="ru-RU"/>
              </w:rPr>
              <w:t xml:space="preserve"> </w:t>
            </w:r>
          </w:p>
        </w:tc>
        <w:tc>
          <w:tcPr>
            <w:tcW w:w="94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1 698</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3 106</w:t>
            </w:r>
          </w:p>
        </w:tc>
        <w:tc>
          <w:tcPr>
            <w:tcW w:w="11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3 230</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237</w:t>
            </w:r>
          </w:p>
        </w:tc>
        <w:tc>
          <w:tcPr>
            <w:tcW w:w="12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67</w:t>
            </w:r>
          </w:p>
        </w:tc>
      </w:tr>
      <w:tr w:rsidR="00303039" w:rsidRPr="00401FFE" w:rsidTr="00ED1095">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03039" w:rsidRPr="0029044B"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Other </w:t>
            </w:r>
          </w:p>
        </w:tc>
        <w:tc>
          <w:tcPr>
            <w:tcW w:w="94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3</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188</w:t>
            </w:r>
          </w:p>
        </w:tc>
        <w:tc>
          <w:tcPr>
            <w:tcW w:w="11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407</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1 170</w:t>
            </w:r>
          </w:p>
        </w:tc>
        <w:tc>
          <w:tcPr>
            <w:tcW w:w="12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color w:val="000000"/>
                <w:sz w:val="20"/>
                <w:szCs w:val="20"/>
                <w:lang w:eastAsia="ru-RU"/>
              </w:rPr>
            </w:pPr>
            <w:r w:rsidRPr="00401FFE">
              <w:rPr>
                <w:rFonts w:ascii="Times New Roman" w:eastAsia="Times New Roman" w:hAnsi="Times New Roman"/>
                <w:color w:val="000000"/>
                <w:sz w:val="20"/>
                <w:szCs w:val="20"/>
                <w:lang w:eastAsia="ru-RU"/>
              </w:rPr>
              <w:t>3 092</w:t>
            </w:r>
          </w:p>
        </w:tc>
      </w:tr>
      <w:tr w:rsidR="00303039" w:rsidRPr="00401FFE" w:rsidTr="00ED1095">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Total</w:t>
            </w:r>
            <w:r w:rsidRPr="00401FFE">
              <w:rPr>
                <w:rFonts w:ascii="Times New Roman" w:eastAsia="Times New Roman" w:hAnsi="Times New Roman"/>
                <w:b/>
                <w:bCs/>
                <w:color w:val="000000"/>
                <w:sz w:val="20"/>
                <w:szCs w:val="20"/>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1 702</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3 294</w:t>
            </w:r>
          </w:p>
        </w:tc>
        <w:tc>
          <w:tcPr>
            <w:tcW w:w="11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3 638</w:t>
            </w:r>
          </w:p>
        </w:tc>
        <w:tc>
          <w:tcPr>
            <w:tcW w:w="100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1 407</w:t>
            </w:r>
          </w:p>
        </w:tc>
        <w:tc>
          <w:tcPr>
            <w:tcW w:w="1220" w:type="dxa"/>
            <w:tcBorders>
              <w:top w:val="nil"/>
              <w:left w:val="nil"/>
              <w:bottom w:val="single" w:sz="4" w:space="0" w:color="auto"/>
              <w:right w:val="single" w:sz="4" w:space="0" w:color="auto"/>
            </w:tcBorders>
            <w:shd w:val="clear" w:color="auto" w:fill="auto"/>
            <w:noWrap/>
            <w:vAlign w:val="bottom"/>
            <w:hideMark/>
          </w:tcPr>
          <w:p w:rsidR="00303039" w:rsidRPr="00401FFE" w:rsidRDefault="00303039" w:rsidP="00ED1095">
            <w:pPr>
              <w:spacing w:after="0" w:line="240" w:lineRule="auto"/>
              <w:jc w:val="center"/>
              <w:rPr>
                <w:rFonts w:ascii="Times New Roman" w:eastAsia="Times New Roman" w:hAnsi="Times New Roman"/>
                <w:b/>
                <w:bCs/>
                <w:color w:val="000000"/>
                <w:sz w:val="20"/>
                <w:szCs w:val="20"/>
                <w:lang w:eastAsia="ru-RU"/>
              </w:rPr>
            </w:pPr>
            <w:r w:rsidRPr="00401FFE">
              <w:rPr>
                <w:rFonts w:ascii="Times New Roman" w:eastAsia="Times New Roman" w:hAnsi="Times New Roman"/>
                <w:b/>
                <w:bCs/>
                <w:color w:val="000000"/>
                <w:sz w:val="20"/>
                <w:szCs w:val="20"/>
                <w:lang w:eastAsia="ru-RU"/>
              </w:rPr>
              <w:t>3 159</w:t>
            </w:r>
          </w:p>
        </w:tc>
      </w:tr>
    </w:tbl>
    <w:p w:rsidR="00303039" w:rsidRPr="00BC50BB" w:rsidRDefault="00303039" w:rsidP="00303039">
      <w:pPr>
        <w:tabs>
          <w:tab w:val="left" w:pos="180"/>
        </w:tabs>
        <w:autoSpaceDE w:val="0"/>
        <w:autoSpaceDN w:val="0"/>
        <w:adjustRightInd w:val="0"/>
        <w:spacing w:after="0" w:line="240" w:lineRule="atLeast"/>
        <w:ind w:firstLine="720"/>
        <w:jc w:val="both"/>
        <w:rPr>
          <w:rFonts w:ascii="Times New Roman" w:eastAsia="Times New Roman" w:hAnsi="Times New Roman"/>
          <w:sz w:val="28"/>
          <w:szCs w:val="28"/>
          <w:lang w:eastAsia="ru-RU"/>
        </w:rPr>
      </w:pPr>
    </w:p>
    <w:p w:rsidR="00303039" w:rsidRPr="0029044B" w:rsidRDefault="00303039" w:rsidP="00303039">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According to results of</w:t>
      </w:r>
      <w:r w:rsidRPr="0029044B">
        <w:rPr>
          <w:rFonts w:ascii="Times New Roman" w:eastAsia="Times New Roman" w:hAnsi="Times New Roman"/>
          <w:sz w:val="28"/>
          <w:szCs w:val="28"/>
          <w:lang w:val="en-US" w:eastAsia="ru-RU"/>
        </w:rPr>
        <w:t xml:space="preserve"> 2014 </w:t>
      </w:r>
      <w:r>
        <w:rPr>
          <w:rFonts w:ascii="Times New Roman" w:eastAsia="Times New Roman" w:hAnsi="Times New Roman"/>
          <w:sz w:val="28"/>
          <w:szCs w:val="28"/>
          <w:lang w:val="en-US" w:eastAsia="ru-RU"/>
        </w:rPr>
        <w:t>f</w:t>
      </w:r>
      <w:r w:rsidRPr="0029044B">
        <w:rPr>
          <w:rFonts w:ascii="Times New Roman" w:eastAsia="Times New Roman" w:hAnsi="Times New Roman"/>
          <w:sz w:val="28"/>
          <w:szCs w:val="28"/>
          <w:lang w:val="en-US" w:eastAsia="ru-RU"/>
        </w:rPr>
        <w:t>inancial income amounted to 3</w:t>
      </w:r>
      <w:r>
        <w:rPr>
          <w:rFonts w:ascii="Times New Roman" w:eastAsia="Times New Roman" w:hAnsi="Times New Roman"/>
          <w:sz w:val="28"/>
          <w:szCs w:val="28"/>
          <w:lang w:val="en-US" w:eastAsia="ru-RU"/>
        </w:rPr>
        <w:t xml:space="preserve"> </w:t>
      </w:r>
      <w:r w:rsidRPr="0029044B">
        <w:rPr>
          <w:rFonts w:ascii="Times New Roman" w:eastAsia="Times New Roman" w:hAnsi="Times New Roman"/>
          <w:sz w:val="28"/>
          <w:szCs w:val="28"/>
          <w:lang w:val="en-US" w:eastAsia="ru-RU"/>
        </w:rPr>
        <w:t>230 million tenge, which is higher than the fact of 2013 by 4%. Financial income includes income from temporarily available funds on deposit</w:t>
      </w:r>
      <w:r>
        <w:rPr>
          <w:rFonts w:ascii="Times New Roman" w:eastAsia="Times New Roman" w:hAnsi="Times New Roman"/>
          <w:sz w:val="28"/>
          <w:szCs w:val="28"/>
          <w:lang w:val="en-US" w:eastAsia="ru-RU"/>
        </w:rPr>
        <w:t>s</w:t>
      </w:r>
      <w:r w:rsidRPr="0029044B">
        <w:rPr>
          <w:rFonts w:ascii="Times New Roman" w:eastAsia="Times New Roman" w:hAnsi="Times New Roman"/>
          <w:sz w:val="28"/>
          <w:szCs w:val="28"/>
          <w:lang w:val="en-US" w:eastAsia="ru-RU"/>
        </w:rPr>
        <w:t xml:space="preserve"> and revenues from </w:t>
      </w:r>
      <w:r>
        <w:rPr>
          <w:rFonts w:ascii="Times New Roman" w:eastAsia="Times New Roman" w:hAnsi="Times New Roman"/>
          <w:sz w:val="28"/>
          <w:szCs w:val="28"/>
          <w:lang w:val="en-US" w:eastAsia="ru-RU"/>
        </w:rPr>
        <w:t xml:space="preserve">granting </w:t>
      </w:r>
      <w:r w:rsidRPr="0029044B">
        <w:rPr>
          <w:rFonts w:ascii="Times New Roman" w:eastAsia="Times New Roman" w:hAnsi="Times New Roman"/>
          <w:sz w:val="28"/>
          <w:szCs w:val="28"/>
          <w:lang w:val="en-US" w:eastAsia="ru-RU"/>
        </w:rPr>
        <w:t xml:space="preserve">intercompany loans to </w:t>
      </w:r>
      <w:r>
        <w:rPr>
          <w:rFonts w:ascii="Times New Roman" w:eastAsia="Times New Roman" w:hAnsi="Times New Roman"/>
          <w:sz w:val="28"/>
          <w:szCs w:val="28"/>
          <w:lang w:val="en-US" w:eastAsia="ru-RU"/>
        </w:rPr>
        <w:t>Company’s subsidiaries.</w:t>
      </w:r>
    </w:p>
    <w:p w:rsidR="00303039" w:rsidRPr="009C4089" w:rsidRDefault="00303039" w:rsidP="00303039">
      <w:pPr>
        <w:ind w:firstLine="708"/>
        <w:jc w:val="both"/>
        <w:rPr>
          <w:rFonts w:ascii="Times New Roman" w:eastAsia="Times New Roman" w:hAnsi="Times New Roman"/>
          <w:b/>
          <w:sz w:val="28"/>
          <w:szCs w:val="28"/>
          <w:lang w:val="en-US" w:eastAsia="ru-RU"/>
        </w:rPr>
      </w:pPr>
      <w:r w:rsidRPr="009C4089">
        <w:rPr>
          <w:rFonts w:ascii="Times New Roman" w:eastAsia="Times New Roman" w:hAnsi="Times New Roman"/>
          <w:b/>
          <w:sz w:val="28"/>
          <w:szCs w:val="28"/>
          <w:lang w:val="en-US" w:eastAsia="ru-RU"/>
        </w:rPr>
        <w:t xml:space="preserve">Forecast for </w:t>
      </w:r>
      <w:r>
        <w:rPr>
          <w:rFonts w:ascii="Times New Roman" w:eastAsia="Times New Roman" w:hAnsi="Times New Roman"/>
          <w:b/>
          <w:sz w:val="28"/>
          <w:szCs w:val="28"/>
          <w:lang w:val="en-US" w:eastAsia="ru-RU"/>
        </w:rPr>
        <w:t>future</w:t>
      </w:r>
      <w:r w:rsidRPr="009C4089">
        <w:rPr>
          <w:rFonts w:ascii="Times New Roman" w:eastAsia="Times New Roman" w:hAnsi="Times New Roman"/>
          <w:b/>
          <w:sz w:val="28"/>
          <w:szCs w:val="28"/>
          <w:lang w:val="en-US" w:eastAsia="ru-RU"/>
        </w:rPr>
        <w:t xml:space="preserve"> period </w:t>
      </w:r>
      <w:r>
        <w:rPr>
          <w:rFonts w:ascii="Times New Roman" w:eastAsia="Times New Roman" w:hAnsi="Times New Roman"/>
          <w:b/>
          <w:sz w:val="28"/>
          <w:szCs w:val="28"/>
          <w:lang w:val="en-US" w:eastAsia="ru-RU"/>
        </w:rPr>
        <w:t xml:space="preserve">in respect of </w:t>
      </w:r>
      <w:r w:rsidRPr="009C4089">
        <w:rPr>
          <w:rFonts w:ascii="Times New Roman" w:eastAsia="Times New Roman" w:hAnsi="Times New Roman"/>
          <w:b/>
          <w:sz w:val="28"/>
          <w:szCs w:val="28"/>
          <w:lang w:val="en-US" w:eastAsia="ru-RU"/>
        </w:rPr>
        <w:t>financial income</w:t>
      </w:r>
    </w:p>
    <w:p w:rsidR="00303039" w:rsidRDefault="00303039" w:rsidP="00303039">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In t</w:t>
      </w:r>
      <w:r w:rsidRPr="0029044B">
        <w:rPr>
          <w:rFonts w:ascii="Times New Roman" w:eastAsia="Times New Roman" w:hAnsi="Times New Roman"/>
          <w:sz w:val="28"/>
          <w:szCs w:val="28"/>
          <w:lang w:val="en-US" w:eastAsia="ru-RU"/>
        </w:rPr>
        <w:t>he forecast until 2016 income</w:t>
      </w:r>
      <w:r>
        <w:rPr>
          <w:rFonts w:ascii="Times New Roman" w:eastAsia="Times New Roman" w:hAnsi="Times New Roman"/>
          <w:sz w:val="28"/>
          <w:szCs w:val="28"/>
          <w:lang w:val="en-US" w:eastAsia="ru-RU"/>
        </w:rPr>
        <w:t xml:space="preserve"> generation</w:t>
      </w:r>
      <w:r w:rsidRPr="0029044B">
        <w:rPr>
          <w:rFonts w:ascii="Times New Roman" w:eastAsia="Times New Roman" w:hAnsi="Times New Roman"/>
          <w:sz w:val="28"/>
          <w:szCs w:val="28"/>
          <w:lang w:val="en-US" w:eastAsia="ru-RU"/>
        </w:rPr>
        <w:t xml:space="preserve"> from placing funds on deposit</w:t>
      </w:r>
      <w:r>
        <w:rPr>
          <w:rFonts w:ascii="Times New Roman" w:eastAsia="Times New Roman" w:hAnsi="Times New Roman"/>
          <w:sz w:val="28"/>
          <w:szCs w:val="28"/>
          <w:lang w:val="en-US" w:eastAsia="ru-RU"/>
        </w:rPr>
        <w:t>s</w:t>
      </w:r>
      <w:r w:rsidRPr="0029044B">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is</w:t>
      </w:r>
      <w:r w:rsidRPr="0029044B">
        <w:rPr>
          <w:rFonts w:ascii="Times New Roman" w:eastAsia="Times New Roman" w:hAnsi="Times New Roman"/>
          <w:sz w:val="28"/>
          <w:szCs w:val="28"/>
          <w:lang w:val="en-US" w:eastAsia="ru-RU"/>
        </w:rPr>
        <w:t xml:space="preserve"> not planned, interest on loans granted </w:t>
      </w:r>
      <w:r>
        <w:rPr>
          <w:rFonts w:ascii="Times New Roman" w:eastAsia="Times New Roman" w:hAnsi="Times New Roman"/>
          <w:sz w:val="28"/>
          <w:szCs w:val="28"/>
          <w:lang w:val="en-US" w:eastAsia="ru-RU"/>
        </w:rPr>
        <w:t xml:space="preserve">are provided </w:t>
      </w:r>
      <w:r w:rsidRPr="0029044B">
        <w:rPr>
          <w:rFonts w:ascii="Times New Roman" w:eastAsia="Times New Roman" w:hAnsi="Times New Roman"/>
          <w:sz w:val="28"/>
          <w:szCs w:val="28"/>
          <w:lang w:val="en-US" w:eastAsia="ru-RU"/>
        </w:rPr>
        <w:t>in accordance with the schedule for repayment of loans by subsidiaries.</w:t>
      </w:r>
    </w:p>
    <w:tbl>
      <w:tblPr>
        <w:tblW w:w="8620" w:type="dxa"/>
        <w:tblInd w:w="817" w:type="dxa"/>
        <w:tblLook w:val="04A0"/>
      </w:tblPr>
      <w:tblGrid>
        <w:gridCol w:w="3340"/>
        <w:gridCol w:w="940"/>
        <w:gridCol w:w="1000"/>
        <w:gridCol w:w="1120"/>
        <w:gridCol w:w="1000"/>
        <w:gridCol w:w="1220"/>
      </w:tblGrid>
      <w:tr w:rsidR="00303039" w:rsidTr="00ED1095">
        <w:trPr>
          <w:trHeight w:val="240"/>
        </w:trPr>
        <w:tc>
          <w:tcPr>
            <w:tcW w:w="3340" w:type="dxa"/>
            <w:vMerge w:val="restart"/>
            <w:tcBorders>
              <w:top w:val="single" w:sz="4" w:space="0" w:color="auto"/>
              <w:left w:val="single" w:sz="4" w:space="0" w:color="auto"/>
              <w:bottom w:val="single" w:sz="4" w:space="0" w:color="000000"/>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Indicator</w:t>
            </w:r>
          </w:p>
        </w:tc>
        <w:tc>
          <w:tcPr>
            <w:tcW w:w="940" w:type="dxa"/>
            <w:tcBorders>
              <w:top w:val="single" w:sz="4" w:space="0" w:color="auto"/>
              <w:left w:val="nil"/>
              <w:bottom w:val="single" w:sz="4" w:space="0" w:color="auto"/>
              <w:right w:val="single" w:sz="4" w:space="0" w:color="auto"/>
            </w:tcBorders>
            <w:vAlign w:val="center"/>
            <w:hideMark/>
          </w:tcPr>
          <w:p w:rsidR="00303039" w:rsidRDefault="00303039" w:rsidP="00ED10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2012</w:t>
            </w:r>
          </w:p>
        </w:tc>
        <w:tc>
          <w:tcPr>
            <w:tcW w:w="1000" w:type="dxa"/>
            <w:tcBorders>
              <w:top w:val="single" w:sz="4" w:space="0" w:color="auto"/>
              <w:left w:val="nil"/>
              <w:bottom w:val="single" w:sz="4" w:space="0" w:color="auto"/>
              <w:right w:val="single" w:sz="4" w:space="0" w:color="auto"/>
            </w:tcBorders>
            <w:vAlign w:val="center"/>
            <w:hideMark/>
          </w:tcPr>
          <w:p w:rsidR="00303039" w:rsidRDefault="00303039" w:rsidP="00ED10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2013</w:t>
            </w:r>
          </w:p>
        </w:tc>
        <w:tc>
          <w:tcPr>
            <w:tcW w:w="1120" w:type="dxa"/>
            <w:tcBorders>
              <w:top w:val="single" w:sz="4" w:space="0" w:color="auto"/>
              <w:left w:val="nil"/>
              <w:bottom w:val="single" w:sz="4" w:space="0" w:color="auto"/>
              <w:right w:val="single" w:sz="4" w:space="0" w:color="auto"/>
            </w:tcBorders>
            <w:vAlign w:val="center"/>
            <w:hideMark/>
          </w:tcPr>
          <w:p w:rsidR="00303039" w:rsidRDefault="00303039" w:rsidP="00ED10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2014</w:t>
            </w:r>
          </w:p>
        </w:tc>
        <w:tc>
          <w:tcPr>
            <w:tcW w:w="1000" w:type="dxa"/>
            <w:tcBorders>
              <w:top w:val="single" w:sz="4" w:space="0" w:color="auto"/>
              <w:left w:val="nil"/>
              <w:bottom w:val="single" w:sz="4" w:space="0" w:color="auto"/>
              <w:right w:val="single" w:sz="4" w:space="0" w:color="auto"/>
            </w:tcBorders>
            <w:vAlign w:val="center"/>
            <w:hideMark/>
          </w:tcPr>
          <w:p w:rsidR="00303039" w:rsidRDefault="00303039" w:rsidP="00ED10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2015</w:t>
            </w:r>
          </w:p>
        </w:tc>
        <w:tc>
          <w:tcPr>
            <w:tcW w:w="1220" w:type="dxa"/>
            <w:tcBorders>
              <w:top w:val="single" w:sz="4" w:space="0" w:color="auto"/>
              <w:left w:val="nil"/>
              <w:bottom w:val="single" w:sz="4" w:space="0" w:color="auto"/>
              <w:right w:val="single" w:sz="4" w:space="0" w:color="auto"/>
            </w:tcBorders>
            <w:vAlign w:val="center"/>
            <w:hideMark/>
          </w:tcPr>
          <w:p w:rsidR="00303039" w:rsidRDefault="00303039" w:rsidP="00ED10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2016</w:t>
            </w:r>
          </w:p>
        </w:tc>
      </w:tr>
      <w:tr w:rsidR="00303039" w:rsidTr="00ED1095">
        <w:trPr>
          <w:trHeight w:val="2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03039" w:rsidRDefault="00303039" w:rsidP="00ED1095">
            <w:pPr>
              <w:spacing w:after="0" w:line="240" w:lineRule="auto"/>
              <w:rPr>
                <w:rFonts w:ascii="Times New Roman" w:eastAsia="Times New Roman" w:hAnsi="Times New Roman"/>
                <w:b/>
                <w:bCs/>
                <w:color w:val="000000"/>
                <w:sz w:val="20"/>
                <w:szCs w:val="20"/>
                <w:lang w:eastAsia="ru-RU"/>
              </w:rPr>
            </w:pPr>
          </w:p>
        </w:tc>
        <w:tc>
          <w:tcPr>
            <w:tcW w:w="940" w:type="dxa"/>
            <w:tcBorders>
              <w:top w:val="nil"/>
              <w:left w:val="nil"/>
              <w:bottom w:val="single" w:sz="4" w:space="0" w:color="auto"/>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Actual </w:t>
            </w:r>
          </w:p>
        </w:tc>
        <w:tc>
          <w:tcPr>
            <w:tcW w:w="1000" w:type="dxa"/>
            <w:tcBorders>
              <w:top w:val="nil"/>
              <w:left w:val="nil"/>
              <w:bottom w:val="single" w:sz="4" w:space="0" w:color="auto"/>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120" w:type="dxa"/>
            <w:tcBorders>
              <w:top w:val="nil"/>
              <w:left w:val="nil"/>
              <w:bottom w:val="single" w:sz="4" w:space="0" w:color="auto"/>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Actual </w:t>
            </w:r>
          </w:p>
        </w:tc>
        <w:tc>
          <w:tcPr>
            <w:tcW w:w="1000" w:type="dxa"/>
            <w:tcBorders>
              <w:top w:val="nil"/>
              <w:left w:val="nil"/>
              <w:bottom w:val="single" w:sz="4" w:space="0" w:color="auto"/>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plan</w:t>
            </w:r>
          </w:p>
        </w:tc>
        <w:tc>
          <w:tcPr>
            <w:tcW w:w="1220" w:type="dxa"/>
            <w:tcBorders>
              <w:top w:val="nil"/>
              <w:left w:val="nil"/>
              <w:bottom w:val="single" w:sz="4" w:space="0" w:color="auto"/>
              <w:right w:val="single" w:sz="4" w:space="0" w:color="auto"/>
            </w:tcBorders>
            <w:vAlign w:val="center"/>
            <w:hideMark/>
          </w:tcPr>
          <w:p w:rsidR="00303039" w:rsidRPr="009C4089" w:rsidRDefault="00303039" w:rsidP="00ED1095">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plan</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9C4089"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Fuel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20 599</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19 574</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32 388</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34 085</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18 243</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9C4089"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Labor remuneration and associated costs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13 706</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19 749</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17 978</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19 904</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3 365</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9C4089"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the cost of purchased electricity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12 582</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24 068</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14 272</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14 117</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296</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depreciation of fixed assets and amortization of intangible assets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8 146</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11 798</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25 303</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36 509</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26 819</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repair and maintenance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5 542</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6 025</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7 074</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7 556</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4 856</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electricity transmission services and other services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3 631</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8 296</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7 886</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7 657</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Materials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3 026</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1 591</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1 756</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923</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Water supply</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1 870</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2 482</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3 941</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4 553</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1 935</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Loss in grids </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2 109</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3 836</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212</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taxes</w:t>
            </w:r>
            <w:r w:rsidRPr="00E14C1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other</w:t>
            </w:r>
            <w:r w:rsidRPr="00E14C1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than</w:t>
            </w:r>
            <w:r w:rsidRPr="00E14C1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income</w:t>
            </w:r>
            <w:r w:rsidRPr="00E14C15">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tax</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1 742</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2 601</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5 101</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6 091</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3 722</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Services of  third-party organizations</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1 631</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1 718</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3 179</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1 466</w:t>
            </w:r>
          </w:p>
        </w:tc>
      </w:tr>
      <w:tr w:rsidR="00303039" w:rsidTr="00ED1095">
        <w:trPr>
          <w:trHeight w:val="165"/>
        </w:trPr>
        <w:tc>
          <w:tcPr>
            <w:tcW w:w="3340" w:type="dxa"/>
            <w:tcBorders>
              <w:top w:val="nil"/>
              <w:left w:val="single" w:sz="4" w:space="0" w:color="auto"/>
              <w:bottom w:val="single" w:sz="4" w:space="0" w:color="auto"/>
              <w:right w:val="single" w:sz="4" w:space="0" w:color="auto"/>
            </w:tcBorders>
            <w:vAlign w:val="bottom"/>
            <w:hideMark/>
          </w:tcPr>
          <w:p w:rsidR="00303039" w:rsidRPr="00E14C15" w:rsidRDefault="00303039" w:rsidP="00ED1095">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2 481</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4 564</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3 368</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6 416</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r>
      <w:tr w:rsidR="00303039" w:rsidTr="00ED1095">
        <w:trPr>
          <w:trHeight w:val="195"/>
        </w:trPr>
        <w:tc>
          <w:tcPr>
            <w:tcW w:w="3340" w:type="dxa"/>
            <w:tcBorders>
              <w:top w:val="nil"/>
              <w:left w:val="single" w:sz="4" w:space="0" w:color="auto"/>
              <w:bottom w:val="single" w:sz="4" w:space="0" w:color="auto"/>
              <w:right w:val="single" w:sz="4" w:space="0" w:color="auto"/>
            </w:tcBorders>
            <w:vAlign w:val="bottom"/>
            <w:hideMark/>
          </w:tcPr>
          <w:p w:rsidR="00303039" w:rsidRDefault="00303039" w:rsidP="00ED1095">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TOTAL</w:t>
            </w:r>
            <w:r>
              <w:rPr>
                <w:rFonts w:ascii="Times New Roman" w:eastAsia="Times New Roman" w:hAnsi="Times New Roman"/>
                <w:b/>
                <w:bCs/>
                <w:color w:val="000000"/>
                <w:sz w:val="20"/>
                <w:szCs w:val="20"/>
                <w:lang w:eastAsia="ru-RU"/>
              </w:rPr>
              <w:t>:</w:t>
            </w:r>
          </w:p>
        </w:tc>
        <w:tc>
          <w:tcPr>
            <w:tcW w:w="94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77 064</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104 665</w:t>
            </w:r>
          </w:p>
        </w:tc>
        <w:tc>
          <w:tcPr>
            <w:tcW w:w="11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120 997</w:t>
            </w:r>
          </w:p>
        </w:tc>
        <w:tc>
          <w:tcPr>
            <w:tcW w:w="100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140 991</w:t>
            </w:r>
          </w:p>
        </w:tc>
        <w:tc>
          <w:tcPr>
            <w:tcW w:w="1220" w:type="dxa"/>
            <w:tcBorders>
              <w:top w:val="nil"/>
              <w:left w:val="nil"/>
              <w:bottom w:val="single" w:sz="4" w:space="0" w:color="auto"/>
              <w:right w:val="single" w:sz="4" w:space="0" w:color="auto"/>
            </w:tcBorders>
            <w:vAlign w:val="bottom"/>
            <w:hideMark/>
          </w:tcPr>
          <w:p w:rsidR="00303039" w:rsidRDefault="00303039" w:rsidP="00ED109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61 613</w:t>
            </w:r>
          </w:p>
        </w:tc>
      </w:tr>
    </w:tbl>
    <w:p w:rsidR="00303039" w:rsidRDefault="00303039" w:rsidP="00303039">
      <w:pPr>
        <w:ind w:firstLine="708"/>
        <w:jc w:val="both"/>
        <w:rPr>
          <w:rFonts w:ascii="Times New Roman" w:eastAsia="Times New Roman" w:hAnsi="Times New Roman"/>
          <w:sz w:val="28"/>
          <w:szCs w:val="28"/>
          <w:lang w:val="en-US" w:eastAsia="ru-RU"/>
        </w:rPr>
      </w:pPr>
    </w:p>
    <w:p w:rsidR="00F745FB" w:rsidRPr="00F745FB" w:rsidRDefault="00F745FB" w:rsidP="00F745FB">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According to</w:t>
      </w:r>
      <w:r w:rsidRPr="00F745FB">
        <w:rPr>
          <w:rFonts w:ascii="Times New Roman" w:eastAsia="Times New Roman" w:hAnsi="Times New Roman"/>
          <w:sz w:val="28"/>
          <w:szCs w:val="28"/>
          <w:lang w:val="en-US" w:eastAsia="ru-RU"/>
        </w:rPr>
        <w:t xml:space="preserve"> results of 2014 </w:t>
      </w:r>
      <w:r>
        <w:rPr>
          <w:rFonts w:ascii="Times New Roman" w:eastAsia="Times New Roman" w:hAnsi="Times New Roman"/>
          <w:sz w:val="28"/>
          <w:szCs w:val="28"/>
          <w:lang w:val="en-US" w:eastAsia="ru-RU"/>
        </w:rPr>
        <w:t xml:space="preserve">the cost </w:t>
      </w:r>
      <w:r w:rsidRPr="00F745FB">
        <w:rPr>
          <w:rFonts w:ascii="Times New Roman" w:eastAsia="Times New Roman" w:hAnsi="Times New Roman"/>
          <w:sz w:val="28"/>
          <w:szCs w:val="28"/>
          <w:lang w:val="en-US" w:eastAsia="ru-RU"/>
        </w:rPr>
        <w:t>amou</w:t>
      </w:r>
      <w:r>
        <w:rPr>
          <w:rFonts w:ascii="Times New Roman" w:eastAsia="Times New Roman" w:hAnsi="Times New Roman"/>
          <w:sz w:val="28"/>
          <w:szCs w:val="28"/>
          <w:lang w:val="en-US" w:eastAsia="ru-RU"/>
        </w:rPr>
        <w:t xml:space="preserve">nted to 120 </w:t>
      </w:r>
      <w:r w:rsidRPr="00F745FB">
        <w:rPr>
          <w:rFonts w:ascii="Times New Roman" w:eastAsia="Times New Roman" w:hAnsi="Times New Roman"/>
          <w:sz w:val="28"/>
          <w:szCs w:val="28"/>
          <w:lang w:val="en-US" w:eastAsia="ru-RU"/>
        </w:rPr>
        <w:t xml:space="preserve">997 million tenge, which is 16% above the fact of 2013. The main growth </w:t>
      </w:r>
      <w:r>
        <w:rPr>
          <w:rFonts w:ascii="Times New Roman" w:eastAsia="Times New Roman" w:hAnsi="Times New Roman"/>
          <w:sz w:val="28"/>
          <w:szCs w:val="28"/>
          <w:lang w:val="en-US" w:eastAsia="ru-RU"/>
        </w:rPr>
        <w:t>on actual expenses</w:t>
      </w:r>
      <w:r w:rsidRPr="00F745FB">
        <w:rPr>
          <w:rFonts w:ascii="Times New Roman" w:eastAsia="Times New Roman" w:hAnsi="Times New Roman"/>
          <w:sz w:val="28"/>
          <w:szCs w:val="28"/>
          <w:lang w:val="en-US" w:eastAsia="ru-RU"/>
        </w:rPr>
        <w:t xml:space="preserve"> in 2014 compar</w:t>
      </w:r>
      <w:r>
        <w:rPr>
          <w:rFonts w:ascii="Times New Roman" w:eastAsia="Times New Roman" w:hAnsi="Times New Roman"/>
          <w:sz w:val="28"/>
          <w:szCs w:val="28"/>
          <w:lang w:val="en-US" w:eastAsia="ru-RU"/>
        </w:rPr>
        <w:t>ed with 2013 year occurred in respect to articles</w:t>
      </w:r>
      <w:r w:rsidRPr="00F745FB">
        <w:rPr>
          <w:rFonts w:ascii="Times New Roman" w:eastAsia="Times New Roman" w:hAnsi="Times New Roman"/>
          <w:sz w:val="28"/>
          <w:szCs w:val="28"/>
          <w:lang w:val="en-US" w:eastAsia="ru-RU"/>
        </w:rPr>
        <w:t xml:space="preserve">: depreciation, fuel, taxes, </w:t>
      </w:r>
      <w:r>
        <w:rPr>
          <w:rFonts w:ascii="Times New Roman" w:eastAsia="Times New Roman" w:hAnsi="Times New Roman"/>
          <w:sz w:val="28"/>
          <w:szCs w:val="28"/>
          <w:lang w:val="en-US" w:eastAsia="ru-RU"/>
        </w:rPr>
        <w:t xml:space="preserve">which is </w:t>
      </w:r>
      <w:r w:rsidRPr="00F745FB">
        <w:rPr>
          <w:rFonts w:ascii="Times New Roman" w:eastAsia="Times New Roman" w:hAnsi="Times New Roman"/>
          <w:sz w:val="28"/>
          <w:szCs w:val="28"/>
          <w:lang w:val="en-US" w:eastAsia="ru-RU"/>
        </w:rPr>
        <w:t>due to inclusion  "</w:t>
      </w:r>
      <w:r>
        <w:rPr>
          <w:rFonts w:ascii="Times New Roman" w:eastAsia="Times New Roman" w:hAnsi="Times New Roman"/>
          <w:sz w:val="28"/>
          <w:szCs w:val="28"/>
          <w:lang w:val="en-US" w:eastAsia="ru-RU"/>
        </w:rPr>
        <w:t>GRES</w:t>
      </w:r>
      <w:r w:rsidR="0028073E">
        <w:rPr>
          <w:rFonts w:ascii="Times New Roman" w:eastAsia="Times New Roman" w:hAnsi="Times New Roman"/>
          <w:sz w:val="28"/>
          <w:szCs w:val="28"/>
          <w:lang w:val="en-US" w:eastAsia="ru-RU"/>
        </w:rPr>
        <w:t xml:space="preserve"> 1</w:t>
      </w:r>
      <w:r>
        <w:rPr>
          <w:rFonts w:ascii="Times New Roman" w:eastAsia="Times New Roman" w:hAnsi="Times New Roman"/>
          <w:sz w:val="28"/>
          <w:szCs w:val="28"/>
          <w:lang w:val="en-US" w:eastAsia="ru-RU"/>
        </w:rPr>
        <w:t>” power plant to consolidation</w:t>
      </w:r>
      <w:r w:rsidRPr="00F745FB">
        <w:rPr>
          <w:rFonts w:ascii="Times New Roman" w:eastAsia="Times New Roman" w:hAnsi="Times New Roman"/>
          <w:sz w:val="28"/>
          <w:szCs w:val="28"/>
          <w:lang w:val="en-US" w:eastAsia="ru-RU"/>
        </w:rPr>
        <w:t>.</w:t>
      </w:r>
    </w:p>
    <w:p w:rsidR="00F745FB" w:rsidRDefault="006300F0" w:rsidP="00F745FB">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D</w:t>
      </w:r>
      <w:r w:rsidRPr="00F745FB">
        <w:rPr>
          <w:rFonts w:ascii="Times New Roman" w:eastAsia="Times New Roman" w:hAnsi="Times New Roman"/>
          <w:sz w:val="28"/>
          <w:szCs w:val="28"/>
          <w:lang w:val="en-US" w:eastAsia="ru-RU"/>
        </w:rPr>
        <w:t>ue to exclusion of assets held for sale</w:t>
      </w:r>
      <w:r>
        <w:rPr>
          <w:rFonts w:ascii="Times New Roman" w:eastAsia="Times New Roman" w:hAnsi="Times New Roman"/>
          <w:sz w:val="28"/>
          <w:szCs w:val="28"/>
          <w:lang w:val="en-US" w:eastAsia="ru-RU"/>
        </w:rPr>
        <w:t xml:space="preserve"> there was a decrease in respect of</w:t>
      </w:r>
      <w:r w:rsidR="00F745FB" w:rsidRPr="00F745FB">
        <w:rPr>
          <w:rFonts w:ascii="Times New Roman" w:eastAsia="Times New Roman" w:hAnsi="Times New Roman"/>
          <w:sz w:val="28"/>
          <w:szCs w:val="28"/>
          <w:lang w:val="en-US" w:eastAsia="ru-RU"/>
        </w:rPr>
        <w:t xml:space="preserve"> a number of articles, including: technological losses in the </w:t>
      </w:r>
      <w:r w:rsidR="00F745FB">
        <w:rPr>
          <w:rFonts w:ascii="Times New Roman" w:eastAsia="Times New Roman" w:hAnsi="Times New Roman"/>
          <w:sz w:val="28"/>
          <w:szCs w:val="28"/>
          <w:lang w:val="en-US" w:eastAsia="ru-RU"/>
        </w:rPr>
        <w:t>grids</w:t>
      </w:r>
      <w:r w:rsidRPr="00F745FB">
        <w:rPr>
          <w:rFonts w:ascii="Times New Roman" w:eastAsia="Times New Roman" w:hAnsi="Times New Roman"/>
          <w:sz w:val="28"/>
          <w:szCs w:val="28"/>
          <w:lang w:val="en-US" w:eastAsia="ru-RU"/>
        </w:rPr>
        <w:t>, purchased</w:t>
      </w:r>
      <w:r w:rsidR="00F745FB" w:rsidRPr="00F745FB">
        <w:rPr>
          <w:rFonts w:ascii="Times New Roman" w:eastAsia="Times New Roman" w:hAnsi="Times New Roman"/>
          <w:sz w:val="28"/>
          <w:szCs w:val="28"/>
          <w:lang w:val="en-US" w:eastAsia="ru-RU"/>
        </w:rPr>
        <w:t xml:space="preserve"> electricity, </w:t>
      </w:r>
      <w:r w:rsidR="00F745FB">
        <w:rPr>
          <w:rFonts w:ascii="Times New Roman" w:eastAsia="Times New Roman" w:hAnsi="Times New Roman"/>
          <w:sz w:val="28"/>
          <w:szCs w:val="28"/>
          <w:lang w:val="en-US" w:eastAsia="ru-RU"/>
        </w:rPr>
        <w:t>expenses for wages</w:t>
      </w:r>
      <w:r>
        <w:rPr>
          <w:rFonts w:ascii="Times New Roman" w:eastAsia="Times New Roman" w:hAnsi="Times New Roman"/>
          <w:sz w:val="28"/>
          <w:szCs w:val="28"/>
          <w:lang w:val="en-US" w:eastAsia="ru-RU"/>
        </w:rPr>
        <w:t xml:space="preserve">, and other expenses. </w:t>
      </w:r>
    </w:p>
    <w:p w:rsidR="00ED1095" w:rsidRPr="00ED1095" w:rsidRDefault="00ED1095" w:rsidP="00ED1095">
      <w:pPr>
        <w:ind w:firstLine="708"/>
        <w:jc w:val="both"/>
        <w:rPr>
          <w:rFonts w:ascii="Times New Roman" w:eastAsia="Times New Roman" w:hAnsi="Times New Roman"/>
          <w:b/>
          <w:sz w:val="28"/>
          <w:szCs w:val="28"/>
          <w:lang w:val="en-US" w:eastAsia="ru-RU"/>
        </w:rPr>
      </w:pPr>
      <w:r w:rsidRPr="00ED1095">
        <w:rPr>
          <w:rFonts w:ascii="Times New Roman" w:eastAsia="Times New Roman" w:hAnsi="Times New Roman"/>
          <w:b/>
          <w:sz w:val="28"/>
          <w:szCs w:val="28"/>
          <w:lang w:val="en-US" w:eastAsia="ru-RU"/>
        </w:rPr>
        <w:t xml:space="preserve">Forecast for future period on the cost of products and services </w:t>
      </w:r>
      <w:r>
        <w:rPr>
          <w:rFonts w:ascii="Times New Roman" w:eastAsia="Times New Roman" w:hAnsi="Times New Roman"/>
          <w:b/>
          <w:sz w:val="28"/>
          <w:szCs w:val="28"/>
          <w:lang w:val="en-US" w:eastAsia="ru-RU"/>
        </w:rPr>
        <w:t>delivery</w:t>
      </w:r>
    </w:p>
    <w:p w:rsidR="00ED1095" w:rsidRPr="00ED1095" w:rsidRDefault="00ED1095" w:rsidP="00997292">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In t</w:t>
      </w:r>
      <w:r w:rsidRPr="00ED1095">
        <w:rPr>
          <w:rFonts w:ascii="Times New Roman" w:eastAsia="Times New Roman" w:hAnsi="Times New Roman"/>
          <w:sz w:val="28"/>
          <w:szCs w:val="28"/>
          <w:lang w:val="en-US" w:eastAsia="ru-RU"/>
        </w:rPr>
        <w:t>he forecast for 2015</w:t>
      </w:r>
      <w:r>
        <w:rPr>
          <w:rFonts w:ascii="Times New Roman" w:eastAsia="Times New Roman" w:hAnsi="Times New Roman"/>
          <w:sz w:val="28"/>
          <w:szCs w:val="28"/>
          <w:lang w:val="en-US" w:eastAsia="ru-RU"/>
        </w:rPr>
        <w:t xml:space="preserve"> </w:t>
      </w:r>
      <w:r w:rsidR="00997292">
        <w:rPr>
          <w:rFonts w:ascii="Times New Roman" w:eastAsia="Times New Roman" w:hAnsi="Times New Roman"/>
          <w:sz w:val="28"/>
          <w:szCs w:val="28"/>
          <w:lang w:val="en-US" w:eastAsia="ru-RU"/>
        </w:rPr>
        <w:t xml:space="preserve">the </w:t>
      </w:r>
      <w:r w:rsidR="00997292" w:rsidRPr="00ED1095">
        <w:rPr>
          <w:rFonts w:ascii="Times New Roman" w:eastAsia="Times New Roman" w:hAnsi="Times New Roman"/>
          <w:sz w:val="28"/>
          <w:szCs w:val="28"/>
          <w:lang w:val="en-US" w:eastAsia="ru-RU"/>
        </w:rPr>
        <w:t>cost</w:t>
      </w:r>
      <w:r w:rsidRPr="00ED1095">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will increase</w:t>
      </w:r>
      <w:r w:rsidRPr="00ED1095">
        <w:rPr>
          <w:rFonts w:ascii="Times New Roman" w:eastAsia="Times New Roman" w:hAnsi="Times New Roman"/>
          <w:sz w:val="28"/>
          <w:szCs w:val="28"/>
          <w:lang w:val="en-US" w:eastAsia="ru-RU"/>
        </w:rPr>
        <w:t xml:space="preserve"> by 19 994 million tenge. The main increase is due to </w:t>
      </w:r>
      <w:r w:rsidR="00997292">
        <w:rPr>
          <w:rFonts w:ascii="Times New Roman" w:eastAsia="Times New Roman" w:hAnsi="Times New Roman"/>
          <w:sz w:val="28"/>
          <w:szCs w:val="28"/>
          <w:lang w:val="en-US" w:eastAsia="ru-RU"/>
        </w:rPr>
        <w:t>growth of expenses for</w:t>
      </w:r>
      <w:r w:rsidRPr="00ED1095">
        <w:rPr>
          <w:rFonts w:ascii="Times New Roman" w:eastAsia="Times New Roman" w:hAnsi="Times New Roman"/>
          <w:sz w:val="28"/>
          <w:szCs w:val="28"/>
          <w:lang w:val="en-US" w:eastAsia="ru-RU"/>
        </w:rPr>
        <w:t xml:space="preserve"> depreciation </w:t>
      </w:r>
      <w:r w:rsidR="00997292">
        <w:rPr>
          <w:rFonts w:ascii="Times New Roman" w:eastAsia="Times New Roman" w:hAnsi="Times New Roman"/>
          <w:sz w:val="28"/>
          <w:szCs w:val="28"/>
          <w:lang w:val="en-US" w:eastAsia="ru-RU"/>
        </w:rPr>
        <w:t xml:space="preserve">because of </w:t>
      </w:r>
      <w:r w:rsidRPr="00ED1095">
        <w:rPr>
          <w:rFonts w:ascii="Times New Roman" w:eastAsia="Times New Roman" w:hAnsi="Times New Roman"/>
          <w:sz w:val="28"/>
          <w:szCs w:val="28"/>
          <w:lang w:val="en-US" w:eastAsia="ru-RU"/>
        </w:rPr>
        <w:t xml:space="preserve"> the accrual </w:t>
      </w:r>
      <w:r w:rsidR="00997292">
        <w:rPr>
          <w:rFonts w:ascii="Times New Roman" w:eastAsia="Times New Roman" w:hAnsi="Times New Roman"/>
          <w:sz w:val="28"/>
          <w:szCs w:val="28"/>
          <w:lang w:val="en-US" w:eastAsia="ru-RU"/>
        </w:rPr>
        <w:t>resulted in</w:t>
      </w:r>
      <w:r w:rsidRPr="00ED1095">
        <w:rPr>
          <w:rFonts w:ascii="Times New Roman" w:eastAsia="Times New Roman" w:hAnsi="Times New Roman"/>
          <w:sz w:val="28"/>
          <w:szCs w:val="28"/>
          <w:lang w:val="en-US" w:eastAsia="ru-RU"/>
        </w:rPr>
        <w:t xml:space="preserve"> revaluation of fixed assets of </w:t>
      </w:r>
      <w:r w:rsidR="00997292">
        <w:rPr>
          <w:rFonts w:ascii="Times New Roman" w:eastAsia="Times New Roman" w:hAnsi="Times New Roman"/>
          <w:sz w:val="28"/>
          <w:szCs w:val="28"/>
          <w:lang w:val="en-US" w:eastAsia="ru-RU"/>
        </w:rPr>
        <w:t xml:space="preserve">“GRES-1” LLP. </w:t>
      </w:r>
      <w:r w:rsidRPr="00ED1095">
        <w:rPr>
          <w:rFonts w:ascii="Times New Roman" w:eastAsia="Times New Roman" w:hAnsi="Times New Roman"/>
          <w:sz w:val="28"/>
          <w:szCs w:val="28"/>
          <w:lang w:val="en-US" w:eastAsia="ru-RU"/>
        </w:rPr>
        <w:t xml:space="preserve"> Also, </w:t>
      </w:r>
      <w:r w:rsidR="00997292">
        <w:rPr>
          <w:rFonts w:ascii="Times New Roman" w:eastAsia="Times New Roman" w:hAnsi="Times New Roman"/>
          <w:sz w:val="28"/>
          <w:szCs w:val="28"/>
          <w:lang w:val="en-US" w:eastAsia="ru-RU"/>
        </w:rPr>
        <w:t xml:space="preserve">a </w:t>
      </w:r>
      <w:r w:rsidRPr="00ED1095">
        <w:rPr>
          <w:rFonts w:ascii="Times New Roman" w:eastAsia="Times New Roman" w:hAnsi="Times New Roman"/>
          <w:sz w:val="28"/>
          <w:szCs w:val="28"/>
          <w:lang w:val="en-US" w:eastAsia="ru-RU"/>
        </w:rPr>
        <w:t xml:space="preserve">growth </w:t>
      </w:r>
      <w:r w:rsidR="00997292">
        <w:rPr>
          <w:rFonts w:ascii="Times New Roman" w:eastAsia="Times New Roman" w:hAnsi="Times New Roman"/>
          <w:sz w:val="28"/>
          <w:szCs w:val="28"/>
          <w:lang w:val="en-US" w:eastAsia="ru-RU"/>
        </w:rPr>
        <w:t xml:space="preserve">is connected with </w:t>
      </w:r>
      <w:r w:rsidRPr="00ED1095">
        <w:rPr>
          <w:rFonts w:ascii="Times New Roman" w:eastAsia="Times New Roman" w:hAnsi="Times New Roman"/>
          <w:sz w:val="28"/>
          <w:szCs w:val="28"/>
          <w:lang w:val="en-US" w:eastAsia="ru-RU"/>
        </w:rPr>
        <w:t>the annual increase of wages of production personnel by inflation</w:t>
      </w:r>
      <w:r w:rsidR="00997292">
        <w:rPr>
          <w:rFonts w:ascii="Times New Roman" w:eastAsia="Times New Roman" w:hAnsi="Times New Roman"/>
          <w:sz w:val="28"/>
          <w:szCs w:val="28"/>
          <w:lang w:val="en-US" w:eastAsia="ru-RU"/>
        </w:rPr>
        <w:t xml:space="preserve"> rate</w:t>
      </w:r>
      <w:r w:rsidRPr="00ED1095">
        <w:rPr>
          <w:rFonts w:ascii="Times New Roman" w:eastAsia="Times New Roman" w:hAnsi="Times New Roman"/>
          <w:sz w:val="28"/>
          <w:szCs w:val="28"/>
          <w:lang w:val="en-US" w:eastAsia="ru-RU"/>
        </w:rPr>
        <w:t xml:space="preserve"> and the increase in the price of fuel purchased and services rendered by third parties </w:t>
      </w:r>
      <w:r w:rsidR="00997292">
        <w:rPr>
          <w:rFonts w:ascii="Times New Roman" w:eastAsia="Times New Roman" w:hAnsi="Times New Roman"/>
          <w:sz w:val="28"/>
          <w:szCs w:val="28"/>
          <w:lang w:val="en-US" w:eastAsia="ru-RU"/>
        </w:rPr>
        <w:t xml:space="preserve">as a result of inflation processes. </w:t>
      </w:r>
    </w:p>
    <w:p w:rsidR="00F745FB" w:rsidRDefault="00997292" w:rsidP="00ED1095">
      <w:pPr>
        <w:ind w:firstLine="708"/>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In the </w:t>
      </w:r>
      <w:r w:rsidR="00ED1095" w:rsidRPr="00ED1095">
        <w:rPr>
          <w:rFonts w:ascii="Times New Roman" w:eastAsia="Times New Roman" w:hAnsi="Times New Roman"/>
          <w:sz w:val="28"/>
          <w:szCs w:val="28"/>
          <w:lang w:val="en-US" w:eastAsia="ru-RU"/>
        </w:rPr>
        <w:t xml:space="preserve">forecast for 2016 </w:t>
      </w:r>
      <w:r>
        <w:rPr>
          <w:rFonts w:ascii="Times New Roman" w:eastAsia="Times New Roman" w:hAnsi="Times New Roman"/>
          <w:sz w:val="28"/>
          <w:szCs w:val="28"/>
          <w:lang w:val="en-US" w:eastAsia="ru-RU"/>
        </w:rPr>
        <w:t xml:space="preserve">the </w:t>
      </w:r>
      <w:r w:rsidR="00ED1095" w:rsidRPr="00ED1095">
        <w:rPr>
          <w:rFonts w:ascii="Times New Roman" w:eastAsia="Times New Roman" w:hAnsi="Times New Roman"/>
          <w:sz w:val="28"/>
          <w:szCs w:val="28"/>
          <w:lang w:val="en-US" w:eastAsia="ru-RU"/>
        </w:rPr>
        <w:t>cost</w:t>
      </w:r>
      <w:r>
        <w:rPr>
          <w:rFonts w:ascii="Times New Roman" w:eastAsia="Times New Roman" w:hAnsi="Times New Roman"/>
          <w:sz w:val="28"/>
          <w:szCs w:val="28"/>
          <w:lang w:val="en-US" w:eastAsia="ru-RU"/>
        </w:rPr>
        <w:t xml:space="preserve"> will reduce</w:t>
      </w:r>
      <w:r w:rsidR="00ED1095" w:rsidRPr="00ED1095">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because of excluding the</w:t>
      </w:r>
      <w:r w:rsidR="00ED1095" w:rsidRPr="00ED1095">
        <w:rPr>
          <w:rFonts w:ascii="Times New Roman" w:eastAsia="Times New Roman" w:hAnsi="Times New Roman"/>
          <w:sz w:val="28"/>
          <w:szCs w:val="28"/>
          <w:lang w:val="en-US" w:eastAsia="ru-RU"/>
        </w:rPr>
        <w:t xml:space="preserve"> assets intended for sale.</w:t>
      </w:r>
    </w:p>
    <w:p w:rsidR="00997292" w:rsidRDefault="00997292" w:rsidP="00ED1095">
      <w:pPr>
        <w:ind w:firstLine="708"/>
        <w:jc w:val="both"/>
        <w:rPr>
          <w:rFonts w:ascii="Times New Roman" w:eastAsia="Times New Roman" w:hAnsi="Times New Roman"/>
          <w:sz w:val="28"/>
          <w:szCs w:val="28"/>
          <w:lang w:val="en-US" w:eastAsia="ru-RU"/>
        </w:rPr>
      </w:pPr>
    </w:p>
    <w:p w:rsidR="00997292" w:rsidRPr="00121ED2" w:rsidRDefault="00997292" w:rsidP="00997292">
      <w:pPr>
        <w:jc w:val="both"/>
        <w:rPr>
          <w:rFonts w:ascii="Times New Roman" w:eastAsia="Times New Roman" w:hAnsi="Times New Roman"/>
          <w:b/>
          <w:sz w:val="28"/>
          <w:szCs w:val="28"/>
          <w:lang w:val="en-US" w:eastAsia="ru-RU"/>
        </w:rPr>
      </w:pPr>
      <w:r w:rsidRPr="00121ED2">
        <w:rPr>
          <w:rFonts w:ascii="Times New Roman" w:eastAsia="Times New Roman" w:hAnsi="Times New Roman"/>
          <w:b/>
          <w:sz w:val="28"/>
          <w:szCs w:val="28"/>
          <w:lang w:val="en-US" w:eastAsia="ru-RU"/>
        </w:rPr>
        <w:t xml:space="preserve">Expenses for sale </w:t>
      </w:r>
    </w:p>
    <w:tbl>
      <w:tblPr>
        <w:tblW w:w="8252" w:type="dxa"/>
        <w:tblInd w:w="817" w:type="dxa"/>
        <w:tblLook w:val="04A0"/>
      </w:tblPr>
      <w:tblGrid>
        <w:gridCol w:w="3373"/>
        <w:gridCol w:w="987"/>
        <w:gridCol w:w="987"/>
        <w:gridCol w:w="987"/>
        <w:gridCol w:w="989"/>
        <w:gridCol w:w="929"/>
      </w:tblGrid>
      <w:tr w:rsidR="00997292" w:rsidRPr="000C1384" w:rsidTr="00997292">
        <w:trPr>
          <w:trHeight w:val="161"/>
        </w:trPr>
        <w:tc>
          <w:tcPr>
            <w:tcW w:w="3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7292" w:rsidRPr="00997292" w:rsidRDefault="00997292"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Indicator</w:t>
            </w: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2012</w:t>
            </w: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2013</w:t>
            </w: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2014</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2015</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2016</w:t>
            </w:r>
          </w:p>
        </w:tc>
      </w:tr>
      <w:tr w:rsidR="00997292" w:rsidRPr="000C1384" w:rsidTr="00997292">
        <w:trPr>
          <w:trHeight w:val="161"/>
        </w:trPr>
        <w:tc>
          <w:tcPr>
            <w:tcW w:w="3373" w:type="dxa"/>
            <w:vMerge/>
            <w:tcBorders>
              <w:top w:val="single" w:sz="4" w:space="0" w:color="auto"/>
              <w:left w:val="single" w:sz="4" w:space="0" w:color="auto"/>
              <w:bottom w:val="single" w:sz="4" w:space="0" w:color="auto"/>
              <w:right w:val="single" w:sz="4" w:space="0" w:color="auto"/>
            </w:tcBorders>
            <w:vAlign w:val="center"/>
            <w:hideMark/>
          </w:tcPr>
          <w:p w:rsidR="00997292" w:rsidRPr="000C1384" w:rsidRDefault="00997292" w:rsidP="00AC6554">
            <w:pPr>
              <w:spacing w:after="0" w:line="240" w:lineRule="auto"/>
              <w:rPr>
                <w:rFonts w:ascii="Times New Roman" w:eastAsia="Times New Roman" w:hAnsi="Times New Roman"/>
                <w:b/>
                <w:bCs/>
                <w:color w:val="000000"/>
                <w:sz w:val="20"/>
                <w:szCs w:val="20"/>
                <w:lang w:eastAsia="ru-RU"/>
              </w:rPr>
            </w:pPr>
          </w:p>
        </w:tc>
        <w:tc>
          <w:tcPr>
            <w:tcW w:w="987" w:type="dxa"/>
            <w:tcBorders>
              <w:top w:val="nil"/>
              <w:left w:val="nil"/>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actual</w:t>
            </w:r>
          </w:p>
        </w:tc>
        <w:tc>
          <w:tcPr>
            <w:tcW w:w="987" w:type="dxa"/>
            <w:tcBorders>
              <w:top w:val="nil"/>
              <w:left w:val="nil"/>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actual</w:t>
            </w:r>
          </w:p>
        </w:tc>
        <w:tc>
          <w:tcPr>
            <w:tcW w:w="987" w:type="dxa"/>
            <w:tcBorders>
              <w:top w:val="nil"/>
              <w:left w:val="nil"/>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actual</w:t>
            </w:r>
          </w:p>
        </w:tc>
        <w:tc>
          <w:tcPr>
            <w:tcW w:w="989" w:type="dxa"/>
            <w:tcBorders>
              <w:top w:val="nil"/>
              <w:left w:val="nil"/>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forecast</w:t>
            </w:r>
          </w:p>
        </w:tc>
        <w:tc>
          <w:tcPr>
            <w:tcW w:w="929" w:type="dxa"/>
            <w:tcBorders>
              <w:top w:val="nil"/>
              <w:left w:val="nil"/>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jc w:val="center"/>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val="en-US" w:eastAsia="ru-RU"/>
              </w:rPr>
              <w:t>forecast</w:t>
            </w:r>
          </w:p>
        </w:tc>
      </w:tr>
      <w:tr w:rsidR="00997292" w:rsidRPr="000C1384" w:rsidTr="00997292">
        <w:trPr>
          <w:trHeight w:val="484"/>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Expenses</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for</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labor</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remuneration</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and</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personnel</w:t>
            </w:r>
            <w:r w:rsidRPr="00997292">
              <w:rPr>
                <w:rFonts w:ascii="Times New Roman" w:eastAsia="Times New Roman" w:hAnsi="Times New Roman"/>
                <w:color w:val="000000"/>
                <w:sz w:val="20"/>
                <w:szCs w:val="20"/>
                <w:lang w:val="en-US" w:eastAsia="ru-RU"/>
              </w:rPr>
              <w:t>’</w:t>
            </w:r>
            <w:r>
              <w:rPr>
                <w:rFonts w:ascii="Times New Roman" w:eastAsia="Times New Roman" w:hAnsi="Times New Roman"/>
                <w:color w:val="000000"/>
                <w:sz w:val="20"/>
                <w:szCs w:val="20"/>
                <w:lang w:val="en-US" w:eastAsia="ru-RU"/>
              </w:rPr>
              <w:t>s</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social</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payments</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associated</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with</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the</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sale</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process</w:t>
            </w:r>
            <w:r w:rsidRPr="00997292">
              <w:rPr>
                <w:rFonts w:ascii="Times New Roman" w:eastAsia="Times New Roman" w:hAnsi="Times New Roman"/>
                <w:color w:val="000000"/>
                <w:sz w:val="20"/>
                <w:szCs w:val="20"/>
                <w:lang w:val="en-US" w:eastAsia="ru-RU"/>
              </w:rPr>
              <w:t xml:space="preserve"> </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47</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84</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15</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17</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19</w:t>
            </w:r>
          </w:p>
        </w:tc>
      </w:tr>
      <w:tr w:rsidR="00997292" w:rsidRPr="000C1384" w:rsidTr="00997292">
        <w:trPr>
          <w:trHeight w:val="161"/>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Taxes</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other</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than</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income</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tax</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5</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r>
      <w:tr w:rsidR="00997292" w:rsidRPr="000C1384" w:rsidTr="00997292">
        <w:trPr>
          <w:trHeight w:val="323"/>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Other works and services associated with the sale </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96</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18</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2 399</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2 865</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3 470</w:t>
            </w:r>
          </w:p>
        </w:tc>
      </w:tr>
      <w:tr w:rsidR="00997292" w:rsidRPr="000C1384" w:rsidTr="00997292">
        <w:trPr>
          <w:trHeight w:val="161"/>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997292" w:rsidRDefault="00997292"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business trip expenses </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2</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0</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r>
      <w:tr w:rsidR="00997292" w:rsidRPr="000C1384" w:rsidTr="00997292">
        <w:trPr>
          <w:trHeight w:val="161"/>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997292" w:rsidRDefault="00997292" w:rsidP="00997292">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expenses</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related to</w:t>
            </w:r>
            <w:r w:rsidRPr="00997292">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sale</w:t>
            </w:r>
            <w:r w:rsidRPr="00997292">
              <w:rPr>
                <w:rFonts w:ascii="Times New Roman" w:eastAsia="Times New Roman" w:hAnsi="Times New Roman"/>
                <w:color w:val="000000"/>
                <w:sz w:val="20"/>
                <w:szCs w:val="20"/>
                <w:lang w:val="en-US" w:eastAsia="ru-RU"/>
              </w:rPr>
              <w:t xml:space="preserve"> </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5</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1</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color w:val="000000"/>
                <w:sz w:val="20"/>
                <w:szCs w:val="20"/>
                <w:lang w:eastAsia="ru-RU"/>
              </w:rPr>
            </w:pPr>
            <w:r w:rsidRPr="000C1384">
              <w:rPr>
                <w:rFonts w:ascii="Times New Roman" w:eastAsia="Times New Roman" w:hAnsi="Times New Roman"/>
                <w:color w:val="000000"/>
                <w:sz w:val="20"/>
                <w:szCs w:val="20"/>
                <w:lang w:eastAsia="ru-RU"/>
              </w:rPr>
              <w:t>-</w:t>
            </w:r>
          </w:p>
        </w:tc>
      </w:tr>
      <w:tr w:rsidR="00997292" w:rsidRPr="000C1384" w:rsidTr="00997292">
        <w:trPr>
          <w:trHeight w:val="161"/>
        </w:trPr>
        <w:tc>
          <w:tcPr>
            <w:tcW w:w="3373" w:type="dxa"/>
            <w:tcBorders>
              <w:top w:val="nil"/>
              <w:left w:val="single" w:sz="4" w:space="0" w:color="auto"/>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val="en-US" w:eastAsia="ru-RU"/>
              </w:rPr>
              <w:t>TOTAL</w:t>
            </w:r>
            <w:r w:rsidRPr="000C1384">
              <w:rPr>
                <w:rFonts w:ascii="Times New Roman" w:eastAsia="Times New Roman" w:hAnsi="Times New Roman"/>
                <w:b/>
                <w:color w:val="000000"/>
                <w:sz w:val="20"/>
                <w:szCs w:val="20"/>
                <w:lang w:eastAsia="ru-RU"/>
              </w:rPr>
              <w:t>:</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153</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105</w:t>
            </w:r>
          </w:p>
        </w:tc>
        <w:tc>
          <w:tcPr>
            <w:tcW w:w="987"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2 416</w:t>
            </w:r>
          </w:p>
        </w:tc>
        <w:tc>
          <w:tcPr>
            <w:tcW w:w="98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2 883</w:t>
            </w:r>
          </w:p>
        </w:tc>
        <w:tc>
          <w:tcPr>
            <w:tcW w:w="929" w:type="dxa"/>
            <w:tcBorders>
              <w:top w:val="nil"/>
              <w:left w:val="nil"/>
              <w:bottom w:val="single" w:sz="4" w:space="0" w:color="auto"/>
              <w:right w:val="single" w:sz="4" w:space="0" w:color="auto"/>
            </w:tcBorders>
            <w:shd w:val="clear" w:color="auto" w:fill="auto"/>
            <w:vAlign w:val="bottom"/>
            <w:hideMark/>
          </w:tcPr>
          <w:p w:rsidR="00997292" w:rsidRPr="000C1384" w:rsidRDefault="00997292" w:rsidP="00AC6554">
            <w:pPr>
              <w:spacing w:after="0" w:line="240" w:lineRule="auto"/>
              <w:jc w:val="center"/>
              <w:rPr>
                <w:rFonts w:ascii="Times New Roman" w:eastAsia="Times New Roman" w:hAnsi="Times New Roman"/>
                <w:b/>
                <w:color w:val="000000"/>
                <w:sz w:val="20"/>
                <w:szCs w:val="20"/>
                <w:lang w:eastAsia="ru-RU"/>
              </w:rPr>
            </w:pPr>
            <w:r w:rsidRPr="000C1384">
              <w:rPr>
                <w:rFonts w:ascii="Times New Roman" w:eastAsia="Times New Roman" w:hAnsi="Times New Roman"/>
                <w:b/>
                <w:color w:val="000000"/>
                <w:sz w:val="20"/>
                <w:szCs w:val="20"/>
                <w:lang w:eastAsia="ru-RU"/>
              </w:rPr>
              <w:t>3 488</w:t>
            </w:r>
          </w:p>
        </w:tc>
      </w:tr>
    </w:tbl>
    <w:p w:rsidR="00121ED2" w:rsidRDefault="00121ED2" w:rsidP="00997292">
      <w:pPr>
        <w:jc w:val="both"/>
        <w:rPr>
          <w:rFonts w:ascii="Times New Roman" w:eastAsia="Times New Roman" w:hAnsi="Times New Roman"/>
          <w:sz w:val="28"/>
          <w:szCs w:val="28"/>
          <w:lang w:val="en-US" w:eastAsia="ru-RU"/>
        </w:rPr>
      </w:pPr>
    </w:p>
    <w:p w:rsidR="00997292" w:rsidRDefault="00121ED2" w:rsidP="00997292">
      <w:pPr>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Expenses for sale according to the results of </w:t>
      </w:r>
      <w:r w:rsidRPr="00121ED2">
        <w:rPr>
          <w:rFonts w:ascii="Times New Roman" w:eastAsia="Times New Roman" w:hAnsi="Times New Roman"/>
          <w:sz w:val="28"/>
          <w:szCs w:val="28"/>
          <w:lang w:val="en-US" w:eastAsia="ru-RU"/>
        </w:rPr>
        <w:t xml:space="preserve">2014 increased due to </w:t>
      </w:r>
      <w:r>
        <w:rPr>
          <w:rFonts w:ascii="Times New Roman" w:eastAsia="Times New Roman" w:hAnsi="Times New Roman"/>
          <w:sz w:val="28"/>
          <w:szCs w:val="28"/>
          <w:lang w:val="en-US" w:eastAsia="ru-RU"/>
        </w:rPr>
        <w:t>inclusion of a new asset “GRES-1” LLP to</w:t>
      </w:r>
      <w:r w:rsidRPr="00121ED2">
        <w:rPr>
          <w:rFonts w:ascii="Times New Roman" w:eastAsia="Times New Roman" w:hAnsi="Times New Roman"/>
          <w:sz w:val="28"/>
          <w:szCs w:val="28"/>
          <w:lang w:val="en-US" w:eastAsia="ru-RU"/>
        </w:rPr>
        <w:t xml:space="preserve"> consolidation. These changes have had an impact on the dynamics in the forecast for 2015-2016.</w:t>
      </w:r>
    </w:p>
    <w:p w:rsidR="009D2C99" w:rsidRPr="009D2C99" w:rsidRDefault="009D2C99" w:rsidP="009D2C99">
      <w:pPr>
        <w:ind w:firstLine="709"/>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Administrative expenses </w:t>
      </w:r>
    </w:p>
    <w:tbl>
      <w:tblPr>
        <w:tblW w:w="8620" w:type="dxa"/>
        <w:tblInd w:w="817" w:type="dxa"/>
        <w:tblLook w:val="04A0"/>
      </w:tblPr>
      <w:tblGrid>
        <w:gridCol w:w="3340"/>
        <w:gridCol w:w="940"/>
        <w:gridCol w:w="1000"/>
        <w:gridCol w:w="1120"/>
        <w:gridCol w:w="1000"/>
        <w:gridCol w:w="1220"/>
      </w:tblGrid>
      <w:tr w:rsidR="009D2C99" w:rsidRPr="00CF2C77" w:rsidTr="00AC6554">
        <w:trPr>
          <w:trHeight w:val="270"/>
        </w:trPr>
        <w:tc>
          <w:tcPr>
            <w:tcW w:w="33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 xml:space="preserve">Indicator </w:t>
            </w:r>
          </w:p>
        </w:tc>
        <w:tc>
          <w:tcPr>
            <w:tcW w:w="940" w:type="dxa"/>
            <w:tcBorders>
              <w:top w:val="single" w:sz="8" w:space="0" w:color="auto"/>
              <w:left w:val="nil"/>
              <w:bottom w:val="single" w:sz="4" w:space="0" w:color="auto"/>
              <w:right w:val="single" w:sz="4" w:space="0" w:color="auto"/>
            </w:tcBorders>
            <w:shd w:val="clear" w:color="auto" w:fill="auto"/>
            <w:vAlign w:val="bottom"/>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2012</w:t>
            </w:r>
          </w:p>
        </w:tc>
        <w:tc>
          <w:tcPr>
            <w:tcW w:w="1000" w:type="dxa"/>
            <w:tcBorders>
              <w:top w:val="single" w:sz="8" w:space="0" w:color="auto"/>
              <w:left w:val="nil"/>
              <w:bottom w:val="single" w:sz="4" w:space="0" w:color="auto"/>
              <w:right w:val="single" w:sz="4" w:space="0" w:color="auto"/>
            </w:tcBorders>
            <w:shd w:val="clear" w:color="auto" w:fill="auto"/>
            <w:vAlign w:val="bottom"/>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2013</w:t>
            </w:r>
          </w:p>
        </w:tc>
        <w:tc>
          <w:tcPr>
            <w:tcW w:w="1120" w:type="dxa"/>
            <w:tcBorders>
              <w:top w:val="single" w:sz="8" w:space="0" w:color="auto"/>
              <w:left w:val="nil"/>
              <w:bottom w:val="single" w:sz="4" w:space="0" w:color="auto"/>
              <w:right w:val="single" w:sz="4" w:space="0" w:color="auto"/>
            </w:tcBorders>
            <w:shd w:val="clear" w:color="auto" w:fill="auto"/>
            <w:vAlign w:val="bottom"/>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2014</w:t>
            </w:r>
          </w:p>
        </w:tc>
        <w:tc>
          <w:tcPr>
            <w:tcW w:w="1000" w:type="dxa"/>
            <w:tcBorders>
              <w:top w:val="single" w:sz="8" w:space="0" w:color="auto"/>
              <w:left w:val="nil"/>
              <w:bottom w:val="single" w:sz="4" w:space="0" w:color="auto"/>
              <w:right w:val="single" w:sz="4" w:space="0" w:color="auto"/>
            </w:tcBorders>
            <w:shd w:val="clear" w:color="auto" w:fill="auto"/>
            <w:vAlign w:val="bottom"/>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2015</w:t>
            </w:r>
          </w:p>
        </w:tc>
        <w:tc>
          <w:tcPr>
            <w:tcW w:w="1220" w:type="dxa"/>
            <w:tcBorders>
              <w:top w:val="single" w:sz="8" w:space="0" w:color="auto"/>
              <w:left w:val="nil"/>
              <w:bottom w:val="single" w:sz="4" w:space="0" w:color="auto"/>
              <w:right w:val="single" w:sz="8" w:space="0" w:color="auto"/>
            </w:tcBorders>
            <w:shd w:val="clear" w:color="auto" w:fill="auto"/>
            <w:vAlign w:val="bottom"/>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2016</w:t>
            </w:r>
          </w:p>
        </w:tc>
      </w:tr>
      <w:tr w:rsidR="009D2C99" w:rsidRPr="00CF2C77" w:rsidTr="00AC6554">
        <w:trPr>
          <w:trHeight w:val="225"/>
        </w:trPr>
        <w:tc>
          <w:tcPr>
            <w:tcW w:w="3340" w:type="dxa"/>
            <w:vMerge/>
            <w:tcBorders>
              <w:top w:val="single" w:sz="8" w:space="0" w:color="auto"/>
              <w:left w:val="single" w:sz="8" w:space="0" w:color="auto"/>
              <w:bottom w:val="single" w:sz="8" w:space="0" w:color="000000"/>
              <w:right w:val="single" w:sz="4" w:space="0" w:color="auto"/>
            </w:tcBorders>
            <w:vAlign w:val="center"/>
            <w:hideMark/>
          </w:tcPr>
          <w:p w:rsidR="009D2C99" w:rsidRPr="00CF2C77" w:rsidRDefault="009D2C99" w:rsidP="00AC6554">
            <w:pPr>
              <w:spacing w:after="0" w:line="240" w:lineRule="auto"/>
              <w:rPr>
                <w:rFonts w:ascii="Times New Roman" w:eastAsia="Times New Roman" w:hAnsi="Times New Roman"/>
                <w:b/>
                <w:bCs/>
                <w:color w:val="000000"/>
                <w:sz w:val="20"/>
                <w:szCs w:val="20"/>
                <w:lang w:eastAsia="ru-RU"/>
              </w:rPr>
            </w:pPr>
          </w:p>
        </w:tc>
        <w:tc>
          <w:tcPr>
            <w:tcW w:w="940" w:type="dxa"/>
            <w:tcBorders>
              <w:top w:val="nil"/>
              <w:left w:val="nil"/>
              <w:bottom w:val="single" w:sz="8" w:space="0" w:color="auto"/>
              <w:right w:val="single" w:sz="4" w:space="0" w:color="auto"/>
            </w:tcBorders>
            <w:shd w:val="clear" w:color="auto" w:fill="auto"/>
            <w:vAlign w:val="bottom"/>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8" w:space="0" w:color="auto"/>
              <w:right w:val="single" w:sz="4" w:space="0" w:color="auto"/>
            </w:tcBorders>
            <w:shd w:val="clear" w:color="auto" w:fill="auto"/>
            <w:vAlign w:val="bottom"/>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120" w:type="dxa"/>
            <w:tcBorders>
              <w:top w:val="nil"/>
              <w:left w:val="nil"/>
              <w:bottom w:val="single" w:sz="8" w:space="0" w:color="auto"/>
              <w:right w:val="single" w:sz="4" w:space="0" w:color="auto"/>
            </w:tcBorders>
            <w:shd w:val="clear" w:color="auto" w:fill="auto"/>
            <w:vAlign w:val="bottom"/>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8" w:space="0" w:color="auto"/>
              <w:right w:val="single" w:sz="4" w:space="0" w:color="auto"/>
            </w:tcBorders>
            <w:shd w:val="clear" w:color="auto" w:fill="auto"/>
            <w:vAlign w:val="bottom"/>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plan</w:t>
            </w:r>
          </w:p>
        </w:tc>
        <w:tc>
          <w:tcPr>
            <w:tcW w:w="1220" w:type="dxa"/>
            <w:tcBorders>
              <w:top w:val="nil"/>
              <w:left w:val="nil"/>
              <w:bottom w:val="single" w:sz="8" w:space="0" w:color="auto"/>
              <w:right w:val="single" w:sz="8" w:space="0" w:color="auto"/>
            </w:tcBorders>
            <w:shd w:val="clear" w:color="auto" w:fill="auto"/>
            <w:vAlign w:val="bottom"/>
            <w:hideMark/>
          </w:tcPr>
          <w:p w:rsidR="009D2C99" w:rsidRPr="009D2C99" w:rsidRDefault="009D2C99"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plan</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Labor remuneration and associated costs</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3 279</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5 048</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5 009</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5 615</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3 915</w:t>
            </w:r>
          </w:p>
        </w:tc>
      </w:tr>
      <w:tr w:rsidR="009D2C99" w:rsidRPr="00CF2C77" w:rsidTr="00AC6554">
        <w:trPr>
          <w:trHeight w:val="510"/>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9D2C99">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Consulting and other professional services </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677</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1 046</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851</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1 661</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676</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Taxes, other than income tax</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459</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365</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41</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102</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45</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Rent expenses </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28</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511</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545</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659</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546</w:t>
            </w:r>
          </w:p>
        </w:tc>
      </w:tr>
      <w:tr w:rsidR="009D2C99" w:rsidRPr="00CF2C77" w:rsidTr="00AC6554">
        <w:trPr>
          <w:trHeight w:val="510"/>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sidRPr="009D2C99">
              <w:rPr>
                <w:rFonts w:ascii="Times New Roman" w:eastAsia="Times New Roman" w:hAnsi="Times New Roman"/>
                <w:color w:val="000000"/>
                <w:sz w:val="20"/>
                <w:szCs w:val="20"/>
                <w:lang w:val="en-US" w:eastAsia="ru-RU"/>
              </w:rPr>
              <w:t>Depreciation and amortization of intangible assets</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384</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393</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1 102</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1 120</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894</w:t>
            </w:r>
          </w:p>
        </w:tc>
      </w:tr>
      <w:tr w:rsidR="009D2C99" w:rsidRPr="00CF2C77" w:rsidTr="00AC6554">
        <w:trPr>
          <w:trHeight w:val="510"/>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Travel and hospitality expenses</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153</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261</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234</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250</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223</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 xml:space="preserve">Bank fees </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129</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155</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130</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142</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21</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9D2C99">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Communication costs</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85</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134</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93</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150</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100</w:t>
            </w:r>
          </w:p>
        </w:tc>
      </w:tr>
      <w:tr w:rsidR="009D2C99" w:rsidRPr="00CF2C77" w:rsidTr="00AC6554">
        <w:trPr>
          <w:trHeight w:val="255"/>
        </w:trPr>
        <w:tc>
          <w:tcPr>
            <w:tcW w:w="3340" w:type="dxa"/>
            <w:tcBorders>
              <w:top w:val="nil"/>
              <w:left w:val="single" w:sz="8" w:space="0" w:color="auto"/>
              <w:bottom w:val="single" w:sz="4" w:space="0" w:color="auto"/>
              <w:right w:val="single" w:sz="4" w:space="0" w:color="auto"/>
            </w:tcBorders>
            <w:shd w:val="clear" w:color="auto" w:fill="auto"/>
            <w:vAlign w:val="bottom"/>
            <w:hideMark/>
          </w:tcPr>
          <w:p w:rsidR="009D2C99" w:rsidRPr="009D2C99" w:rsidRDefault="009D2C99"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w:t>
            </w:r>
          </w:p>
        </w:tc>
        <w:tc>
          <w:tcPr>
            <w:tcW w:w="94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1 576</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2 378</w:t>
            </w:r>
          </w:p>
        </w:tc>
        <w:tc>
          <w:tcPr>
            <w:tcW w:w="112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3 282</w:t>
            </w:r>
          </w:p>
        </w:tc>
        <w:tc>
          <w:tcPr>
            <w:tcW w:w="1000" w:type="dxa"/>
            <w:tcBorders>
              <w:top w:val="nil"/>
              <w:left w:val="nil"/>
              <w:bottom w:val="single" w:sz="4"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3 061</w:t>
            </w:r>
          </w:p>
        </w:tc>
        <w:tc>
          <w:tcPr>
            <w:tcW w:w="1220" w:type="dxa"/>
            <w:tcBorders>
              <w:top w:val="nil"/>
              <w:left w:val="nil"/>
              <w:bottom w:val="single" w:sz="4"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color w:val="000000"/>
                <w:sz w:val="20"/>
                <w:szCs w:val="20"/>
                <w:lang w:eastAsia="ru-RU"/>
              </w:rPr>
            </w:pPr>
            <w:r w:rsidRPr="00CF2C77">
              <w:rPr>
                <w:rFonts w:ascii="Times New Roman" w:eastAsia="Times New Roman" w:hAnsi="Times New Roman"/>
                <w:color w:val="000000"/>
                <w:sz w:val="20"/>
                <w:szCs w:val="20"/>
                <w:lang w:eastAsia="ru-RU"/>
              </w:rPr>
              <w:t>3 311</w:t>
            </w:r>
          </w:p>
        </w:tc>
      </w:tr>
      <w:tr w:rsidR="009D2C99" w:rsidRPr="00CF2C77" w:rsidTr="00AC6554">
        <w:trPr>
          <w:trHeight w:val="270"/>
        </w:trPr>
        <w:tc>
          <w:tcPr>
            <w:tcW w:w="3340" w:type="dxa"/>
            <w:tcBorders>
              <w:top w:val="nil"/>
              <w:left w:val="single" w:sz="8" w:space="0" w:color="auto"/>
              <w:bottom w:val="single" w:sz="8" w:space="0" w:color="auto"/>
              <w:right w:val="single" w:sz="4" w:space="0" w:color="auto"/>
            </w:tcBorders>
            <w:shd w:val="clear" w:color="auto" w:fill="auto"/>
            <w:vAlign w:val="bottom"/>
            <w:hideMark/>
          </w:tcPr>
          <w:p w:rsidR="009D2C99" w:rsidRPr="00CF2C77" w:rsidRDefault="009D2C99" w:rsidP="00AC6554">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TOTAL</w:t>
            </w:r>
            <w:r w:rsidRPr="00CF2C77">
              <w:rPr>
                <w:rFonts w:ascii="Times New Roman" w:eastAsia="Times New Roman" w:hAnsi="Times New Roman"/>
                <w:b/>
                <w:bCs/>
                <w:color w:val="000000"/>
                <w:sz w:val="20"/>
                <w:szCs w:val="20"/>
                <w:lang w:eastAsia="ru-RU"/>
              </w:rPr>
              <w:t>:</w:t>
            </w:r>
          </w:p>
        </w:tc>
        <w:tc>
          <w:tcPr>
            <w:tcW w:w="940" w:type="dxa"/>
            <w:tcBorders>
              <w:top w:val="nil"/>
              <w:left w:val="nil"/>
              <w:bottom w:val="single" w:sz="8"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6 770</w:t>
            </w:r>
          </w:p>
        </w:tc>
        <w:tc>
          <w:tcPr>
            <w:tcW w:w="1000" w:type="dxa"/>
            <w:tcBorders>
              <w:top w:val="nil"/>
              <w:left w:val="nil"/>
              <w:bottom w:val="single" w:sz="8"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10 291</w:t>
            </w:r>
          </w:p>
        </w:tc>
        <w:tc>
          <w:tcPr>
            <w:tcW w:w="1120" w:type="dxa"/>
            <w:tcBorders>
              <w:top w:val="nil"/>
              <w:left w:val="nil"/>
              <w:bottom w:val="single" w:sz="8"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11 287</w:t>
            </w:r>
          </w:p>
        </w:tc>
        <w:tc>
          <w:tcPr>
            <w:tcW w:w="1000" w:type="dxa"/>
            <w:tcBorders>
              <w:top w:val="nil"/>
              <w:left w:val="nil"/>
              <w:bottom w:val="single" w:sz="8" w:space="0" w:color="auto"/>
              <w:right w:val="single" w:sz="4"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12 761</w:t>
            </w:r>
          </w:p>
        </w:tc>
        <w:tc>
          <w:tcPr>
            <w:tcW w:w="1220" w:type="dxa"/>
            <w:tcBorders>
              <w:top w:val="nil"/>
              <w:left w:val="nil"/>
              <w:bottom w:val="single" w:sz="8" w:space="0" w:color="auto"/>
              <w:right w:val="single" w:sz="8" w:space="0" w:color="auto"/>
            </w:tcBorders>
            <w:shd w:val="clear" w:color="auto" w:fill="auto"/>
            <w:noWrap/>
            <w:vAlign w:val="center"/>
            <w:hideMark/>
          </w:tcPr>
          <w:p w:rsidR="009D2C99" w:rsidRPr="00CF2C77" w:rsidRDefault="009D2C99" w:rsidP="00AC6554">
            <w:pPr>
              <w:spacing w:after="0" w:line="240" w:lineRule="auto"/>
              <w:jc w:val="center"/>
              <w:rPr>
                <w:rFonts w:ascii="Times New Roman" w:eastAsia="Times New Roman" w:hAnsi="Times New Roman"/>
                <w:b/>
                <w:bCs/>
                <w:color w:val="000000"/>
                <w:sz w:val="20"/>
                <w:szCs w:val="20"/>
                <w:lang w:eastAsia="ru-RU"/>
              </w:rPr>
            </w:pPr>
            <w:r w:rsidRPr="00CF2C77">
              <w:rPr>
                <w:rFonts w:ascii="Times New Roman" w:eastAsia="Times New Roman" w:hAnsi="Times New Roman"/>
                <w:b/>
                <w:bCs/>
                <w:color w:val="000000"/>
                <w:sz w:val="20"/>
                <w:szCs w:val="20"/>
                <w:lang w:eastAsia="ru-RU"/>
              </w:rPr>
              <w:t>9 732</w:t>
            </w:r>
          </w:p>
        </w:tc>
      </w:tr>
    </w:tbl>
    <w:p w:rsidR="009D2C99" w:rsidRDefault="009D2C99" w:rsidP="00997292">
      <w:pPr>
        <w:jc w:val="both"/>
        <w:rPr>
          <w:rFonts w:ascii="Times New Roman" w:eastAsia="Times New Roman" w:hAnsi="Times New Roman"/>
          <w:sz w:val="28"/>
          <w:szCs w:val="28"/>
          <w:lang w:val="en-US" w:eastAsia="ru-RU"/>
        </w:rPr>
      </w:pPr>
    </w:p>
    <w:p w:rsidR="00877CDD" w:rsidRPr="00877CDD" w:rsidRDefault="00877CDD" w:rsidP="00877CDD">
      <w:pPr>
        <w:jc w:val="both"/>
        <w:rPr>
          <w:rFonts w:ascii="Times New Roman" w:eastAsia="Times New Roman" w:hAnsi="Times New Roman"/>
          <w:sz w:val="28"/>
          <w:szCs w:val="28"/>
          <w:lang w:val="en-US" w:eastAsia="ru-RU"/>
        </w:rPr>
      </w:pPr>
      <w:r w:rsidRPr="00877CDD">
        <w:rPr>
          <w:rFonts w:ascii="Times New Roman" w:eastAsia="Times New Roman" w:hAnsi="Times New Roman"/>
          <w:sz w:val="28"/>
          <w:szCs w:val="28"/>
          <w:lang w:val="en-US" w:eastAsia="ru-RU"/>
        </w:rPr>
        <w:t xml:space="preserve">Administrative expenses </w:t>
      </w:r>
      <w:r w:rsidR="00207BF7">
        <w:rPr>
          <w:rFonts w:ascii="Times New Roman" w:eastAsia="Times New Roman" w:hAnsi="Times New Roman"/>
          <w:sz w:val="28"/>
          <w:szCs w:val="28"/>
          <w:lang w:val="en-US" w:eastAsia="ru-RU"/>
        </w:rPr>
        <w:t xml:space="preserve">according to results of 2014 amounted to 11 </w:t>
      </w:r>
      <w:r w:rsidRPr="00877CDD">
        <w:rPr>
          <w:rFonts w:ascii="Times New Roman" w:eastAsia="Times New Roman" w:hAnsi="Times New Roman"/>
          <w:sz w:val="28"/>
          <w:szCs w:val="28"/>
          <w:lang w:val="en-US" w:eastAsia="ru-RU"/>
        </w:rPr>
        <w:t xml:space="preserve">287 million tenge, which is 10% above the fact of 2013. The main growth </w:t>
      </w:r>
      <w:r w:rsidR="00207BF7">
        <w:rPr>
          <w:rFonts w:ascii="Times New Roman" w:eastAsia="Times New Roman" w:hAnsi="Times New Roman"/>
          <w:sz w:val="28"/>
          <w:szCs w:val="28"/>
          <w:lang w:val="en-US" w:eastAsia="ru-RU"/>
        </w:rPr>
        <w:t>on actual costs</w:t>
      </w:r>
      <w:r w:rsidRPr="00877CDD">
        <w:rPr>
          <w:rFonts w:ascii="Times New Roman" w:eastAsia="Times New Roman" w:hAnsi="Times New Roman"/>
          <w:sz w:val="28"/>
          <w:szCs w:val="28"/>
          <w:lang w:val="en-US" w:eastAsia="ru-RU"/>
        </w:rPr>
        <w:t xml:space="preserve"> in 2014 compar</w:t>
      </w:r>
      <w:r w:rsidR="00207BF7">
        <w:rPr>
          <w:rFonts w:ascii="Times New Roman" w:eastAsia="Times New Roman" w:hAnsi="Times New Roman"/>
          <w:sz w:val="28"/>
          <w:szCs w:val="28"/>
          <w:lang w:val="en-US" w:eastAsia="ru-RU"/>
        </w:rPr>
        <w:t>ed with 2013 year occurred in respect of items</w:t>
      </w:r>
      <w:r w:rsidRPr="00877CDD">
        <w:rPr>
          <w:rFonts w:ascii="Times New Roman" w:eastAsia="Times New Roman" w:hAnsi="Times New Roman"/>
          <w:sz w:val="28"/>
          <w:szCs w:val="28"/>
          <w:lang w:val="en-US" w:eastAsia="ru-RU"/>
        </w:rPr>
        <w:t>: Depreciation and other expenses</w:t>
      </w:r>
      <w:r w:rsidR="00207BF7">
        <w:rPr>
          <w:rFonts w:ascii="Times New Roman" w:eastAsia="Times New Roman" w:hAnsi="Times New Roman"/>
          <w:sz w:val="28"/>
          <w:szCs w:val="28"/>
          <w:lang w:val="en-US" w:eastAsia="ru-RU"/>
        </w:rPr>
        <w:t>,</w:t>
      </w:r>
      <w:r w:rsidRPr="00877CDD">
        <w:rPr>
          <w:rFonts w:ascii="Times New Roman" w:eastAsia="Times New Roman" w:hAnsi="Times New Roman"/>
          <w:sz w:val="28"/>
          <w:szCs w:val="28"/>
          <w:lang w:val="en-US" w:eastAsia="ru-RU"/>
        </w:rPr>
        <w:t xml:space="preserve"> due to the inclusion </w:t>
      </w:r>
      <w:r w:rsidR="00207BF7">
        <w:rPr>
          <w:rFonts w:ascii="Times New Roman" w:eastAsia="Times New Roman" w:hAnsi="Times New Roman"/>
          <w:sz w:val="28"/>
          <w:szCs w:val="28"/>
          <w:lang w:val="en-US" w:eastAsia="ru-RU"/>
        </w:rPr>
        <w:t xml:space="preserve">of “GRES-1” LLP power plant in the consolidation. </w:t>
      </w:r>
      <w:r w:rsidRPr="00877CDD">
        <w:rPr>
          <w:rFonts w:ascii="Times New Roman" w:eastAsia="Times New Roman" w:hAnsi="Times New Roman"/>
          <w:sz w:val="28"/>
          <w:szCs w:val="28"/>
          <w:lang w:val="en-US" w:eastAsia="ru-RU"/>
        </w:rPr>
        <w:t>For other items expense</w:t>
      </w:r>
      <w:r w:rsidR="00207BF7">
        <w:rPr>
          <w:rFonts w:ascii="Times New Roman" w:eastAsia="Times New Roman" w:hAnsi="Times New Roman"/>
          <w:sz w:val="28"/>
          <w:szCs w:val="28"/>
          <w:lang w:val="en-US" w:eastAsia="ru-RU"/>
        </w:rPr>
        <w:t>s</w:t>
      </w:r>
      <w:r w:rsidRPr="00877CDD">
        <w:rPr>
          <w:rFonts w:ascii="Times New Roman" w:eastAsia="Times New Roman" w:hAnsi="Times New Roman"/>
          <w:sz w:val="28"/>
          <w:szCs w:val="28"/>
          <w:lang w:val="en-US" w:eastAsia="ru-RU"/>
        </w:rPr>
        <w:t xml:space="preserve"> decreased due to exclusion of assets held for sale and cost optimization.</w:t>
      </w:r>
    </w:p>
    <w:p w:rsidR="00877CDD" w:rsidRPr="00207BF7" w:rsidRDefault="00877CDD" w:rsidP="00877CDD">
      <w:pPr>
        <w:jc w:val="both"/>
        <w:rPr>
          <w:rFonts w:ascii="Times New Roman" w:eastAsia="Times New Roman" w:hAnsi="Times New Roman"/>
          <w:b/>
          <w:sz w:val="28"/>
          <w:szCs w:val="28"/>
          <w:lang w:val="en-US" w:eastAsia="ru-RU"/>
        </w:rPr>
      </w:pPr>
      <w:r w:rsidRPr="00207BF7">
        <w:rPr>
          <w:rFonts w:ascii="Times New Roman" w:eastAsia="Times New Roman" w:hAnsi="Times New Roman"/>
          <w:b/>
          <w:sz w:val="28"/>
          <w:szCs w:val="28"/>
          <w:lang w:val="en-US" w:eastAsia="ru-RU"/>
        </w:rPr>
        <w:t>The forecast for the future period o</w:t>
      </w:r>
      <w:r w:rsidR="00207BF7">
        <w:rPr>
          <w:rFonts w:ascii="Times New Roman" w:eastAsia="Times New Roman" w:hAnsi="Times New Roman"/>
          <w:b/>
          <w:sz w:val="28"/>
          <w:szCs w:val="28"/>
          <w:lang w:val="en-US" w:eastAsia="ru-RU"/>
        </w:rPr>
        <w:t>n</w:t>
      </w:r>
      <w:r w:rsidRPr="00207BF7">
        <w:rPr>
          <w:rFonts w:ascii="Times New Roman" w:eastAsia="Times New Roman" w:hAnsi="Times New Roman"/>
          <w:b/>
          <w:sz w:val="28"/>
          <w:szCs w:val="28"/>
          <w:lang w:val="en-US" w:eastAsia="ru-RU"/>
        </w:rPr>
        <w:t xml:space="preserve"> administrative costs</w:t>
      </w:r>
    </w:p>
    <w:p w:rsidR="00877CDD" w:rsidRDefault="00207BF7" w:rsidP="00877CDD">
      <w:pPr>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In t</w:t>
      </w:r>
      <w:r w:rsidR="00877CDD" w:rsidRPr="00877CDD">
        <w:rPr>
          <w:rFonts w:ascii="Times New Roman" w:eastAsia="Times New Roman" w:hAnsi="Times New Roman"/>
          <w:sz w:val="28"/>
          <w:szCs w:val="28"/>
          <w:lang w:val="en-US" w:eastAsia="ru-RU"/>
        </w:rPr>
        <w:t xml:space="preserve">he forecast for 2015 administrative expenses will increase by 13% due to the inclusion of costs </w:t>
      </w:r>
      <w:r>
        <w:rPr>
          <w:rFonts w:ascii="Times New Roman" w:eastAsia="Times New Roman" w:hAnsi="Times New Roman"/>
          <w:sz w:val="28"/>
          <w:szCs w:val="28"/>
          <w:lang w:val="en-US" w:eastAsia="ru-RU"/>
        </w:rPr>
        <w:t>for implementing</w:t>
      </w:r>
      <w:r w:rsidR="00877CDD" w:rsidRPr="00877CDD">
        <w:rPr>
          <w:rFonts w:ascii="Times New Roman" w:eastAsia="Times New Roman" w:hAnsi="Times New Roman"/>
          <w:sz w:val="28"/>
          <w:szCs w:val="28"/>
          <w:lang w:val="en-US" w:eastAsia="ru-RU"/>
        </w:rPr>
        <w:t xml:space="preserve"> business transformation program.</w:t>
      </w:r>
      <w:r>
        <w:rPr>
          <w:rFonts w:ascii="Times New Roman" w:eastAsia="Times New Roman" w:hAnsi="Times New Roman"/>
          <w:sz w:val="28"/>
          <w:szCs w:val="28"/>
          <w:lang w:val="en-US" w:eastAsia="ru-RU"/>
        </w:rPr>
        <w:t xml:space="preserve"> In t</w:t>
      </w:r>
      <w:r w:rsidR="00877CDD" w:rsidRPr="00877CDD">
        <w:rPr>
          <w:rFonts w:ascii="Times New Roman" w:eastAsia="Times New Roman" w:hAnsi="Times New Roman"/>
          <w:sz w:val="28"/>
          <w:szCs w:val="28"/>
          <w:lang w:val="en-US" w:eastAsia="ru-RU"/>
        </w:rPr>
        <w:t xml:space="preserve">he forecast for 2016 administrative expenses decreased due to the implementation of programs </w:t>
      </w:r>
      <w:r>
        <w:rPr>
          <w:rFonts w:ascii="Times New Roman" w:eastAsia="Times New Roman" w:hAnsi="Times New Roman"/>
          <w:sz w:val="28"/>
          <w:szCs w:val="28"/>
          <w:lang w:val="en-US" w:eastAsia="ru-RU"/>
        </w:rPr>
        <w:t>aimed at r</w:t>
      </w:r>
      <w:r w:rsidR="00877CDD" w:rsidRPr="00877CDD">
        <w:rPr>
          <w:rFonts w:ascii="Times New Roman" w:eastAsia="Times New Roman" w:hAnsi="Times New Roman"/>
          <w:sz w:val="28"/>
          <w:szCs w:val="28"/>
          <w:lang w:val="en-US" w:eastAsia="ru-RU"/>
        </w:rPr>
        <w:t>educ</w:t>
      </w:r>
      <w:r>
        <w:rPr>
          <w:rFonts w:ascii="Times New Roman" w:eastAsia="Times New Roman" w:hAnsi="Times New Roman"/>
          <w:sz w:val="28"/>
          <w:szCs w:val="28"/>
          <w:lang w:val="en-US" w:eastAsia="ru-RU"/>
        </w:rPr>
        <w:t>ing</w:t>
      </w:r>
      <w:r w:rsidR="00877CDD" w:rsidRPr="00877CDD">
        <w:rPr>
          <w:rFonts w:ascii="Times New Roman" w:eastAsia="Times New Roman" w:hAnsi="Times New Roman"/>
          <w:sz w:val="28"/>
          <w:szCs w:val="28"/>
          <w:lang w:val="en-US" w:eastAsia="ru-RU"/>
        </w:rPr>
        <w:t xml:space="preserve"> costs and excluding assets held for sale.</w:t>
      </w:r>
    </w:p>
    <w:p w:rsidR="00D712EB" w:rsidRPr="00D712EB" w:rsidRDefault="00D712EB" w:rsidP="00D712EB">
      <w:pPr>
        <w:ind w:firstLine="708"/>
        <w:jc w:val="both"/>
        <w:rPr>
          <w:rFonts w:ascii="Times New Roman" w:eastAsia="Times New Roman" w:hAnsi="Times New Roman"/>
          <w:b/>
          <w:sz w:val="28"/>
          <w:szCs w:val="28"/>
          <w:lang w:val="en-US" w:eastAsia="ru-RU"/>
        </w:rPr>
      </w:pPr>
      <w:r>
        <w:rPr>
          <w:rFonts w:ascii="Times New Roman" w:eastAsia="Times New Roman" w:hAnsi="Times New Roman"/>
          <w:b/>
          <w:sz w:val="28"/>
          <w:szCs w:val="28"/>
          <w:lang w:val="en-US" w:eastAsia="ru-RU"/>
        </w:rPr>
        <w:t xml:space="preserve">Financial costs </w:t>
      </w:r>
    </w:p>
    <w:tbl>
      <w:tblPr>
        <w:tblW w:w="8620" w:type="dxa"/>
        <w:tblInd w:w="817" w:type="dxa"/>
        <w:tblLook w:val="04A0"/>
      </w:tblPr>
      <w:tblGrid>
        <w:gridCol w:w="3340"/>
        <w:gridCol w:w="940"/>
        <w:gridCol w:w="1000"/>
        <w:gridCol w:w="1120"/>
        <w:gridCol w:w="1000"/>
        <w:gridCol w:w="1220"/>
      </w:tblGrid>
      <w:tr w:rsidR="00D712EB" w:rsidRPr="006D58BF" w:rsidTr="00AC6554">
        <w:trPr>
          <w:trHeight w:val="255"/>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Indicator, mln.tenge</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2012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2013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2014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2015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2016</w:t>
            </w:r>
          </w:p>
        </w:tc>
      </w:tr>
      <w:tr w:rsidR="00D712EB" w:rsidRPr="006D58BF" w:rsidTr="00AC6554">
        <w:trPr>
          <w:trHeight w:val="255"/>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D712EB" w:rsidRPr="006D58BF" w:rsidRDefault="00D712EB" w:rsidP="00AC6554">
            <w:pPr>
              <w:spacing w:after="0" w:line="240" w:lineRule="auto"/>
              <w:rPr>
                <w:rFonts w:ascii="Times New Roman" w:eastAsia="Times New Roman" w:hAnsi="Times New Roman"/>
                <w:b/>
                <w:bCs/>
                <w:color w:val="000000"/>
                <w:sz w:val="20"/>
                <w:szCs w:val="20"/>
                <w:lang w:eastAsia="ru-RU"/>
              </w:rPr>
            </w:pPr>
          </w:p>
        </w:tc>
        <w:tc>
          <w:tcPr>
            <w:tcW w:w="940" w:type="dxa"/>
            <w:tcBorders>
              <w:top w:val="nil"/>
              <w:left w:val="nil"/>
              <w:bottom w:val="single" w:sz="4" w:space="0" w:color="auto"/>
              <w:right w:val="single" w:sz="4" w:space="0" w:color="auto"/>
            </w:tcBorders>
            <w:shd w:val="clear" w:color="auto" w:fill="auto"/>
            <w:vAlign w:val="bottom"/>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120" w:type="dxa"/>
            <w:tcBorders>
              <w:top w:val="nil"/>
              <w:left w:val="nil"/>
              <w:bottom w:val="single" w:sz="4" w:space="0" w:color="auto"/>
              <w:right w:val="single" w:sz="4" w:space="0" w:color="auto"/>
            </w:tcBorders>
            <w:shd w:val="clear" w:color="auto" w:fill="auto"/>
            <w:noWrap/>
            <w:vAlign w:val="bottom"/>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tc>
        <w:tc>
          <w:tcPr>
            <w:tcW w:w="1220" w:type="dxa"/>
            <w:tcBorders>
              <w:top w:val="nil"/>
              <w:left w:val="nil"/>
              <w:bottom w:val="single" w:sz="4" w:space="0" w:color="auto"/>
              <w:right w:val="single" w:sz="4" w:space="0" w:color="auto"/>
            </w:tcBorders>
            <w:shd w:val="clear" w:color="auto" w:fill="auto"/>
            <w:noWrap/>
            <w:vAlign w:val="bottom"/>
            <w:hideMark/>
          </w:tcPr>
          <w:p w:rsidR="00D712EB" w:rsidRPr="00D712EB" w:rsidRDefault="00D712EB"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tc>
      </w:tr>
      <w:tr w:rsidR="00D712EB" w:rsidRPr="006D58BF" w:rsidTr="00AC6554">
        <w:trPr>
          <w:trHeight w:val="510"/>
        </w:trPr>
        <w:tc>
          <w:tcPr>
            <w:tcW w:w="3340" w:type="dxa"/>
            <w:tcBorders>
              <w:top w:val="nil"/>
              <w:left w:val="single" w:sz="4" w:space="0" w:color="auto"/>
              <w:bottom w:val="single" w:sz="4" w:space="0" w:color="auto"/>
              <w:right w:val="single" w:sz="4" w:space="0" w:color="auto"/>
            </w:tcBorders>
            <w:shd w:val="clear" w:color="auto" w:fill="auto"/>
            <w:vAlign w:val="bottom"/>
            <w:hideMark/>
          </w:tcPr>
          <w:p w:rsidR="00D712EB" w:rsidRPr="00D712EB" w:rsidRDefault="00D712EB"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Expenses</w:t>
            </w:r>
            <w:r w:rsidRPr="00D712E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on</w:t>
            </w:r>
            <w:r w:rsidRPr="00D712EB">
              <w:rPr>
                <w:rFonts w:ascii="Times New Roman" w:eastAsia="Times New Roman" w:hAnsi="Times New Roman"/>
                <w:color w:val="000000"/>
                <w:sz w:val="20"/>
                <w:szCs w:val="20"/>
                <w:lang w:val="en-US" w:eastAsia="ru-RU"/>
              </w:rPr>
              <w:t xml:space="preserve"> </w:t>
            </w:r>
            <w:r>
              <w:rPr>
                <w:rFonts w:ascii="Times New Roman" w:eastAsia="Times New Roman" w:hAnsi="Times New Roman"/>
                <w:color w:val="000000"/>
                <w:sz w:val="20"/>
                <w:szCs w:val="20"/>
                <w:lang w:val="en-US" w:eastAsia="ru-RU"/>
              </w:rPr>
              <w:t>interest on loans</w:t>
            </w:r>
          </w:p>
        </w:tc>
        <w:tc>
          <w:tcPr>
            <w:tcW w:w="940" w:type="dxa"/>
            <w:tcBorders>
              <w:top w:val="nil"/>
              <w:left w:val="nil"/>
              <w:bottom w:val="single" w:sz="4" w:space="0" w:color="auto"/>
              <w:right w:val="single" w:sz="4" w:space="0" w:color="auto"/>
            </w:tcBorders>
            <w:shd w:val="clear" w:color="auto" w:fill="auto"/>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1 781</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5 869</w:t>
            </w:r>
          </w:p>
        </w:tc>
        <w:tc>
          <w:tcPr>
            <w:tcW w:w="11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20 648</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16 975</w:t>
            </w:r>
          </w:p>
        </w:tc>
        <w:tc>
          <w:tcPr>
            <w:tcW w:w="12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16 054</w:t>
            </w:r>
          </w:p>
        </w:tc>
      </w:tr>
      <w:tr w:rsidR="00D712EB" w:rsidRPr="006D58BF" w:rsidTr="00AC6554">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D712EB" w:rsidRPr="00D712EB" w:rsidRDefault="00D712EB"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Other financial costs</w:t>
            </w:r>
          </w:p>
        </w:tc>
        <w:tc>
          <w:tcPr>
            <w:tcW w:w="940" w:type="dxa"/>
            <w:tcBorders>
              <w:top w:val="nil"/>
              <w:left w:val="nil"/>
              <w:bottom w:val="single" w:sz="4" w:space="0" w:color="auto"/>
              <w:right w:val="single" w:sz="4" w:space="0" w:color="auto"/>
            </w:tcBorders>
            <w:shd w:val="clear" w:color="auto" w:fill="auto"/>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3 519</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2 453</w:t>
            </w:r>
          </w:p>
        </w:tc>
        <w:tc>
          <w:tcPr>
            <w:tcW w:w="11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2 919</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2 555</w:t>
            </w:r>
          </w:p>
        </w:tc>
        <w:tc>
          <w:tcPr>
            <w:tcW w:w="12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color w:val="000000"/>
                <w:sz w:val="20"/>
                <w:szCs w:val="20"/>
                <w:lang w:eastAsia="ru-RU"/>
              </w:rPr>
            </w:pPr>
            <w:r w:rsidRPr="006D58BF">
              <w:rPr>
                <w:rFonts w:ascii="Times New Roman" w:eastAsia="Times New Roman" w:hAnsi="Times New Roman"/>
                <w:color w:val="000000"/>
                <w:sz w:val="20"/>
                <w:szCs w:val="20"/>
                <w:lang w:eastAsia="ru-RU"/>
              </w:rPr>
              <w:t>2 261</w:t>
            </w:r>
          </w:p>
        </w:tc>
      </w:tr>
      <w:tr w:rsidR="00D712EB" w:rsidRPr="006D58BF" w:rsidTr="00AC6554">
        <w:trPr>
          <w:trHeight w:val="25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en-US" w:eastAsia="ru-RU"/>
              </w:rPr>
              <w:t>TOTAL</w:t>
            </w:r>
            <w:r w:rsidRPr="006D58BF">
              <w:rPr>
                <w:rFonts w:ascii="Times New Roman" w:eastAsia="Times New Roman" w:hAnsi="Times New Roman"/>
                <w:b/>
                <w:bCs/>
                <w:color w:val="000000"/>
                <w:sz w:val="20"/>
                <w:szCs w:val="20"/>
                <w:lang w:eastAsia="ru-RU"/>
              </w:rPr>
              <w:t>:</w:t>
            </w:r>
          </w:p>
        </w:tc>
        <w:tc>
          <w:tcPr>
            <w:tcW w:w="940" w:type="dxa"/>
            <w:tcBorders>
              <w:top w:val="nil"/>
              <w:left w:val="nil"/>
              <w:bottom w:val="single" w:sz="4" w:space="0" w:color="auto"/>
              <w:right w:val="single" w:sz="4" w:space="0" w:color="auto"/>
            </w:tcBorders>
            <w:shd w:val="clear" w:color="auto" w:fill="auto"/>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5 300</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8 322</w:t>
            </w:r>
          </w:p>
        </w:tc>
        <w:tc>
          <w:tcPr>
            <w:tcW w:w="11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23 567</w:t>
            </w:r>
          </w:p>
        </w:tc>
        <w:tc>
          <w:tcPr>
            <w:tcW w:w="100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19 530</w:t>
            </w:r>
          </w:p>
        </w:tc>
        <w:tc>
          <w:tcPr>
            <w:tcW w:w="1220" w:type="dxa"/>
            <w:tcBorders>
              <w:top w:val="nil"/>
              <w:left w:val="nil"/>
              <w:bottom w:val="single" w:sz="4" w:space="0" w:color="auto"/>
              <w:right w:val="single" w:sz="4" w:space="0" w:color="auto"/>
            </w:tcBorders>
            <w:shd w:val="clear" w:color="auto" w:fill="auto"/>
            <w:noWrap/>
            <w:vAlign w:val="bottom"/>
            <w:hideMark/>
          </w:tcPr>
          <w:p w:rsidR="00D712EB" w:rsidRPr="006D58BF" w:rsidRDefault="00D712EB" w:rsidP="00AC6554">
            <w:pPr>
              <w:spacing w:after="0" w:line="240" w:lineRule="auto"/>
              <w:jc w:val="center"/>
              <w:rPr>
                <w:rFonts w:ascii="Times New Roman" w:eastAsia="Times New Roman" w:hAnsi="Times New Roman"/>
                <w:b/>
                <w:bCs/>
                <w:color w:val="000000"/>
                <w:sz w:val="20"/>
                <w:szCs w:val="20"/>
                <w:lang w:eastAsia="ru-RU"/>
              </w:rPr>
            </w:pPr>
            <w:r w:rsidRPr="006D58BF">
              <w:rPr>
                <w:rFonts w:ascii="Times New Roman" w:eastAsia="Times New Roman" w:hAnsi="Times New Roman"/>
                <w:b/>
                <w:bCs/>
                <w:color w:val="000000"/>
                <w:sz w:val="20"/>
                <w:szCs w:val="20"/>
                <w:lang w:eastAsia="ru-RU"/>
              </w:rPr>
              <w:t>18 315</w:t>
            </w:r>
          </w:p>
        </w:tc>
      </w:tr>
    </w:tbl>
    <w:p w:rsidR="00877CDD" w:rsidRDefault="00877CDD" w:rsidP="00997292">
      <w:pPr>
        <w:jc w:val="both"/>
        <w:rPr>
          <w:rFonts w:ascii="Times New Roman" w:eastAsia="Times New Roman" w:hAnsi="Times New Roman"/>
          <w:sz w:val="28"/>
          <w:szCs w:val="28"/>
          <w:lang w:val="en-US" w:eastAsia="ru-RU"/>
        </w:rPr>
      </w:pPr>
    </w:p>
    <w:p w:rsidR="001972D6" w:rsidRDefault="001972D6" w:rsidP="00997292">
      <w:pPr>
        <w:jc w:val="both"/>
        <w:rPr>
          <w:rFonts w:ascii="Times New Roman" w:eastAsia="Times New Roman" w:hAnsi="Times New Roman"/>
          <w:sz w:val="28"/>
          <w:szCs w:val="28"/>
          <w:lang w:val="en-US" w:eastAsia="ru-RU"/>
        </w:rPr>
      </w:pPr>
      <w:r w:rsidRPr="001972D6">
        <w:rPr>
          <w:rFonts w:ascii="Times New Roman" w:eastAsia="Times New Roman" w:hAnsi="Times New Roman"/>
          <w:sz w:val="28"/>
          <w:szCs w:val="28"/>
          <w:lang w:val="en-US" w:eastAsia="ru-RU"/>
        </w:rPr>
        <w:t xml:space="preserve">Financial expenses </w:t>
      </w:r>
      <w:r>
        <w:rPr>
          <w:rFonts w:ascii="Times New Roman" w:eastAsia="Times New Roman" w:hAnsi="Times New Roman"/>
          <w:sz w:val="28"/>
          <w:szCs w:val="28"/>
          <w:lang w:val="en-US" w:eastAsia="ru-RU"/>
        </w:rPr>
        <w:t xml:space="preserve">according to results </w:t>
      </w:r>
      <w:r w:rsidRPr="001972D6">
        <w:rPr>
          <w:rFonts w:ascii="Times New Roman" w:eastAsia="Times New Roman" w:hAnsi="Times New Roman"/>
          <w:sz w:val="28"/>
          <w:szCs w:val="28"/>
          <w:lang w:val="en-US" w:eastAsia="ru-RU"/>
        </w:rPr>
        <w:t>of 2014 amounted to 23</w:t>
      </w:r>
      <w:r>
        <w:rPr>
          <w:rFonts w:ascii="Times New Roman" w:eastAsia="Times New Roman" w:hAnsi="Times New Roman"/>
          <w:sz w:val="28"/>
          <w:szCs w:val="28"/>
          <w:lang w:val="en-US" w:eastAsia="ru-RU"/>
        </w:rPr>
        <w:t xml:space="preserve"> </w:t>
      </w:r>
      <w:r w:rsidRPr="001972D6">
        <w:rPr>
          <w:rFonts w:ascii="Times New Roman" w:eastAsia="Times New Roman" w:hAnsi="Times New Roman"/>
          <w:sz w:val="28"/>
          <w:szCs w:val="28"/>
          <w:lang w:val="en-US" w:eastAsia="ru-RU"/>
        </w:rPr>
        <w:t>567 million tenge, which is two times</w:t>
      </w:r>
      <w:r>
        <w:rPr>
          <w:rFonts w:ascii="Times New Roman" w:eastAsia="Times New Roman" w:hAnsi="Times New Roman"/>
          <w:sz w:val="28"/>
          <w:szCs w:val="28"/>
          <w:lang w:val="en-US" w:eastAsia="ru-RU"/>
        </w:rPr>
        <w:t xml:space="preserve"> higher than</w:t>
      </w:r>
      <w:r w:rsidRPr="001972D6">
        <w:rPr>
          <w:rFonts w:ascii="Times New Roman" w:eastAsia="Times New Roman" w:hAnsi="Times New Roman"/>
          <w:sz w:val="28"/>
          <w:szCs w:val="28"/>
          <w:lang w:val="en-US" w:eastAsia="ru-RU"/>
        </w:rPr>
        <w:t xml:space="preserve"> the actual value for 2013. The increase was due to the servicing of the loan (100 bn.</w:t>
      </w:r>
      <w:r>
        <w:rPr>
          <w:rFonts w:ascii="Times New Roman" w:eastAsia="Times New Roman" w:hAnsi="Times New Roman"/>
          <w:sz w:val="28"/>
          <w:szCs w:val="28"/>
          <w:lang w:val="en-US" w:eastAsia="ru-RU"/>
        </w:rPr>
        <w:t>tenge</w:t>
      </w:r>
      <w:r w:rsidRPr="001972D6">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o</w:t>
      </w:r>
      <w:r w:rsidRPr="001972D6">
        <w:rPr>
          <w:rFonts w:ascii="Times New Roman" w:eastAsia="Times New Roman" w:hAnsi="Times New Roman"/>
          <w:sz w:val="28"/>
          <w:szCs w:val="28"/>
          <w:lang w:val="en-US" w:eastAsia="ru-RU"/>
        </w:rPr>
        <w:t>n the purchase of a second share of Ekibastuz GRES-1.</w:t>
      </w:r>
    </w:p>
    <w:p w:rsidR="001B3739" w:rsidRPr="002C6D73" w:rsidRDefault="001B3739" w:rsidP="001B3739">
      <w:pPr>
        <w:jc w:val="both"/>
        <w:rPr>
          <w:rFonts w:ascii="Times New Roman" w:eastAsia="Times New Roman" w:hAnsi="Times New Roman"/>
          <w:b/>
          <w:sz w:val="28"/>
          <w:szCs w:val="28"/>
          <w:lang w:val="en-US" w:eastAsia="ru-RU"/>
        </w:rPr>
      </w:pPr>
      <w:r w:rsidRPr="002C6D73">
        <w:rPr>
          <w:rFonts w:ascii="Times New Roman" w:eastAsia="Times New Roman" w:hAnsi="Times New Roman"/>
          <w:b/>
          <w:sz w:val="28"/>
          <w:szCs w:val="28"/>
          <w:lang w:val="en-US" w:eastAsia="ru-RU"/>
        </w:rPr>
        <w:t xml:space="preserve">Forecast for </w:t>
      </w:r>
      <w:r w:rsidR="002C6D73">
        <w:rPr>
          <w:rFonts w:ascii="Times New Roman" w:eastAsia="Times New Roman" w:hAnsi="Times New Roman"/>
          <w:b/>
          <w:sz w:val="28"/>
          <w:szCs w:val="28"/>
          <w:lang w:val="en-US" w:eastAsia="ru-RU"/>
        </w:rPr>
        <w:t>future</w:t>
      </w:r>
      <w:r w:rsidRPr="002C6D73">
        <w:rPr>
          <w:rFonts w:ascii="Times New Roman" w:eastAsia="Times New Roman" w:hAnsi="Times New Roman"/>
          <w:b/>
          <w:sz w:val="28"/>
          <w:szCs w:val="28"/>
          <w:lang w:val="en-US" w:eastAsia="ru-RU"/>
        </w:rPr>
        <w:t xml:space="preserve"> period o</w:t>
      </w:r>
      <w:r w:rsidR="002C6D73">
        <w:rPr>
          <w:rFonts w:ascii="Times New Roman" w:eastAsia="Times New Roman" w:hAnsi="Times New Roman"/>
          <w:b/>
          <w:sz w:val="28"/>
          <w:szCs w:val="28"/>
          <w:lang w:val="en-US" w:eastAsia="ru-RU"/>
        </w:rPr>
        <w:t>n</w:t>
      </w:r>
      <w:r w:rsidRPr="002C6D73">
        <w:rPr>
          <w:rFonts w:ascii="Times New Roman" w:eastAsia="Times New Roman" w:hAnsi="Times New Roman"/>
          <w:b/>
          <w:sz w:val="28"/>
          <w:szCs w:val="28"/>
          <w:lang w:val="en-US" w:eastAsia="ru-RU"/>
        </w:rPr>
        <w:t xml:space="preserve"> financial expenses</w:t>
      </w:r>
    </w:p>
    <w:p w:rsidR="001B3739" w:rsidRPr="002C6D73" w:rsidRDefault="002C6D73" w:rsidP="001B3739">
      <w:pPr>
        <w:jc w:val="both"/>
        <w:rPr>
          <w:rFonts w:ascii="Times New Roman" w:eastAsia="Times New Roman" w:hAnsi="Times New Roman"/>
          <w:sz w:val="28"/>
          <w:szCs w:val="28"/>
          <w:lang w:val="en-US" w:eastAsia="ru-RU"/>
        </w:rPr>
      </w:pPr>
      <w:r w:rsidRPr="002C6D73">
        <w:rPr>
          <w:rFonts w:ascii="Times New Roman" w:eastAsia="Times New Roman" w:hAnsi="Times New Roman"/>
          <w:sz w:val="28"/>
          <w:szCs w:val="28"/>
          <w:lang w:val="en-US" w:eastAsia="ru-RU"/>
        </w:rPr>
        <w:t>In the forecast until 2016 costs for</w:t>
      </w:r>
      <w:r w:rsidR="001B3739" w:rsidRPr="002C6D73">
        <w:rPr>
          <w:rFonts w:ascii="Times New Roman" w:eastAsia="Times New Roman" w:hAnsi="Times New Roman"/>
          <w:sz w:val="28"/>
          <w:szCs w:val="28"/>
          <w:lang w:val="en-US" w:eastAsia="ru-RU"/>
        </w:rPr>
        <w:t xml:space="preserve"> financing </w:t>
      </w:r>
      <w:r w:rsidRPr="002C6D73">
        <w:rPr>
          <w:rFonts w:ascii="Times New Roman" w:eastAsia="Times New Roman" w:hAnsi="Times New Roman"/>
          <w:sz w:val="28"/>
          <w:szCs w:val="28"/>
          <w:lang w:val="en-US" w:eastAsia="ru-RU"/>
        </w:rPr>
        <w:t>were</w:t>
      </w:r>
      <w:r w:rsidR="001B3739" w:rsidRPr="002C6D73">
        <w:rPr>
          <w:rFonts w:ascii="Times New Roman" w:eastAsia="Times New Roman" w:hAnsi="Times New Roman"/>
          <w:sz w:val="28"/>
          <w:szCs w:val="28"/>
          <w:lang w:val="en-US" w:eastAsia="ru-RU"/>
        </w:rPr>
        <w:t xml:space="preserve"> taken into account in accordance with the charts of funding for existing loans.</w:t>
      </w:r>
    </w:p>
    <w:p w:rsidR="001B3739" w:rsidRPr="001B3739" w:rsidRDefault="001B3739" w:rsidP="001B3739">
      <w:pPr>
        <w:jc w:val="both"/>
        <w:rPr>
          <w:rFonts w:ascii="Times New Roman" w:eastAsia="Times New Roman" w:hAnsi="Times New Roman"/>
          <w:sz w:val="28"/>
          <w:szCs w:val="28"/>
          <w:lang w:val="en-US" w:eastAsia="ru-RU"/>
        </w:rPr>
      </w:pPr>
      <w:r w:rsidRPr="001B3739">
        <w:rPr>
          <w:rFonts w:ascii="Times New Roman" w:eastAsia="Times New Roman" w:hAnsi="Times New Roman"/>
          <w:sz w:val="28"/>
          <w:szCs w:val="28"/>
          <w:lang w:val="en-US" w:eastAsia="ru-RU"/>
        </w:rPr>
        <w:t>As a result of financial and economic activity during the reporting period the company earned a net profit of  15</w:t>
      </w:r>
      <w:r w:rsidR="002C6D73">
        <w:rPr>
          <w:rFonts w:ascii="Times New Roman" w:eastAsia="Times New Roman" w:hAnsi="Times New Roman"/>
          <w:sz w:val="28"/>
          <w:szCs w:val="28"/>
          <w:lang w:val="en-US" w:eastAsia="ru-RU"/>
        </w:rPr>
        <w:t>,</w:t>
      </w:r>
      <w:r w:rsidRPr="001B3739">
        <w:rPr>
          <w:rFonts w:ascii="Times New Roman" w:eastAsia="Times New Roman" w:hAnsi="Times New Roman"/>
          <w:sz w:val="28"/>
          <w:szCs w:val="28"/>
          <w:lang w:val="en-US" w:eastAsia="ru-RU"/>
        </w:rPr>
        <w:t>9 billion</w:t>
      </w:r>
      <w:r w:rsidR="002C6D73">
        <w:rPr>
          <w:rFonts w:ascii="Times New Roman" w:eastAsia="Times New Roman" w:hAnsi="Times New Roman"/>
          <w:sz w:val="28"/>
          <w:szCs w:val="28"/>
          <w:lang w:val="en-US" w:eastAsia="ru-RU"/>
        </w:rPr>
        <w:t xml:space="preserve"> tenge</w:t>
      </w:r>
      <w:r w:rsidRPr="001B3739">
        <w:rPr>
          <w:rFonts w:ascii="Times New Roman" w:eastAsia="Times New Roman" w:hAnsi="Times New Roman"/>
          <w:sz w:val="28"/>
          <w:szCs w:val="28"/>
          <w:lang w:val="en-US" w:eastAsia="ru-RU"/>
        </w:rPr>
        <w:t xml:space="preserve">. </w:t>
      </w:r>
      <w:r w:rsidR="002C6D73">
        <w:rPr>
          <w:rFonts w:ascii="Times New Roman" w:eastAsia="Times New Roman" w:hAnsi="Times New Roman"/>
          <w:sz w:val="28"/>
          <w:szCs w:val="28"/>
          <w:lang w:val="en-US" w:eastAsia="ru-RU"/>
        </w:rPr>
        <w:t>at</w:t>
      </w:r>
      <w:r w:rsidRPr="001B3739">
        <w:rPr>
          <w:rFonts w:ascii="Times New Roman" w:eastAsia="Times New Roman" w:hAnsi="Times New Roman"/>
          <w:sz w:val="28"/>
          <w:szCs w:val="28"/>
          <w:lang w:val="en-US" w:eastAsia="ru-RU"/>
        </w:rPr>
        <w:t xml:space="preserve"> the fact</w:t>
      </w:r>
      <w:r w:rsidR="002C6D73">
        <w:rPr>
          <w:rFonts w:ascii="Times New Roman" w:eastAsia="Times New Roman" w:hAnsi="Times New Roman"/>
          <w:sz w:val="28"/>
          <w:szCs w:val="28"/>
          <w:lang w:val="en-US" w:eastAsia="ru-RU"/>
        </w:rPr>
        <w:t xml:space="preserve"> of </w:t>
      </w:r>
      <w:r w:rsidRPr="001B3739">
        <w:rPr>
          <w:rFonts w:ascii="Times New Roman" w:eastAsia="Times New Roman" w:hAnsi="Times New Roman"/>
          <w:sz w:val="28"/>
          <w:szCs w:val="28"/>
          <w:lang w:val="en-US" w:eastAsia="ru-RU"/>
        </w:rPr>
        <w:t>2013 40</w:t>
      </w:r>
      <w:r w:rsidR="002C6D73">
        <w:rPr>
          <w:rFonts w:ascii="Times New Roman" w:eastAsia="Times New Roman" w:hAnsi="Times New Roman"/>
          <w:sz w:val="28"/>
          <w:szCs w:val="28"/>
          <w:lang w:val="en-US" w:eastAsia="ru-RU"/>
        </w:rPr>
        <w:t>,9 bn.tenge</w:t>
      </w:r>
      <w:r w:rsidRPr="001B3739">
        <w:rPr>
          <w:rFonts w:ascii="Times New Roman" w:eastAsia="Times New Roman" w:hAnsi="Times New Roman"/>
          <w:sz w:val="28"/>
          <w:szCs w:val="28"/>
          <w:lang w:val="en-US" w:eastAsia="ru-RU"/>
        </w:rPr>
        <w:t xml:space="preserve">. </w:t>
      </w:r>
      <w:r w:rsidR="002C6D73">
        <w:rPr>
          <w:rFonts w:ascii="Times New Roman" w:eastAsia="Times New Roman" w:hAnsi="Times New Roman"/>
          <w:sz w:val="28"/>
          <w:szCs w:val="28"/>
          <w:lang w:val="en-US" w:eastAsia="ru-RU"/>
        </w:rPr>
        <w:t xml:space="preserve"> In the draft for </w:t>
      </w:r>
      <w:r w:rsidRPr="001B3739">
        <w:rPr>
          <w:rFonts w:ascii="Times New Roman" w:eastAsia="Times New Roman" w:hAnsi="Times New Roman"/>
          <w:sz w:val="28"/>
          <w:szCs w:val="28"/>
          <w:lang w:val="en-US" w:eastAsia="ru-RU"/>
        </w:rPr>
        <w:t>2015-2016</w:t>
      </w:r>
      <w:r w:rsidR="002C6D73">
        <w:rPr>
          <w:rFonts w:ascii="Times New Roman" w:eastAsia="Times New Roman" w:hAnsi="Times New Roman"/>
          <w:sz w:val="28"/>
          <w:szCs w:val="28"/>
          <w:lang w:val="en-US" w:eastAsia="ru-RU"/>
        </w:rPr>
        <w:t xml:space="preserve"> it is</w:t>
      </w:r>
      <w:r w:rsidRPr="001B3739">
        <w:rPr>
          <w:rFonts w:ascii="Times New Roman" w:eastAsia="Times New Roman" w:hAnsi="Times New Roman"/>
          <w:sz w:val="28"/>
          <w:szCs w:val="28"/>
          <w:lang w:val="en-US" w:eastAsia="ru-RU"/>
        </w:rPr>
        <w:t xml:space="preserve"> planned</w:t>
      </w:r>
      <w:r w:rsidR="002C6D73">
        <w:rPr>
          <w:rFonts w:ascii="Times New Roman" w:eastAsia="Times New Roman" w:hAnsi="Times New Roman"/>
          <w:sz w:val="28"/>
          <w:szCs w:val="28"/>
          <w:lang w:val="en-US" w:eastAsia="ru-RU"/>
        </w:rPr>
        <w:t xml:space="preserve"> to</w:t>
      </w:r>
      <w:r w:rsidRPr="001B3739">
        <w:rPr>
          <w:rFonts w:ascii="Times New Roman" w:eastAsia="Times New Roman" w:hAnsi="Times New Roman"/>
          <w:sz w:val="28"/>
          <w:szCs w:val="28"/>
          <w:lang w:val="en-US" w:eastAsia="ru-RU"/>
        </w:rPr>
        <w:t xml:space="preserve"> increase </w:t>
      </w:r>
      <w:r w:rsidR="002C6D73">
        <w:rPr>
          <w:rFonts w:ascii="Times New Roman" w:eastAsia="Times New Roman" w:hAnsi="Times New Roman"/>
          <w:sz w:val="28"/>
          <w:szCs w:val="28"/>
          <w:lang w:val="en-US" w:eastAsia="ru-RU"/>
        </w:rPr>
        <w:t xml:space="preserve">up </w:t>
      </w:r>
      <w:r w:rsidRPr="001B3739">
        <w:rPr>
          <w:rFonts w:ascii="Times New Roman" w:eastAsia="Times New Roman" w:hAnsi="Times New Roman"/>
          <w:sz w:val="28"/>
          <w:szCs w:val="28"/>
          <w:lang w:val="en-US" w:eastAsia="ru-RU"/>
        </w:rPr>
        <w:t>to 39 bln. tenge.</w:t>
      </w:r>
    </w:p>
    <w:p w:rsidR="001B3739" w:rsidRPr="001B3739" w:rsidRDefault="001B3739" w:rsidP="001B3739">
      <w:pPr>
        <w:jc w:val="both"/>
        <w:rPr>
          <w:rFonts w:ascii="Times New Roman" w:eastAsia="Times New Roman" w:hAnsi="Times New Roman"/>
          <w:sz w:val="28"/>
          <w:szCs w:val="28"/>
          <w:lang w:val="en-US" w:eastAsia="ru-RU"/>
        </w:rPr>
      </w:pPr>
    </w:p>
    <w:p w:rsidR="001B3739" w:rsidRPr="001B3739" w:rsidRDefault="001B3739" w:rsidP="001B3739">
      <w:pPr>
        <w:jc w:val="both"/>
        <w:rPr>
          <w:rFonts w:ascii="Times New Roman" w:eastAsia="Times New Roman" w:hAnsi="Times New Roman"/>
          <w:sz w:val="28"/>
          <w:szCs w:val="28"/>
          <w:lang w:val="en-US" w:eastAsia="ru-RU"/>
        </w:rPr>
      </w:pPr>
      <w:r w:rsidRPr="001B3739">
        <w:rPr>
          <w:rFonts w:ascii="Times New Roman" w:eastAsia="Times New Roman" w:hAnsi="Times New Roman"/>
          <w:sz w:val="28"/>
          <w:szCs w:val="28"/>
          <w:lang w:val="en-US" w:eastAsia="ru-RU"/>
        </w:rPr>
        <w:lastRenderedPageBreak/>
        <w:t xml:space="preserve">In </w:t>
      </w:r>
      <w:r w:rsidR="002C6D73">
        <w:rPr>
          <w:rFonts w:ascii="Times New Roman" w:eastAsia="Times New Roman" w:hAnsi="Times New Roman"/>
          <w:sz w:val="28"/>
          <w:szCs w:val="28"/>
          <w:lang w:val="en-US" w:eastAsia="ru-RU"/>
        </w:rPr>
        <w:t xml:space="preserve">respect of </w:t>
      </w:r>
      <w:r w:rsidRPr="001B3739">
        <w:rPr>
          <w:rFonts w:ascii="Times New Roman" w:eastAsia="Times New Roman" w:hAnsi="Times New Roman"/>
          <w:sz w:val="28"/>
          <w:szCs w:val="28"/>
          <w:lang w:val="en-US" w:eastAsia="ru-RU"/>
        </w:rPr>
        <w:t xml:space="preserve">other major financial and economic indicators </w:t>
      </w:r>
      <w:r w:rsidR="008472D0">
        <w:rPr>
          <w:rFonts w:ascii="Times New Roman" w:eastAsia="Times New Roman" w:hAnsi="Times New Roman"/>
          <w:sz w:val="28"/>
          <w:szCs w:val="28"/>
          <w:lang w:val="en-US" w:eastAsia="ru-RU"/>
        </w:rPr>
        <w:t xml:space="preserve">there is a </w:t>
      </w:r>
      <w:r w:rsidRPr="001B3739">
        <w:rPr>
          <w:rFonts w:ascii="Times New Roman" w:eastAsia="Times New Roman" w:hAnsi="Times New Roman"/>
          <w:sz w:val="28"/>
          <w:szCs w:val="28"/>
          <w:lang w:val="en-US" w:eastAsia="ru-RU"/>
        </w:rPr>
        <w:t xml:space="preserve">positive </w:t>
      </w:r>
      <w:r w:rsidR="008472D0">
        <w:rPr>
          <w:rFonts w:ascii="Times New Roman" w:eastAsia="Times New Roman" w:hAnsi="Times New Roman"/>
          <w:sz w:val="28"/>
          <w:szCs w:val="28"/>
          <w:lang w:val="en-US" w:eastAsia="ru-RU"/>
        </w:rPr>
        <w:t>trend</w:t>
      </w:r>
      <w:r w:rsidRPr="001B3739">
        <w:rPr>
          <w:rFonts w:ascii="Times New Roman" w:eastAsia="Times New Roman" w:hAnsi="Times New Roman"/>
          <w:sz w:val="28"/>
          <w:szCs w:val="28"/>
          <w:lang w:val="en-US" w:eastAsia="ru-RU"/>
        </w:rPr>
        <w:t>. Thus, the indicator EBITDA margin was 39</w:t>
      </w:r>
      <w:r w:rsidR="008472D0">
        <w:rPr>
          <w:rFonts w:ascii="Times New Roman" w:eastAsia="Times New Roman" w:hAnsi="Times New Roman"/>
          <w:sz w:val="28"/>
          <w:szCs w:val="28"/>
          <w:lang w:val="en-US" w:eastAsia="ru-RU"/>
        </w:rPr>
        <w:t>,</w:t>
      </w:r>
      <w:r w:rsidRPr="001B3739">
        <w:rPr>
          <w:rFonts w:ascii="Times New Roman" w:eastAsia="Times New Roman" w:hAnsi="Times New Roman"/>
          <w:sz w:val="28"/>
          <w:szCs w:val="28"/>
          <w:lang w:val="en-US" w:eastAsia="ru-RU"/>
        </w:rPr>
        <w:t xml:space="preserve">7%, while the fact of 2013 </w:t>
      </w:r>
      <w:r w:rsidR="008472D0">
        <w:rPr>
          <w:rFonts w:ascii="Times New Roman" w:eastAsia="Times New Roman" w:hAnsi="Times New Roman"/>
          <w:sz w:val="28"/>
          <w:szCs w:val="28"/>
          <w:lang w:val="en-US" w:eastAsia="ru-RU"/>
        </w:rPr>
        <w:t xml:space="preserve">was </w:t>
      </w:r>
      <w:r w:rsidRPr="001B3739">
        <w:rPr>
          <w:rFonts w:ascii="Times New Roman" w:eastAsia="Times New Roman" w:hAnsi="Times New Roman"/>
          <w:sz w:val="28"/>
          <w:szCs w:val="28"/>
          <w:lang w:val="en-US" w:eastAsia="ru-RU"/>
        </w:rPr>
        <w:t>23</w:t>
      </w:r>
      <w:r w:rsidR="008472D0">
        <w:rPr>
          <w:rFonts w:ascii="Times New Roman" w:eastAsia="Times New Roman" w:hAnsi="Times New Roman"/>
          <w:sz w:val="28"/>
          <w:szCs w:val="28"/>
          <w:lang w:val="en-US" w:eastAsia="ru-RU"/>
        </w:rPr>
        <w:t>,</w:t>
      </w:r>
      <w:r w:rsidR="00112533">
        <w:rPr>
          <w:rFonts w:ascii="Times New Roman" w:eastAsia="Times New Roman" w:hAnsi="Times New Roman"/>
          <w:sz w:val="28"/>
          <w:szCs w:val="28"/>
          <w:lang w:val="en-US" w:eastAsia="ru-RU"/>
        </w:rPr>
        <w:t>8%. The improvement of the indicator is due to growth</w:t>
      </w:r>
      <w:r w:rsidRPr="001B3739">
        <w:rPr>
          <w:rFonts w:ascii="Times New Roman" w:eastAsia="Times New Roman" w:hAnsi="Times New Roman"/>
          <w:sz w:val="28"/>
          <w:szCs w:val="28"/>
          <w:lang w:val="en-US" w:eastAsia="ru-RU"/>
        </w:rPr>
        <w:t xml:space="preserve"> of revenues from </w:t>
      </w:r>
      <w:r w:rsidR="00112533">
        <w:rPr>
          <w:rFonts w:ascii="Times New Roman" w:eastAsia="Times New Roman" w:hAnsi="Times New Roman"/>
          <w:sz w:val="28"/>
          <w:szCs w:val="28"/>
          <w:lang w:val="en-US" w:eastAsia="ru-RU"/>
        </w:rPr>
        <w:t>main activity</w:t>
      </w:r>
      <w:r w:rsidRPr="001B3739">
        <w:rPr>
          <w:rFonts w:ascii="Times New Roman" w:eastAsia="Times New Roman" w:hAnsi="Times New Roman"/>
          <w:sz w:val="28"/>
          <w:szCs w:val="28"/>
          <w:lang w:val="en-US" w:eastAsia="ru-RU"/>
        </w:rPr>
        <w:t xml:space="preserve"> and, accordingly, the growth of </w:t>
      </w:r>
      <w:r w:rsidR="00112533">
        <w:rPr>
          <w:rFonts w:ascii="Times New Roman" w:eastAsia="Times New Roman" w:hAnsi="Times New Roman"/>
          <w:sz w:val="28"/>
          <w:szCs w:val="28"/>
          <w:lang w:val="en-US" w:eastAsia="ru-RU"/>
        </w:rPr>
        <w:t>E</w:t>
      </w:r>
      <w:r w:rsidRPr="001B3739">
        <w:rPr>
          <w:rFonts w:ascii="Times New Roman" w:eastAsia="Times New Roman" w:hAnsi="Times New Roman"/>
          <w:sz w:val="28"/>
          <w:szCs w:val="28"/>
          <w:lang w:val="en-US" w:eastAsia="ru-RU"/>
        </w:rPr>
        <w:t>BITDA</w:t>
      </w:r>
      <w:r w:rsidR="00112533">
        <w:rPr>
          <w:rFonts w:ascii="Times New Roman" w:eastAsia="Times New Roman" w:hAnsi="Times New Roman"/>
          <w:sz w:val="28"/>
          <w:szCs w:val="28"/>
          <w:lang w:val="en-US" w:eastAsia="ru-RU"/>
        </w:rPr>
        <w:t xml:space="preserve"> indicator</w:t>
      </w:r>
      <w:r w:rsidRPr="001B3739">
        <w:rPr>
          <w:rFonts w:ascii="Times New Roman" w:eastAsia="Times New Roman" w:hAnsi="Times New Roman"/>
          <w:sz w:val="28"/>
          <w:szCs w:val="28"/>
          <w:lang w:val="en-US" w:eastAsia="ru-RU"/>
        </w:rPr>
        <w:t xml:space="preserve">. </w:t>
      </w:r>
      <w:r w:rsidR="00112533">
        <w:rPr>
          <w:rFonts w:ascii="Times New Roman" w:eastAsia="Times New Roman" w:hAnsi="Times New Roman"/>
          <w:sz w:val="28"/>
          <w:szCs w:val="28"/>
          <w:lang w:val="en-US" w:eastAsia="ru-RU"/>
        </w:rPr>
        <w:t xml:space="preserve"> In t</w:t>
      </w:r>
      <w:r w:rsidRPr="001B3739">
        <w:rPr>
          <w:rFonts w:ascii="Times New Roman" w:eastAsia="Times New Roman" w:hAnsi="Times New Roman"/>
          <w:sz w:val="28"/>
          <w:szCs w:val="28"/>
          <w:lang w:val="en-US" w:eastAsia="ru-RU"/>
        </w:rPr>
        <w:t>he forecast for 2016</w:t>
      </w:r>
      <w:r w:rsidR="00112533">
        <w:rPr>
          <w:rFonts w:ascii="Times New Roman" w:eastAsia="Times New Roman" w:hAnsi="Times New Roman"/>
          <w:sz w:val="28"/>
          <w:szCs w:val="28"/>
          <w:lang w:val="en-US" w:eastAsia="ru-RU"/>
        </w:rPr>
        <w:t xml:space="preserve"> the figure</w:t>
      </w:r>
      <w:r w:rsidRPr="001B3739">
        <w:rPr>
          <w:rFonts w:ascii="Times New Roman" w:eastAsia="Times New Roman" w:hAnsi="Times New Roman"/>
          <w:sz w:val="28"/>
          <w:szCs w:val="28"/>
          <w:lang w:val="en-US" w:eastAsia="ru-RU"/>
        </w:rPr>
        <w:t xml:space="preserve"> is planned </w:t>
      </w:r>
      <w:r w:rsidR="00112533">
        <w:rPr>
          <w:rFonts w:ascii="Times New Roman" w:eastAsia="Times New Roman" w:hAnsi="Times New Roman"/>
          <w:sz w:val="28"/>
          <w:szCs w:val="28"/>
          <w:lang w:val="en-US" w:eastAsia="ru-RU"/>
        </w:rPr>
        <w:t>at a rate</w:t>
      </w:r>
      <w:r w:rsidRPr="001B3739">
        <w:rPr>
          <w:rFonts w:ascii="Times New Roman" w:eastAsia="Times New Roman" w:hAnsi="Times New Roman"/>
          <w:sz w:val="28"/>
          <w:szCs w:val="28"/>
          <w:lang w:val="en-US" w:eastAsia="ru-RU"/>
        </w:rPr>
        <w:t xml:space="preserve"> of 61%, an improvement</w:t>
      </w:r>
      <w:r w:rsidR="00B508D4">
        <w:rPr>
          <w:rFonts w:ascii="Times New Roman" w:eastAsia="Times New Roman" w:hAnsi="Times New Roman"/>
          <w:sz w:val="28"/>
          <w:szCs w:val="28"/>
          <w:lang w:val="en-US" w:eastAsia="ru-RU"/>
        </w:rPr>
        <w:t xml:space="preserve"> is</w:t>
      </w:r>
      <w:r w:rsidRPr="001B3739">
        <w:rPr>
          <w:rFonts w:ascii="Times New Roman" w:eastAsia="Times New Roman" w:hAnsi="Times New Roman"/>
          <w:sz w:val="28"/>
          <w:szCs w:val="28"/>
          <w:lang w:val="en-US" w:eastAsia="ru-RU"/>
        </w:rPr>
        <w:t xml:space="preserve"> due to the implementation of the program o</w:t>
      </w:r>
      <w:r w:rsidR="00112533">
        <w:rPr>
          <w:rFonts w:ascii="Times New Roman" w:eastAsia="Times New Roman" w:hAnsi="Times New Roman"/>
          <w:sz w:val="28"/>
          <w:szCs w:val="28"/>
          <w:lang w:val="en-US" w:eastAsia="ru-RU"/>
        </w:rPr>
        <w:t>n</w:t>
      </w:r>
      <w:r w:rsidRPr="001B3739">
        <w:rPr>
          <w:rFonts w:ascii="Times New Roman" w:eastAsia="Times New Roman" w:hAnsi="Times New Roman"/>
          <w:sz w:val="28"/>
          <w:szCs w:val="28"/>
          <w:lang w:val="en-US" w:eastAsia="ru-RU"/>
        </w:rPr>
        <w:t xml:space="preserve"> privatization of assets, under which </w:t>
      </w:r>
      <w:r w:rsidR="00112533">
        <w:rPr>
          <w:rFonts w:ascii="Times New Roman" w:eastAsia="Times New Roman" w:hAnsi="Times New Roman"/>
          <w:sz w:val="28"/>
          <w:szCs w:val="28"/>
          <w:lang w:val="en-US" w:eastAsia="ru-RU"/>
        </w:rPr>
        <w:t xml:space="preserve">all </w:t>
      </w:r>
      <w:r w:rsidRPr="001B3739">
        <w:rPr>
          <w:rFonts w:ascii="Times New Roman" w:eastAsia="Times New Roman" w:hAnsi="Times New Roman"/>
          <w:sz w:val="28"/>
          <w:szCs w:val="28"/>
          <w:lang w:val="en-US" w:eastAsia="ru-RU"/>
        </w:rPr>
        <w:t xml:space="preserve"> </w:t>
      </w:r>
      <w:r w:rsidR="00112533">
        <w:rPr>
          <w:rFonts w:ascii="Times New Roman" w:eastAsia="Times New Roman" w:hAnsi="Times New Roman"/>
          <w:sz w:val="28"/>
          <w:szCs w:val="28"/>
          <w:lang w:val="en-US" w:eastAsia="ru-RU"/>
        </w:rPr>
        <w:t xml:space="preserve">non-core, low-profit assets (power transmission and power supplying companies) will be sold. </w:t>
      </w:r>
    </w:p>
    <w:p w:rsidR="001B3739" w:rsidRPr="001B3739" w:rsidRDefault="001B3739" w:rsidP="001B3739">
      <w:pPr>
        <w:jc w:val="both"/>
        <w:rPr>
          <w:rFonts w:ascii="Times New Roman" w:eastAsia="Times New Roman" w:hAnsi="Times New Roman"/>
          <w:sz w:val="28"/>
          <w:szCs w:val="28"/>
          <w:lang w:val="en-US" w:eastAsia="ru-RU"/>
        </w:rPr>
      </w:pPr>
      <w:r w:rsidRPr="001B3739">
        <w:rPr>
          <w:rFonts w:ascii="Times New Roman" w:eastAsia="Times New Roman" w:hAnsi="Times New Roman"/>
          <w:sz w:val="28"/>
          <w:szCs w:val="28"/>
          <w:lang w:val="en-US" w:eastAsia="ru-RU"/>
        </w:rPr>
        <w:t>EBITDA is almost 2 times higher than the data of the previous year, due to growth in operating income, due to the inclusion of the new asset  "Ekibastuz GRES - 1"</w:t>
      </w:r>
      <w:r w:rsidR="00B508D4">
        <w:rPr>
          <w:rFonts w:ascii="Times New Roman" w:eastAsia="Times New Roman" w:hAnsi="Times New Roman"/>
          <w:sz w:val="28"/>
          <w:szCs w:val="28"/>
          <w:lang w:val="en-US" w:eastAsia="ru-RU"/>
        </w:rPr>
        <w:t xml:space="preserve"> LLP in the consolidation</w:t>
      </w:r>
      <w:r w:rsidRPr="001B3739">
        <w:rPr>
          <w:rFonts w:ascii="Times New Roman" w:eastAsia="Times New Roman" w:hAnsi="Times New Roman"/>
          <w:sz w:val="28"/>
          <w:szCs w:val="28"/>
          <w:lang w:val="en-US" w:eastAsia="ru-RU"/>
        </w:rPr>
        <w:t xml:space="preserve">. </w:t>
      </w:r>
      <w:r w:rsidR="00B508D4">
        <w:rPr>
          <w:rFonts w:ascii="Times New Roman" w:eastAsia="Times New Roman" w:hAnsi="Times New Roman"/>
          <w:sz w:val="28"/>
          <w:szCs w:val="28"/>
          <w:lang w:val="en-US" w:eastAsia="ru-RU"/>
        </w:rPr>
        <w:t>The improvement of the indicator is planned i</w:t>
      </w:r>
      <w:r w:rsidRPr="001B3739">
        <w:rPr>
          <w:rFonts w:ascii="Times New Roman" w:eastAsia="Times New Roman" w:hAnsi="Times New Roman"/>
          <w:sz w:val="28"/>
          <w:szCs w:val="28"/>
          <w:lang w:val="en-US" w:eastAsia="ru-RU"/>
        </w:rPr>
        <w:t xml:space="preserve">n the dynamics </w:t>
      </w:r>
      <w:r w:rsidR="00B508D4">
        <w:rPr>
          <w:rFonts w:ascii="Times New Roman" w:eastAsia="Times New Roman" w:hAnsi="Times New Roman"/>
          <w:sz w:val="28"/>
          <w:szCs w:val="28"/>
          <w:lang w:val="en-US" w:eastAsia="ru-RU"/>
        </w:rPr>
        <w:t xml:space="preserve">until </w:t>
      </w:r>
      <w:r w:rsidRPr="001B3739">
        <w:rPr>
          <w:rFonts w:ascii="Times New Roman" w:eastAsia="Times New Roman" w:hAnsi="Times New Roman"/>
          <w:sz w:val="28"/>
          <w:szCs w:val="28"/>
          <w:lang w:val="en-US" w:eastAsia="ru-RU"/>
        </w:rPr>
        <w:t>2016</w:t>
      </w:r>
      <w:r w:rsidR="00B508D4">
        <w:rPr>
          <w:rFonts w:ascii="Times New Roman" w:eastAsia="Times New Roman" w:hAnsi="Times New Roman"/>
          <w:sz w:val="28"/>
          <w:szCs w:val="28"/>
          <w:lang w:val="en-US" w:eastAsia="ru-RU"/>
        </w:rPr>
        <w:t>,</w:t>
      </w:r>
      <w:r w:rsidR="00B508D4" w:rsidRPr="001B3739">
        <w:rPr>
          <w:rFonts w:ascii="Times New Roman" w:eastAsia="Times New Roman" w:hAnsi="Times New Roman"/>
          <w:sz w:val="28"/>
          <w:szCs w:val="28"/>
          <w:lang w:val="en-US" w:eastAsia="ru-RU"/>
        </w:rPr>
        <w:t xml:space="preserve"> in</w:t>
      </w:r>
      <w:r w:rsidRPr="001B3739">
        <w:rPr>
          <w:rFonts w:ascii="Times New Roman" w:eastAsia="Times New Roman" w:hAnsi="Times New Roman"/>
          <w:sz w:val="28"/>
          <w:szCs w:val="28"/>
          <w:lang w:val="en-US" w:eastAsia="ru-RU"/>
        </w:rPr>
        <w:t xml:space="preserve"> connection with the planned </w:t>
      </w:r>
      <w:r w:rsidR="00B508D4">
        <w:rPr>
          <w:rFonts w:ascii="Times New Roman" w:eastAsia="Times New Roman" w:hAnsi="Times New Roman"/>
          <w:sz w:val="28"/>
          <w:szCs w:val="28"/>
          <w:lang w:val="en-US" w:eastAsia="ru-RU"/>
        </w:rPr>
        <w:t xml:space="preserve">sale </w:t>
      </w:r>
      <w:r w:rsidRPr="001B3739">
        <w:rPr>
          <w:rFonts w:ascii="Times New Roman" w:eastAsia="Times New Roman" w:hAnsi="Times New Roman"/>
          <w:sz w:val="28"/>
          <w:szCs w:val="28"/>
          <w:lang w:val="en-US" w:eastAsia="ru-RU"/>
        </w:rPr>
        <w:t>of low-margin assets.</w:t>
      </w:r>
    </w:p>
    <w:p w:rsidR="001B3739" w:rsidRDefault="00F32485" w:rsidP="001B3739">
      <w:pPr>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Indicator </w:t>
      </w:r>
      <w:r w:rsidR="001B3739" w:rsidRPr="001B3739">
        <w:rPr>
          <w:rFonts w:ascii="Times New Roman" w:eastAsia="Times New Roman" w:hAnsi="Times New Roman"/>
          <w:sz w:val="28"/>
          <w:szCs w:val="28"/>
          <w:lang w:val="en-US" w:eastAsia="ru-RU"/>
        </w:rPr>
        <w:t>Profitability</w:t>
      </w:r>
      <w:r>
        <w:rPr>
          <w:rFonts w:ascii="Times New Roman" w:eastAsia="Times New Roman" w:hAnsi="Times New Roman"/>
          <w:sz w:val="28"/>
          <w:szCs w:val="28"/>
          <w:lang w:val="en-US" w:eastAsia="ru-RU"/>
        </w:rPr>
        <w:t xml:space="preserve"> </w:t>
      </w:r>
      <w:r w:rsidR="001B3739" w:rsidRPr="001B3739">
        <w:rPr>
          <w:rFonts w:ascii="Times New Roman" w:eastAsia="Times New Roman" w:hAnsi="Times New Roman"/>
          <w:sz w:val="28"/>
          <w:szCs w:val="28"/>
          <w:lang w:val="en-US" w:eastAsia="ru-RU"/>
        </w:rPr>
        <w:t>of activity</w:t>
      </w:r>
      <w:r>
        <w:rPr>
          <w:rFonts w:ascii="Times New Roman" w:eastAsia="Times New Roman" w:hAnsi="Times New Roman"/>
          <w:sz w:val="28"/>
          <w:szCs w:val="28"/>
          <w:lang w:val="en-US" w:eastAsia="ru-RU"/>
        </w:rPr>
        <w:t xml:space="preserve"> in 2014 amounted to 6,</w:t>
      </w:r>
      <w:r w:rsidR="001B3739" w:rsidRPr="001B3739">
        <w:rPr>
          <w:rFonts w:ascii="Times New Roman" w:eastAsia="Times New Roman" w:hAnsi="Times New Roman"/>
          <w:sz w:val="28"/>
          <w:szCs w:val="28"/>
          <w:lang w:val="en-US" w:eastAsia="ru-RU"/>
        </w:rPr>
        <w:t xml:space="preserve">5%. </w:t>
      </w:r>
      <w:r>
        <w:rPr>
          <w:rFonts w:ascii="Times New Roman" w:eastAsia="Times New Roman" w:hAnsi="Times New Roman"/>
          <w:sz w:val="28"/>
          <w:szCs w:val="28"/>
          <w:lang w:val="en-US" w:eastAsia="ru-RU"/>
        </w:rPr>
        <w:t>An</w:t>
      </w:r>
      <w:r w:rsidR="001B3739" w:rsidRPr="001B3739">
        <w:rPr>
          <w:rFonts w:ascii="Times New Roman" w:eastAsia="Times New Roman" w:hAnsi="Times New Roman"/>
          <w:sz w:val="28"/>
          <w:szCs w:val="28"/>
          <w:lang w:val="en-US" w:eastAsia="ru-RU"/>
        </w:rPr>
        <w:t xml:space="preserve"> increase</w:t>
      </w:r>
      <w:r>
        <w:rPr>
          <w:rFonts w:ascii="Times New Roman" w:eastAsia="Times New Roman" w:hAnsi="Times New Roman"/>
          <w:sz w:val="28"/>
          <w:szCs w:val="28"/>
          <w:lang w:val="en-US" w:eastAsia="ru-RU"/>
        </w:rPr>
        <w:t xml:space="preserve"> the profitability of up to 42% is planned until 2016, this is expected to be accomplished owing to</w:t>
      </w:r>
      <w:r w:rsidR="001B3739" w:rsidRPr="001B3739">
        <w:rPr>
          <w:rFonts w:ascii="Times New Roman" w:eastAsia="Times New Roman" w:hAnsi="Times New Roman"/>
          <w:sz w:val="28"/>
          <w:szCs w:val="28"/>
          <w:lang w:val="en-US" w:eastAsia="ru-RU"/>
        </w:rPr>
        <w:t xml:space="preserve"> growth in net profit</w:t>
      </w:r>
      <w:r>
        <w:rPr>
          <w:rFonts w:ascii="Times New Roman" w:eastAsia="Times New Roman" w:hAnsi="Times New Roman"/>
          <w:sz w:val="28"/>
          <w:szCs w:val="28"/>
          <w:lang w:val="en-US" w:eastAsia="ru-RU"/>
        </w:rPr>
        <w:t xml:space="preserve"> of the Company</w:t>
      </w:r>
      <w:r w:rsidR="001B3739" w:rsidRPr="001B3739">
        <w:rPr>
          <w:rFonts w:ascii="Times New Roman" w:eastAsia="Times New Roman" w:hAnsi="Times New Roman"/>
          <w:sz w:val="28"/>
          <w:szCs w:val="28"/>
          <w:lang w:val="en-US" w:eastAsia="ru-RU"/>
        </w:rPr>
        <w:t>.</w:t>
      </w:r>
    </w:p>
    <w:p w:rsidR="00F32485" w:rsidRDefault="00F32485" w:rsidP="001B3739">
      <w:pPr>
        <w:jc w:val="both"/>
        <w:rPr>
          <w:rFonts w:ascii="Times New Roman" w:eastAsia="Times New Roman" w:hAnsi="Times New Roman"/>
          <w:sz w:val="28"/>
          <w:szCs w:val="28"/>
          <w:lang w:val="en-US" w:eastAsia="ru-RU"/>
        </w:rPr>
      </w:pPr>
    </w:p>
    <w:tbl>
      <w:tblPr>
        <w:tblW w:w="9336" w:type="dxa"/>
        <w:tblInd w:w="93" w:type="dxa"/>
        <w:tblLook w:val="04A0"/>
      </w:tblPr>
      <w:tblGrid>
        <w:gridCol w:w="1714"/>
        <w:gridCol w:w="1394"/>
        <w:gridCol w:w="1000"/>
        <w:gridCol w:w="1000"/>
        <w:gridCol w:w="1000"/>
        <w:gridCol w:w="1228"/>
        <w:gridCol w:w="1000"/>
        <w:gridCol w:w="1000"/>
      </w:tblGrid>
      <w:tr w:rsidR="00F32485" w:rsidRPr="00DA1D7E" w:rsidTr="00AC6554">
        <w:trPr>
          <w:trHeight w:val="315"/>
        </w:trPr>
        <w:tc>
          <w:tcPr>
            <w:tcW w:w="9336" w:type="dxa"/>
            <w:gridSpan w:val="8"/>
            <w:tcBorders>
              <w:top w:val="single" w:sz="8" w:space="0" w:color="auto"/>
              <w:left w:val="single" w:sz="8" w:space="0" w:color="auto"/>
              <w:bottom w:val="nil"/>
              <w:right w:val="single" w:sz="8" w:space="0" w:color="000000"/>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Main financial and economic figures</w:t>
            </w:r>
            <w:r w:rsidRPr="00F32485">
              <w:rPr>
                <w:rFonts w:ascii="Times New Roman" w:eastAsia="Times New Roman" w:hAnsi="Times New Roman"/>
                <w:b/>
                <w:bCs/>
                <w:color w:val="000000"/>
                <w:sz w:val="20"/>
                <w:szCs w:val="20"/>
                <w:lang w:val="en-US" w:eastAsia="ru-RU"/>
              </w:rPr>
              <w:t xml:space="preserve"> </w:t>
            </w:r>
          </w:p>
        </w:tc>
      </w:tr>
      <w:tr w:rsidR="00F32485" w:rsidRPr="00030675" w:rsidTr="00AC6554">
        <w:trPr>
          <w:trHeight w:val="645"/>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description</w:t>
            </w:r>
          </w:p>
        </w:tc>
        <w:tc>
          <w:tcPr>
            <w:tcW w:w="13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Measurement unit</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2012</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2013</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2014</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485" w:rsidRPr="00030675" w:rsidRDefault="00F32485" w:rsidP="00F32485">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2014</w:t>
            </w:r>
            <w:r>
              <w:rPr>
                <w:rFonts w:ascii="Times New Roman" w:eastAsia="Times New Roman" w:hAnsi="Times New Roman"/>
                <w:b/>
                <w:bCs/>
                <w:color w:val="000000"/>
                <w:sz w:val="20"/>
                <w:szCs w:val="20"/>
                <w:lang w:val="en-US" w:eastAsia="ru-RU"/>
              </w:rPr>
              <w:t>against</w:t>
            </w:r>
            <w:r w:rsidRPr="00030675">
              <w:rPr>
                <w:rFonts w:ascii="Times New Roman" w:eastAsia="Times New Roman" w:hAnsi="Times New Roman"/>
                <w:b/>
                <w:bCs/>
                <w:color w:val="000000"/>
                <w:sz w:val="20"/>
                <w:szCs w:val="20"/>
                <w:lang w:eastAsia="ru-RU"/>
              </w:rPr>
              <w:t xml:space="preserve"> 2013</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2015</w:t>
            </w:r>
          </w:p>
        </w:tc>
        <w:tc>
          <w:tcPr>
            <w:tcW w:w="1000" w:type="dxa"/>
            <w:tcBorders>
              <w:top w:val="single" w:sz="8" w:space="0" w:color="auto"/>
              <w:left w:val="nil"/>
              <w:bottom w:val="single" w:sz="4" w:space="0" w:color="auto"/>
              <w:right w:val="single" w:sz="8"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b/>
                <w:bCs/>
                <w:color w:val="000000"/>
                <w:sz w:val="20"/>
                <w:szCs w:val="20"/>
                <w:lang w:eastAsia="ru-RU"/>
              </w:rPr>
            </w:pPr>
            <w:r w:rsidRPr="00030675">
              <w:rPr>
                <w:rFonts w:ascii="Times New Roman" w:eastAsia="Times New Roman" w:hAnsi="Times New Roman"/>
                <w:b/>
                <w:bCs/>
                <w:color w:val="000000"/>
                <w:sz w:val="20"/>
                <w:szCs w:val="20"/>
                <w:lang w:eastAsia="ru-RU"/>
              </w:rPr>
              <w:t>2016</w:t>
            </w:r>
          </w:p>
        </w:tc>
      </w:tr>
      <w:tr w:rsidR="00F32485" w:rsidRPr="00F32485" w:rsidTr="00AC6554">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rsidR="00F32485" w:rsidRPr="00030675" w:rsidRDefault="00F32485" w:rsidP="00AC6554">
            <w:pPr>
              <w:spacing w:after="0" w:line="240" w:lineRule="auto"/>
              <w:rPr>
                <w:rFonts w:ascii="Times New Roman" w:eastAsia="Times New Roman" w:hAnsi="Times New Roman"/>
                <w:b/>
                <w:bCs/>
                <w:color w:val="000000"/>
                <w:sz w:val="20"/>
                <w:szCs w:val="20"/>
                <w:lang w:eastAsia="ru-RU"/>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rsidR="00F32485" w:rsidRPr="00030675" w:rsidRDefault="00F32485" w:rsidP="00AC6554">
            <w:pPr>
              <w:spacing w:after="0" w:line="240" w:lineRule="auto"/>
              <w:rPr>
                <w:rFonts w:ascii="Times New Roman" w:eastAsia="Times New Roman" w:hAnsi="Times New Roman"/>
                <w:b/>
                <w:bCs/>
                <w:color w:val="000000"/>
                <w:sz w:val="20"/>
                <w:szCs w:val="20"/>
                <w:lang w:eastAsia="ru-RU"/>
              </w:rPr>
            </w:pP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actual</w:t>
            </w:r>
          </w:p>
        </w:tc>
        <w:tc>
          <w:tcPr>
            <w:tcW w:w="106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Deviation</w:t>
            </w:r>
            <w:r w:rsidRPr="00F32485">
              <w:rPr>
                <w:rFonts w:ascii="Times New Roman" w:eastAsia="Times New Roman" w:hAnsi="Times New Roman"/>
                <w:b/>
                <w:bCs/>
                <w:color w:val="000000"/>
                <w:sz w:val="20"/>
                <w:szCs w:val="20"/>
                <w:lang w:val="en-US"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tc>
        <w:tc>
          <w:tcPr>
            <w:tcW w:w="1000" w:type="dxa"/>
            <w:tcBorders>
              <w:top w:val="nil"/>
              <w:left w:val="nil"/>
              <w:bottom w:val="single" w:sz="4" w:space="0" w:color="auto"/>
              <w:right w:val="single" w:sz="8"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b/>
                <w:bCs/>
                <w:color w:val="000000"/>
                <w:sz w:val="20"/>
                <w:szCs w:val="20"/>
                <w:lang w:val="en-US" w:eastAsia="ru-RU"/>
              </w:rPr>
            </w:pPr>
            <w:r>
              <w:rPr>
                <w:rFonts w:ascii="Times New Roman" w:eastAsia="Times New Roman" w:hAnsi="Times New Roman"/>
                <w:b/>
                <w:bCs/>
                <w:color w:val="000000"/>
                <w:sz w:val="20"/>
                <w:szCs w:val="20"/>
                <w:lang w:val="en-US" w:eastAsia="ru-RU"/>
              </w:rPr>
              <w:t>forecast</w:t>
            </w:r>
          </w:p>
        </w:tc>
      </w:tr>
      <w:tr w:rsidR="00F32485" w:rsidRPr="00F32485" w:rsidTr="00AC6554">
        <w:trPr>
          <w:trHeight w:val="300"/>
        </w:trPr>
        <w:tc>
          <w:tcPr>
            <w:tcW w:w="1960" w:type="dxa"/>
            <w:tcBorders>
              <w:top w:val="nil"/>
              <w:left w:val="single" w:sz="8" w:space="0" w:color="auto"/>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Net profit</w:t>
            </w:r>
          </w:p>
        </w:tc>
        <w:tc>
          <w:tcPr>
            <w:tcW w:w="1316"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Bln.tenge</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18,76</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40,85</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15,94</w:t>
            </w:r>
          </w:p>
        </w:tc>
        <w:tc>
          <w:tcPr>
            <w:tcW w:w="106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39%</w:t>
            </w:r>
          </w:p>
        </w:tc>
        <w:tc>
          <w:tcPr>
            <w:tcW w:w="100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25,29</w:t>
            </w:r>
          </w:p>
        </w:tc>
        <w:tc>
          <w:tcPr>
            <w:tcW w:w="1000" w:type="dxa"/>
            <w:tcBorders>
              <w:top w:val="nil"/>
              <w:left w:val="nil"/>
              <w:bottom w:val="single" w:sz="4" w:space="0" w:color="auto"/>
              <w:right w:val="single" w:sz="8"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39,19</w:t>
            </w:r>
          </w:p>
        </w:tc>
      </w:tr>
      <w:tr w:rsidR="00F32485" w:rsidRPr="00030675" w:rsidTr="00AC6554">
        <w:trPr>
          <w:trHeight w:val="300"/>
        </w:trPr>
        <w:tc>
          <w:tcPr>
            <w:tcW w:w="1960" w:type="dxa"/>
            <w:tcBorders>
              <w:top w:val="nil"/>
              <w:left w:val="single" w:sz="8" w:space="0" w:color="auto"/>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 xml:space="preserve">EBITDA    </w:t>
            </w:r>
          </w:p>
        </w:tc>
        <w:tc>
          <w:tcPr>
            <w:tcW w:w="1316"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Mln.tenge</w:t>
            </w:r>
          </w:p>
        </w:tc>
        <w:tc>
          <w:tcPr>
            <w:tcW w:w="1000" w:type="dxa"/>
            <w:tcBorders>
              <w:top w:val="nil"/>
              <w:left w:val="nil"/>
              <w:bottom w:val="single" w:sz="4" w:space="0" w:color="auto"/>
              <w:right w:val="single" w:sz="4" w:space="0" w:color="auto"/>
            </w:tcBorders>
            <w:shd w:val="clear" w:color="auto" w:fill="auto"/>
            <w:noWrap/>
            <w:vAlign w:val="bottom"/>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19 100</w:t>
            </w:r>
          </w:p>
        </w:tc>
        <w:tc>
          <w:tcPr>
            <w:tcW w:w="1000" w:type="dxa"/>
            <w:tcBorders>
              <w:top w:val="nil"/>
              <w:left w:val="nil"/>
              <w:bottom w:val="single" w:sz="4" w:space="0" w:color="auto"/>
              <w:right w:val="single" w:sz="4" w:space="0" w:color="auto"/>
            </w:tcBorders>
            <w:shd w:val="clear" w:color="auto" w:fill="auto"/>
            <w:noWrap/>
            <w:vAlign w:val="bottom"/>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32 259</w:t>
            </w:r>
          </w:p>
        </w:tc>
        <w:tc>
          <w:tcPr>
            <w:tcW w:w="1000" w:type="dxa"/>
            <w:tcBorders>
              <w:top w:val="nil"/>
              <w:left w:val="nil"/>
              <w:bottom w:val="single" w:sz="4" w:space="0" w:color="auto"/>
              <w:right w:val="single" w:sz="4" w:space="0" w:color="auto"/>
            </w:tcBorders>
            <w:shd w:val="clear" w:color="auto" w:fill="auto"/>
            <w:noWrap/>
            <w:vAlign w:val="bottom"/>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70 621</w:t>
            </w:r>
          </w:p>
        </w:tc>
        <w:tc>
          <w:tcPr>
            <w:tcW w:w="1060" w:type="dxa"/>
            <w:tcBorders>
              <w:top w:val="nil"/>
              <w:left w:val="nil"/>
              <w:bottom w:val="single" w:sz="4" w:space="0" w:color="auto"/>
              <w:right w:val="single" w:sz="4" w:space="0" w:color="auto"/>
            </w:tcBorders>
            <w:shd w:val="clear" w:color="auto" w:fill="auto"/>
            <w:vAlign w:val="center"/>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219%</w:t>
            </w:r>
          </w:p>
        </w:tc>
        <w:tc>
          <w:tcPr>
            <w:tcW w:w="1000" w:type="dxa"/>
            <w:tcBorders>
              <w:top w:val="nil"/>
              <w:left w:val="nil"/>
              <w:bottom w:val="single" w:sz="4" w:space="0" w:color="auto"/>
              <w:right w:val="single" w:sz="4" w:space="0" w:color="auto"/>
            </w:tcBorders>
            <w:shd w:val="clear" w:color="auto" w:fill="auto"/>
            <w:noWrap/>
            <w:vAlign w:val="bottom"/>
            <w:hideMark/>
          </w:tcPr>
          <w:p w:rsidR="00F32485" w:rsidRPr="00F32485" w:rsidRDefault="00F32485" w:rsidP="00AC6554">
            <w:pPr>
              <w:spacing w:after="0" w:line="240" w:lineRule="auto"/>
              <w:jc w:val="center"/>
              <w:rPr>
                <w:rFonts w:ascii="Times New Roman" w:eastAsia="Times New Roman" w:hAnsi="Times New Roman"/>
                <w:color w:val="000000"/>
                <w:sz w:val="20"/>
                <w:szCs w:val="20"/>
                <w:lang w:val="en-US" w:eastAsia="ru-RU"/>
              </w:rPr>
            </w:pPr>
            <w:r w:rsidRPr="00F32485">
              <w:rPr>
                <w:rFonts w:ascii="Times New Roman" w:eastAsia="Times New Roman" w:hAnsi="Times New Roman"/>
                <w:color w:val="000000"/>
                <w:sz w:val="20"/>
                <w:szCs w:val="20"/>
                <w:lang w:val="en-US" w:eastAsia="ru-RU"/>
              </w:rPr>
              <w:t>75 437</w:t>
            </w:r>
          </w:p>
        </w:tc>
        <w:tc>
          <w:tcPr>
            <w:tcW w:w="1000" w:type="dxa"/>
            <w:tcBorders>
              <w:top w:val="nil"/>
              <w:left w:val="nil"/>
              <w:bottom w:val="single" w:sz="4" w:space="0" w:color="auto"/>
              <w:right w:val="single" w:sz="8" w:space="0" w:color="auto"/>
            </w:tcBorders>
            <w:shd w:val="clear" w:color="auto" w:fill="auto"/>
            <w:noWrap/>
            <w:vAlign w:val="bottom"/>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73 608</w:t>
            </w:r>
          </w:p>
        </w:tc>
      </w:tr>
      <w:tr w:rsidR="00F32485" w:rsidRPr="00030675" w:rsidTr="00AC6554">
        <w:trPr>
          <w:trHeight w:val="300"/>
        </w:trPr>
        <w:tc>
          <w:tcPr>
            <w:tcW w:w="1960" w:type="dxa"/>
            <w:tcBorders>
              <w:top w:val="nil"/>
              <w:left w:val="single" w:sz="8" w:space="0" w:color="auto"/>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EBITDA Margin</w:t>
            </w:r>
          </w:p>
        </w:tc>
        <w:tc>
          <w:tcPr>
            <w:tcW w:w="1316" w:type="dxa"/>
            <w:tcBorders>
              <w:top w:val="nil"/>
              <w:left w:val="nil"/>
              <w:bottom w:val="single" w:sz="4" w:space="0" w:color="auto"/>
              <w:right w:val="single" w:sz="4" w:space="0" w:color="auto"/>
            </w:tcBorders>
            <w:shd w:val="clear" w:color="auto" w:fill="auto"/>
            <w:noWrap/>
            <w:vAlign w:val="bottom"/>
            <w:hideMark/>
          </w:tcPr>
          <w:p w:rsidR="00F32485" w:rsidRPr="00030675" w:rsidRDefault="00F32485" w:rsidP="00AC6554">
            <w:pPr>
              <w:spacing w:after="0" w:line="240" w:lineRule="auto"/>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20,2</w:t>
            </w:r>
          </w:p>
        </w:tc>
        <w:tc>
          <w:tcPr>
            <w:tcW w:w="1000" w:type="dxa"/>
            <w:tcBorders>
              <w:top w:val="nil"/>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23,8</w:t>
            </w:r>
          </w:p>
        </w:tc>
        <w:tc>
          <w:tcPr>
            <w:tcW w:w="1000" w:type="dxa"/>
            <w:tcBorders>
              <w:top w:val="nil"/>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39,7</w:t>
            </w:r>
          </w:p>
        </w:tc>
        <w:tc>
          <w:tcPr>
            <w:tcW w:w="1060" w:type="dxa"/>
            <w:tcBorders>
              <w:top w:val="nil"/>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167%</w:t>
            </w:r>
          </w:p>
        </w:tc>
        <w:tc>
          <w:tcPr>
            <w:tcW w:w="1000" w:type="dxa"/>
            <w:tcBorders>
              <w:top w:val="nil"/>
              <w:left w:val="nil"/>
              <w:bottom w:val="single" w:sz="4"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38,8</w:t>
            </w:r>
          </w:p>
        </w:tc>
        <w:tc>
          <w:tcPr>
            <w:tcW w:w="1000" w:type="dxa"/>
            <w:tcBorders>
              <w:top w:val="nil"/>
              <w:left w:val="nil"/>
              <w:bottom w:val="single" w:sz="4" w:space="0" w:color="auto"/>
              <w:right w:val="single" w:sz="8"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61,0</w:t>
            </w:r>
          </w:p>
        </w:tc>
      </w:tr>
      <w:tr w:rsidR="00F32485" w:rsidRPr="00030675" w:rsidTr="00AC6554">
        <w:trPr>
          <w:trHeight w:val="525"/>
        </w:trPr>
        <w:tc>
          <w:tcPr>
            <w:tcW w:w="1960" w:type="dxa"/>
            <w:tcBorders>
              <w:top w:val="nil"/>
              <w:left w:val="single" w:sz="8" w:space="0" w:color="auto"/>
              <w:bottom w:val="single" w:sz="8" w:space="0" w:color="auto"/>
              <w:right w:val="single" w:sz="4" w:space="0" w:color="auto"/>
            </w:tcBorders>
            <w:shd w:val="clear" w:color="auto" w:fill="auto"/>
            <w:vAlign w:val="center"/>
            <w:hideMark/>
          </w:tcPr>
          <w:p w:rsidR="00F32485" w:rsidRPr="00F32485" w:rsidRDefault="00F32485" w:rsidP="00AC6554">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 xml:space="preserve">Activity’s profitability </w:t>
            </w:r>
          </w:p>
        </w:tc>
        <w:tc>
          <w:tcPr>
            <w:tcW w:w="1316"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w:t>
            </w:r>
          </w:p>
        </w:tc>
        <w:tc>
          <w:tcPr>
            <w:tcW w:w="1000"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20</w:t>
            </w:r>
          </w:p>
        </w:tc>
        <w:tc>
          <w:tcPr>
            <w:tcW w:w="1000"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33</w:t>
            </w:r>
          </w:p>
        </w:tc>
        <w:tc>
          <w:tcPr>
            <w:tcW w:w="1000"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6,5</w:t>
            </w:r>
          </w:p>
        </w:tc>
        <w:tc>
          <w:tcPr>
            <w:tcW w:w="1060"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20%</w:t>
            </w:r>
          </w:p>
        </w:tc>
        <w:tc>
          <w:tcPr>
            <w:tcW w:w="1000" w:type="dxa"/>
            <w:tcBorders>
              <w:top w:val="nil"/>
              <w:left w:val="nil"/>
              <w:bottom w:val="single" w:sz="8" w:space="0" w:color="auto"/>
              <w:right w:val="single" w:sz="4"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14,2</w:t>
            </w:r>
          </w:p>
        </w:tc>
        <w:tc>
          <w:tcPr>
            <w:tcW w:w="1000" w:type="dxa"/>
            <w:tcBorders>
              <w:top w:val="nil"/>
              <w:left w:val="nil"/>
              <w:bottom w:val="single" w:sz="8" w:space="0" w:color="auto"/>
              <w:right w:val="single" w:sz="8" w:space="0" w:color="auto"/>
            </w:tcBorders>
            <w:shd w:val="clear" w:color="auto" w:fill="auto"/>
            <w:vAlign w:val="center"/>
            <w:hideMark/>
          </w:tcPr>
          <w:p w:rsidR="00F32485" w:rsidRPr="00030675" w:rsidRDefault="00F32485" w:rsidP="00AC6554">
            <w:pPr>
              <w:spacing w:after="0" w:line="240" w:lineRule="auto"/>
              <w:jc w:val="center"/>
              <w:rPr>
                <w:rFonts w:ascii="Times New Roman" w:eastAsia="Times New Roman" w:hAnsi="Times New Roman"/>
                <w:color w:val="000000"/>
                <w:sz w:val="20"/>
                <w:szCs w:val="20"/>
                <w:lang w:eastAsia="ru-RU"/>
              </w:rPr>
            </w:pPr>
            <w:r w:rsidRPr="00030675">
              <w:rPr>
                <w:rFonts w:ascii="Times New Roman" w:eastAsia="Times New Roman" w:hAnsi="Times New Roman"/>
                <w:color w:val="000000"/>
                <w:sz w:val="20"/>
                <w:szCs w:val="20"/>
                <w:lang w:eastAsia="ru-RU"/>
              </w:rPr>
              <w:t>42,1</w:t>
            </w:r>
          </w:p>
        </w:tc>
      </w:tr>
    </w:tbl>
    <w:p w:rsidR="00F32485" w:rsidRDefault="00F32485" w:rsidP="001B3739">
      <w:pPr>
        <w:jc w:val="both"/>
        <w:rPr>
          <w:rFonts w:ascii="Times New Roman" w:eastAsia="Times New Roman" w:hAnsi="Times New Roman"/>
          <w:sz w:val="28"/>
          <w:szCs w:val="28"/>
          <w:lang w:val="en-US" w:eastAsia="ru-RU"/>
        </w:rPr>
      </w:pPr>
    </w:p>
    <w:p w:rsidR="00F32485" w:rsidRPr="006C4D71" w:rsidRDefault="00F32485" w:rsidP="00F32485">
      <w:pPr>
        <w:jc w:val="both"/>
        <w:rPr>
          <w:rFonts w:ascii="Times New Roman" w:eastAsia="Times New Roman" w:hAnsi="Times New Roman"/>
          <w:b/>
          <w:sz w:val="28"/>
          <w:szCs w:val="28"/>
          <w:lang w:val="en-US" w:eastAsia="ru-RU"/>
        </w:rPr>
      </w:pPr>
      <w:r w:rsidRPr="006C4D71">
        <w:rPr>
          <w:rFonts w:ascii="Times New Roman" w:eastAsia="Times New Roman" w:hAnsi="Times New Roman"/>
          <w:b/>
          <w:sz w:val="28"/>
          <w:szCs w:val="28"/>
          <w:lang w:val="en-US" w:eastAsia="ru-RU"/>
        </w:rPr>
        <w:t>Indicators of liquidity and financial stability.</w:t>
      </w:r>
    </w:p>
    <w:p w:rsidR="00F32485" w:rsidRPr="00F32485" w:rsidRDefault="00F32485" w:rsidP="00F32485">
      <w:pPr>
        <w:jc w:val="both"/>
        <w:rPr>
          <w:rFonts w:ascii="Times New Roman" w:eastAsia="Times New Roman" w:hAnsi="Times New Roman"/>
          <w:sz w:val="28"/>
          <w:szCs w:val="28"/>
          <w:lang w:val="en-US" w:eastAsia="ru-RU"/>
        </w:rPr>
      </w:pPr>
      <w:r w:rsidRPr="00E65762">
        <w:rPr>
          <w:rFonts w:ascii="Times New Roman" w:eastAsia="Times New Roman" w:hAnsi="Times New Roman"/>
          <w:b/>
          <w:sz w:val="28"/>
          <w:szCs w:val="28"/>
          <w:lang w:val="en-US" w:eastAsia="ru-RU"/>
        </w:rPr>
        <w:t>Debt / EBITDA</w:t>
      </w:r>
      <w:r w:rsidRPr="00F32485">
        <w:rPr>
          <w:rFonts w:ascii="Times New Roman" w:eastAsia="Times New Roman" w:hAnsi="Times New Roman"/>
          <w:sz w:val="28"/>
          <w:szCs w:val="28"/>
          <w:lang w:val="en-US" w:eastAsia="ru-RU"/>
        </w:rPr>
        <w:t xml:space="preserve"> ratio was 4.52, compared with last year</w:t>
      </w:r>
      <w:r w:rsidR="006C4D71">
        <w:rPr>
          <w:rFonts w:ascii="Times New Roman" w:eastAsia="Times New Roman" w:hAnsi="Times New Roman"/>
          <w:sz w:val="28"/>
          <w:szCs w:val="28"/>
          <w:lang w:val="en-US" w:eastAsia="ru-RU"/>
        </w:rPr>
        <w:t>’s data</w:t>
      </w:r>
      <w:r w:rsidRPr="00F32485">
        <w:rPr>
          <w:rFonts w:ascii="Times New Roman" w:eastAsia="Times New Roman" w:hAnsi="Times New Roman"/>
          <w:sz w:val="28"/>
          <w:szCs w:val="28"/>
          <w:lang w:val="en-US" w:eastAsia="ru-RU"/>
        </w:rPr>
        <w:t xml:space="preserve"> the</w:t>
      </w:r>
      <w:r w:rsidR="006C4D71">
        <w:rPr>
          <w:rFonts w:ascii="Times New Roman" w:eastAsia="Times New Roman" w:hAnsi="Times New Roman"/>
          <w:sz w:val="28"/>
          <w:szCs w:val="28"/>
          <w:lang w:val="en-US" w:eastAsia="ru-RU"/>
        </w:rPr>
        <w:t xml:space="preserve"> indicator has</w:t>
      </w:r>
      <w:r w:rsidRPr="00F32485">
        <w:rPr>
          <w:rFonts w:ascii="Times New Roman" w:eastAsia="Times New Roman" w:hAnsi="Times New Roman"/>
          <w:sz w:val="28"/>
          <w:szCs w:val="28"/>
          <w:lang w:val="en-US" w:eastAsia="ru-RU"/>
        </w:rPr>
        <w:t xml:space="preserve"> improve</w:t>
      </w:r>
      <w:r w:rsidR="006C4D71">
        <w:rPr>
          <w:rFonts w:ascii="Times New Roman" w:eastAsia="Times New Roman" w:hAnsi="Times New Roman"/>
          <w:sz w:val="28"/>
          <w:szCs w:val="28"/>
          <w:lang w:val="en-US" w:eastAsia="ru-RU"/>
        </w:rPr>
        <w:t xml:space="preserve">d due to the growth of </w:t>
      </w:r>
      <w:r w:rsidR="006C4D71" w:rsidRPr="00F32485">
        <w:rPr>
          <w:rFonts w:ascii="Times New Roman" w:eastAsia="Times New Roman" w:hAnsi="Times New Roman"/>
          <w:sz w:val="28"/>
          <w:szCs w:val="28"/>
          <w:lang w:val="en-US" w:eastAsia="ru-RU"/>
        </w:rPr>
        <w:t>EBITDA</w:t>
      </w:r>
      <w:r w:rsidR="006C4D71">
        <w:rPr>
          <w:rFonts w:ascii="Times New Roman" w:eastAsia="Times New Roman" w:hAnsi="Times New Roman"/>
          <w:sz w:val="28"/>
          <w:szCs w:val="28"/>
          <w:lang w:val="en-US" w:eastAsia="ru-RU"/>
        </w:rPr>
        <w:t xml:space="preserve"> indicator </w:t>
      </w:r>
      <w:r w:rsidRPr="00F32485">
        <w:rPr>
          <w:rFonts w:ascii="Times New Roman" w:eastAsia="Times New Roman" w:hAnsi="Times New Roman"/>
          <w:sz w:val="28"/>
          <w:szCs w:val="28"/>
          <w:lang w:val="en-US" w:eastAsia="ru-RU"/>
        </w:rPr>
        <w:t xml:space="preserve">more than 2 times. </w:t>
      </w:r>
      <w:r w:rsidR="006C4D71">
        <w:rPr>
          <w:rFonts w:ascii="Times New Roman" w:eastAsia="Times New Roman" w:hAnsi="Times New Roman"/>
          <w:sz w:val="28"/>
          <w:szCs w:val="28"/>
          <w:lang w:val="en-US" w:eastAsia="ru-RU"/>
        </w:rPr>
        <w:t xml:space="preserve"> A</w:t>
      </w:r>
      <w:r w:rsidRPr="00F32485">
        <w:rPr>
          <w:rFonts w:ascii="Times New Roman" w:eastAsia="Times New Roman" w:hAnsi="Times New Roman"/>
          <w:sz w:val="28"/>
          <w:szCs w:val="28"/>
          <w:lang w:val="en-US" w:eastAsia="ru-RU"/>
        </w:rPr>
        <w:t xml:space="preserve"> slight increase of this indicator</w:t>
      </w:r>
      <w:r w:rsidR="006C4D71">
        <w:rPr>
          <w:rFonts w:ascii="Times New Roman" w:eastAsia="Times New Roman" w:hAnsi="Times New Roman"/>
          <w:sz w:val="28"/>
          <w:szCs w:val="28"/>
          <w:lang w:val="en-US" w:eastAsia="ru-RU"/>
        </w:rPr>
        <w:t xml:space="preserve"> up </w:t>
      </w:r>
      <w:r w:rsidRPr="00F32485">
        <w:rPr>
          <w:rFonts w:ascii="Times New Roman" w:eastAsia="Times New Roman" w:hAnsi="Times New Roman"/>
          <w:sz w:val="28"/>
          <w:szCs w:val="28"/>
          <w:lang w:val="en-US" w:eastAsia="ru-RU"/>
        </w:rPr>
        <w:t>to 4</w:t>
      </w:r>
      <w:r w:rsidR="006C4D71">
        <w:rPr>
          <w:rFonts w:ascii="Times New Roman" w:eastAsia="Times New Roman" w:hAnsi="Times New Roman"/>
          <w:sz w:val="28"/>
          <w:szCs w:val="28"/>
          <w:lang w:val="en-US" w:eastAsia="ru-RU"/>
        </w:rPr>
        <w:t>,</w:t>
      </w:r>
      <w:r w:rsidRPr="00F32485">
        <w:rPr>
          <w:rFonts w:ascii="Times New Roman" w:eastAsia="Times New Roman" w:hAnsi="Times New Roman"/>
          <w:sz w:val="28"/>
          <w:szCs w:val="28"/>
          <w:lang w:val="en-US" w:eastAsia="ru-RU"/>
        </w:rPr>
        <w:t xml:space="preserve">88 </w:t>
      </w:r>
      <w:r w:rsidR="006C4D71">
        <w:rPr>
          <w:rFonts w:ascii="Times New Roman" w:eastAsia="Times New Roman" w:hAnsi="Times New Roman"/>
          <w:sz w:val="28"/>
          <w:szCs w:val="28"/>
          <w:lang w:val="en-US" w:eastAsia="ru-RU"/>
        </w:rPr>
        <w:t>is planned in 2015</w:t>
      </w:r>
      <w:r w:rsidR="006C4D71" w:rsidRPr="00F32485">
        <w:rPr>
          <w:rFonts w:ascii="Times New Roman" w:eastAsia="Times New Roman" w:hAnsi="Times New Roman"/>
          <w:sz w:val="28"/>
          <w:szCs w:val="28"/>
          <w:lang w:val="en-US" w:eastAsia="ru-RU"/>
        </w:rPr>
        <w:t xml:space="preserve"> </w:t>
      </w:r>
      <w:r w:rsidRPr="00F32485">
        <w:rPr>
          <w:rFonts w:ascii="Times New Roman" w:eastAsia="Times New Roman" w:hAnsi="Times New Roman"/>
          <w:sz w:val="28"/>
          <w:szCs w:val="28"/>
          <w:lang w:val="en-US" w:eastAsia="ru-RU"/>
        </w:rPr>
        <w:t>in connection with f</w:t>
      </w:r>
      <w:r w:rsidR="006C4D71">
        <w:rPr>
          <w:rFonts w:ascii="Times New Roman" w:eastAsia="Times New Roman" w:hAnsi="Times New Roman"/>
          <w:sz w:val="28"/>
          <w:szCs w:val="28"/>
          <w:lang w:val="en-US" w:eastAsia="ru-RU"/>
        </w:rPr>
        <w:t>inancing of company’s investment projects.</w:t>
      </w:r>
    </w:p>
    <w:p w:rsidR="00F32485" w:rsidRPr="00F32485" w:rsidRDefault="00E65762" w:rsidP="00F32485">
      <w:pPr>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The indicator </w:t>
      </w:r>
      <w:r w:rsidRPr="00E65762">
        <w:rPr>
          <w:rFonts w:ascii="Times New Roman" w:eastAsia="Times New Roman" w:hAnsi="Times New Roman"/>
          <w:b/>
          <w:sz w:val="28"/>
          <w:szCs w:val="28"/>
          <w:lang w:val="en-US" w:eastAsia="ru-RU"/>
        </w:rPr>
        <w:t>Interest coverage</w:t>
      </w:r>
      <w:r w:rsidR="00F32485" w:rsidRPr="00F32485">
        <w:rPr>
          <w:rFonts w:ascii="Times New Roman" w:eastAsia="Times New Roman" w:hAnsi="Times New Roman"/>
          <w:sz w:val="28"/>
          <w:szCs w:val="28"/>
          <w:lang w:val="en-US" w:eastAsia="ru-RU"/>
        </w:rPr>
        <w:t xml:space="preserve"> for the</w:t>
      </w:r>
      <w:r>
        <w:rPr>
          <w:rFonts w:ascii="Times New Roman" w:eastAsia="Times New Roman" w:hAnsi="Times New Roman"/>
          <w:sz w:val="28"/>
          <w:szCs w:val="28"/>
          <w:lang w:val="en-US" w:eastAsia="ru-RU"/>
        </w:rPr>
        <w:t xml:space="preserve"> reporting period amounted to 3,</w:t>
      </w:r>
      <w:r w:rsidR="00F32485" w:rsidRPr="00F32485">
        <w:rPr>
          <w:rFonts w:ascii="Times New Roman" w:eastAsia="Times New Roman" w:hAnsi="Times New Roman"/>
          <w:sz w:val="28"/>
          <w:szCs w:val="28"/>
          <w:lang w:val="en-US" w:eastAsia="ru-RU"/>
        </w:rPr>
        <w:t>0. The decline</w:t>
      </w:r>
      <w:r>
        <w:rPr>
          <w:rFonts w:ascii="Times New Roman" w:eastAsia="Times New Roman" w:hAnsi="Times New Roman"/>
          <w:sz w:val="28"/>
          <w:szCs w:val="28"/>
          <w:lang w:val="en-US" w:eastAsia="ru-RU"/>
        </w:rPr>
        <w:t xml:space="preserve"> of the indicator</w:t>
      </w:r>
      <w:r w:rsidR="00F32485" w:rsidRPr="00F32485">
        <w:rPr>
          <w:rFonts w:ascii="Times New Roman" w:eastAsia="Times New Roman" w:hAnsi="Times New Roman"/>
          <w:sz w:val="28"/>
          <w:szCs w:val="28"/>
          <w:lang w:val="en-US" w:eastAsia="ru-RU"/>
        </w:rPr>
        <w:t xml:space="preserve"> in comparison with the fact</w:t>
      </w:r>
      <w:r>
        <w:rPr>
          <w:rFonts w:ascii="Times New Roman" w:eastAsia="Times New Roman" w:hAnsi="Times New Roman"/>
          <w:sz w:val="28"/>
          <w:szCs w:val="28"/>
          <w:lang w:val="en-US" w:eastAsia="ru-RU"/>
        </w:rPr>
        <w:t xml:space="preserve"> of</w:t>
      </w:r>
      <w:r w:rsidR="00F32485" w:rsidRPr="00F32485">
        <w:rPr>
          <w:rFonts w:ascii="Times New Roman" w:eastAsia="Times New Roman" w:hAnsi="Times New Roman"/>
          <w:sz w:val="28"/>
          <w:szCs w:val="28"/>
          <w:lang w:val="en-US" w:eastAsia="ru-RU"/>
        </w:rPr>
        <w:t xml:space="preserve"> 2013</w:t>
      </w:r>
      <w:r>
        <w:rPr>
          <w:rFonts w:ascii="Times New Roman" w:eastAsia="Times New Roman" w:hAnsi="Times New Roman"/>
          <w:sz w:val="28"/>
          <w:szCs w:val="28"/>
          <w:lang w:val="en-US" w:eastAsia="ru-RU"/>
        </w:rPr>
        <w:t xml:space="preserve"> (3,</w:t>
      </w:r>
      <w:r w:rsidR="00F32485" w:rsidRPr="00F32485">
        <w:rPr>
          <w:rFonts w:ascii="Times New Roman" w:eastAsia="Times New Roman" w:hAnsi="Times New Roman"/>
          <w:sz w:val="28"/>
          <w:szCs w:val="28"/>
          <w:lang w:val="en-US" w:eastAsia="ru-RU"/>
        </w:rPr>
        <w:t>85)</w:t>
      </w:r>
      <w:r>
        <w:rPr>
          <w:rFonts w:ascii="Times New Roman" w:eastAsia="Times New Roman" w:hAnsi="Times New Roman"/>
          <w:sz w:val="28"/>
          <w:szCs w:val="28"/>
          <w:lang w:val="en-US" w:eastAsia="ru-RU"/>
        </w:rPr>
        <w:t xml:space="preserve"> was</w:t>
      </w:r>
      <w:r w:rsidR="00F32485" w:rsidRPr="00F32485">
        <w:rPr>
          <w:rFonts w:ascii="Times New Roman" w:eastAsia="Times New Roman" w:hAnsi="Times New Roman"/>
          <w:sz w:val="28"/>
          <w:szCs w:val="28"/>
          <w:lang w:val="en-US" w:eastAsia="ru-RU"/>
        </w:rPr>
        <w:t xml:space="preserve"> due to the </w:t>
      </w:r>
      <w:r>
        <w:rPr>
          <w:rFonts w:ascii="Times New Roman" w:eastAsia="Times New Roman" w:hAnsi="Times New Roman"/>
          <w:sz w:val="28"/>
          <w:szCs w:val="28"/>
          <w:lang w:val="en-US" w:eastAsia="ru-RU"/>
        </w:rPr>
        <w:t>receiving a l</w:t>
      </w:r>
      <w:r w:rsidR="00F32485" w:rsidRPr="00F32485">
        <w:rPr>
          <w:rFonts w:ascii="Times New Roman" w:eastAsia="Times New Roman" w:hAnsi="Times New Roman"/>
          <w:sz w:val="28"/>
          <w:szCs w:val="28"/>
          <w:lang w:val="en-US" w:eastAsia="ru-RU"/>
        </w:rPr>
        <w:t xml:space="preserve">oan for the acquisition of Ekibastuz GRES-1, respectively, an increase in financing costs. </w:t>
      </w:r>
      <w:r w:rsidR="00C446B6">
        <w:rPr>
          <w:rFonts w:ascii="Times New Roman" w:eastAsia="Times New Roman" w:hAnsi="Times New Roman"/>
          <w:sz w:val="28"/>
          <w:szCs w:val="28"/>
          <w:lang w:val="en-US" w:eastAsia="ru-RU"/>
        </w:rPr>
        <w:t>Improvement of the indicator in</w:t>
      </w:r>
      <w:r w:rsidR="00F32485" w:rsidRPr="00F32485">
        <w:rPr>
          <w:rFonts w:ascii="Times New Roman" w:eastAsia="Times New Roman" w:hAnsi="Times New Roman"/>
          <w:sz w:val="28"/>
          <w:szCs w:val="28"/>
          <w:lang w:val="en-US" w:eastAsia="ru-RU"/>
        </w:rPr>
        <w:t xml:space="preserve"> connection with</w:t>
      </w:r>
      <w:r w:rsidR="00C446B6">
        <w:rPr>
          <w:rFonts w:ascii="Times New Roman" w:eastAsia="Times New Roman" w:hAnsi="Times New Roman"/>
          <w:sz w:val="28"/>
          <w:szCs w:val="28"/>
          <w:lang w:val="en-US" w:eastAsia="ru-RU"/>
        </w:rPr>
        <w:t xml:space="preserve"> the growth in operating profit is planned for 2015-2016</w:t>
      </w:r>
    </w:p>
    <w:p w:rsidR="00F32485" w:rsidRDefault="00C446B6" w:rsidP="00F32485">
      <w:pPr>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lastRenderedPageBreak/>
        <w:t xml:space="preserve">Indicator </w:t>
      </w:r>
      <w:r w:rsidRPr="00075CE3">
        <w:rPr>
          <w:rFonts w:ascii="Times New Roman" w:eastAsia="Times New Roman" w:hAnsi="Times New Roman"/>
          <w:b/>
          <w:sz w:val="28"/>
          <w:szCs w:val="28"/>
          <w:lang w:val="en-US" w:eastAsia="ru-RU"/>
        </w:rPr>
        <w:t>Current liquidity</w:t>
      </w:r>
      <w:r>
        <w:rPr>
          <w:rFonts w:ascii="Times New Roman" w:eastAsia="Times New Roman" w:hAnsi="Times New Roman"/>
          <w:sz w:val="28"/>
          <w:szCs w:val="28"/>
          <w:lang w:val="en-US" w:eastAsia="ru-RU"/>
        </w:rPr>
        <w:t xml:space="preserve"> amounted to 1,</w:t>
      </w:r>
      <w:r w:rsidR="00F32485" w:rsidRPr="00F32485">
        <w:rPr>
          <w:rFonts w:ascii="Times New Roman" w:eastAsia="Times New Roman" w:hAnsi="Times New Roman"/>
          <w:sz w:val="28"/>
          <w:szCs w:val="28"/>
          <w:lang w:val="en-US" w:eastAsia="ru-RU"/>
        </w:rPr>
        <w:t xml:space="preserve">39 </w:t>
      </w:r>
      <w:r>
        <w:rPr>
          <w:rFonts w:ascii="Times New Roman" w:eastAsia="Times New Roman" w:hAnsi="Times New Roman"/>
          <w:sz w:val="28"/>
          <w:szCs w:val="28"/>
          <w:lang w:val="en-US" w:eastAsia="ru-RU"/>
        </w:rPr>
        <w:t>, which is within the</w:t>
      </w:r>
      <w:r w:rsidR="00F32485" w:rsidRPr="00F32485">
        <w:rPr>
          <w:rFonts w:ascii="Times New Roman" w:eastAsia="Times New Roman" w:hAnsi="Times New Roman"/>
          <w:sz w:val="28"/>
          <w:szCs w:val="28"/>
          <w:lang w:val="en-US" w:eastAsia="ru-RU"/>
        </w:rPr>
        <w:t xml:space="preserve"> established </w:t>
      </w:r>
      <w:r>
        <w:rPr>
          <w:rFonts w:ascii="Times New Roman" w:eastAsia="Times New Roman" w:hAnsi="Times New Roman"/>
          <w:sz w:val="28"/>
          <w:szCs w:val="28"/>
          <w:lang w:val="en-US" w:eastAsia="ru-RU"/>
        </w:rPr>
        <w:t xml:space="preserve">covenant. </w:t>
      </w:r>
      <w:r w:rsidR="00F32485" w:rsidRPr="00F32485">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not less than</w:t>
      </w:r>
      <w:r w:rsidR="00F32485" w:rsidRPr="00F32485">
        <w:rPr>
          <w:rFonts w:ascii="Times New Roman" w:eastAsia="Times New Roman" w:hAnsi="Times New Roman"/>
          <w:sz w:val="28"/>
          <w:szCs w:val="28"/>
          <w:lang w:val="en-US" w:eastAsia="ru-RU"/>
        </w:rPr>
        <w:t xml:space="preserve"> 1). </w:t>
      </w:r>
      <w:r>
        <w:rPr>
          <w:rFonts w:ascii="Times New Roman" w:eastAsia="Times New Roman" w:hAnsi="Times New Roman"/>
          <w:sz w:val="28"/>
          <w:szCs w:val="28"/>
          <w:lang w:val="en-US" w:eastAsia="ru-RU"/>
        </w:rPr>
        <w:t>F</w:t>
      </w:r>
      <w:r w:rsidR="00F32485" w:rsidRPr="00F32485">
        <w:rPr>
          <w:rFonts w:ascii="Times New Roman" w:eastAsia="Times New Roman" w:hAnsi="Times New Roman"/>
          <w:sz w:val="28"/>
          <w:szCs w:val="28"/>
          <w:lang w:val="en-US" w:eastAsia="ru-RU"/>
        </w:rPr>
        <w:t>urthe</w:t>
      </w:r>
      <w:r>
        <w:rPr>
          <w:rFonts w:ascii="Times New Roman" w:eastAsia="Times New Roman" w:hAnsi="Times New Roman"/>
          <w:sz w:val="28"/>
          <w:szCs w:val="28"/>
          <w:lang w:val="en-US" w:eastAsia="ru-RU"/>
        </w:rPr>
        <w:t xml:space="preserve">r improvement of this indicator is planned in </w:t>
      </w:r>
      <w:r w:rsidRPr="00F32485">
        <w:rPr>
          <w:rFonts w:ascii="Times New Roman" w:eastAsia="Times New Roman" w:hAnsi="Times New Roman"/>
          <w:sz w:val="28"/>
          <w:szCs w:val="28"/>
          <w:lang w:val="en-US" w:eastAsia="ru-RU"/>
        </w:rPr>
        <w:t xml:space="preserve">the dynamics </w:t>
      </w:r>
      <w:r>
        <w:rPr>
          <w:rFonts w:ascii="Times New Roman" w:eastAsia="Times New Roman" w:hAnsi="Times New Roman"/>
          <w:sz w:val="28"/>
          <w:szCs w:val="28"/>
          <w:lang w:val="en-US" w:eastAsia="ru-RU"/>
        </w:rPr>
        <w:t xml:space="preserve">until </w:t>
      </w:r>
      <w:r w:rsidRPr="00F32485">
        <w:rPr>
          <w:rFonts w:ascii="Times New Roman" w:eastAsia="Times New Roman" w:hAnsi="Times New Roman"/>
          <w:sz w:val="28"/>
          <w:szCs w:val="28"/>
          <w:lang w:val="en-US" w:eastAsia="ru-RU"/>
        </w:rPr>
        <w:t>2016</w:t>
      </w:r>
    </w:p>
    <w:tbl>
      <w:tblPr>
        <w:tblW w:w="9072" w:type="dxa"/>
        <w:tblInd w:w="108" w:type="dxa"/>
        <w:tblLook w:val="04A0"/>
      </w:tblPr>
      <w:tblGrid>
        <w:gridCol w:w="2868"/>
        <w:gridCol w:w="1160"/>
        <w:gridCol w:w="1445"/>
        <w:gridCol w:w="1160"/>
        <w:gridCol w:w="1423"/>
        <w:gridCol w:w="1016"/>
      </w:tblGrid>
      <w:tr w:rsidR="00075CE3" w:rsidRPr="00A83818" w:rsidTr="00075CE3">
        <w:trPr>
          <w:trHeight w:val="330"/>
        </w:trPr>
        <w:tc>
          <w:tcPr>
            <w:tcW w:w="2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 xml:space="preserve">Description </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b/>
                <w:bCs/>
                <w:color w:val="000000"/>
                <w:lang w:eastAsia="ru-RU"/>
              </w:rPr>
            </w:pPr>
            <w:r w:rsidRPr="00A83818">
              <w:rPr>
                <w:rFonts w:ascii="Times New Roman" w:eastAsia="Times New Roman" w:hAnsi="Times New Roman"/>
                <w:b/>
                <w:bCs/>
                <w:color w:val="000000"/>
                <w:lang w:eastAsia="ru-RU"/>
              </w:rPr>
              <w:t>2012</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b/>
                <w:bCs/>
                <w:color w:val="000000"/>
                <w:lang w:eastAsia="ru-RU"/>
              </w:rPr>
            </w:pPr>
            <w:r w:rsidRPr="00A83818">
              <w:rPr>
                <w:rFonts w:ascii="Times New Roman" w:eastAsia="Times New Roman" w:hAnsi="Times New Roman"/>
                <w:b/>
                <w:bCs/>
                <w:color w:val="000000"/>
                <w:lang w:eastAsia="ru-RU"/>
              </w:rPr>
              <w:t>2013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b/>
                <w:bCs/>
                <w:color w:val="000000"/>
                <w:lang w:eastAsia="ru-RU"/>
              </w:rPr>
            </w:pPr>
            <w:r w:rsidRPr="00A83818">
              <w:rPr>
                <w:rFonts w:ascii="Times New Roman" w:eastAsia="Times New Roman" w:hAnsi="Times New Roman"/>
                <w:b/>
                <w:bCs/>
                <w:color w:val="000000"/>
                <w:lang w:eastAsia="ru-RU"/>
              </w:rPr>
              <w:t>2014</w:t>
            </w:r>
          </w:p>
        </w:tc>
        <w:tc>
          <w:tcPr>
            <w:tcW w:w="1423" w:type="dxa"/>
            <w:tcBorders>
              <w:top w:val="single" w:sz="8" w:space="0" w:color="auto"/>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b/>
                <w:bCs/>
                <w:color w:val="000000"/>
                <w:lang w:eastAsia="ru-RU"/>
              </w:rPr>
            </w:pPr>
            <w:r w:rsidRPr="00A83818">
              <w:rPr>
                <w:rFonts w:ascii="Times New Roman" w:eastAsia="Times New Roman" w:hAnsi="Times New Roman"/>
                <w:b/>
                <w:bCs/>
                <w:color w:val="000000"/>
                <w:lang w:eastAsia="ru-RU"/>
              </w:rPr>
              <w:t>2015</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b/>
                <w:bCs/>
                <w:color w:val="000000"/>
                <w:lang w:eastAsia="ru-RU"/>
              </w:rPr>
            </w:pPr>
            <w:r w:rsidRPr="00A83818">
              <w:rPr>
                <w:rFonts w:ascii="Times New Roman" w:eastAsia="Times New Roman" w:hAnsi="Times New Roman"/>
                <w:b/>
                <w:bCs/>
                <w:color w:val="000000"/>
                <w:lang w:eastAsia="ru-RU"/>
              </w:rPr>
              <w:t>2016</w:t>
            </w:r>
          </w:p>
        </w:tc>
      </w:tr>
      <w:tr w:rsidR="00075CE3" w:rsidRPr="00A83818" w:rsidTr="00075CE3">
        <w:trPr>
          <w:trHeight w:val="330"/>
        </w:trPr>
        <w:tc>
          <w:tcPr>
            <w:tcW w:w="2868" w:type="dxa"/>
            <w:vMerge/>
            <w:tcBorders>
              <w:top w:val="single" w:sz="8" w:space="0" w:color="auto"/>
              <w:left w:val="single" w:sz="8" w:space="0" w:color="auto"/>
              <w:bottom w:val="single" w:sz="8" w:space="0" w:color="000000"/>
              <w:right w:val="single" w:sz="8" w:space="0" w:color="auto"/>
            </w:tcBorders>
            <w:vAlign w:val="center"/>
            <w:hideMark/>
          </w:tcPr>
          <w:p w:rsidR="00075CE3" w:rsidRPr="00A83818" w:rsidRDefault="00075CE3" w:rsidP="00987B54">
            <w:pPr>
              <w:spacing w:after="0" w:line="240" w:lineRule="auto"/>
              <w:rPr>
                <w:rFonts w:ascii="Times New Roman" w:eastAsia="Times New Roman" w:hAnsi="Times New Roman"/>
                <w:b/>
                <w:bCs/>
                <w:color w:val="000000"/>
                <w:lang w:eastAsia="ru-RU"/>
              </w:rPr>
            </w:pPr>
          </w:p>
        </w:tc>
        <w:tc>
          <w:tcPr>
            <w:tcW w:w="1160" w:type="dxa"/>
            <w:tcBorders>
              <w:top w:val="nil"/>
              <w:left w:val="nil"/>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1445" w:type="dxa"/>
            <w:tcBorders>
              <w:top w:val="nil"/>
              <w:left w:val="nil"/>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1160" w:type="dxa"/>
            <w:tcBorders>
              <w:top w:val="nil"/>
              <w:left w:val="nil"/>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actual</w:t>
            </w:r>
          </w:p>
        </w:tc>
        <w:tc>
          <w:tcPr>
            <w:tcW w:w="1423" w:type="dxa"/>
            <w:tcBorders>
              <w:top w:val="nil"/>
              <w:left w:val="nil"/>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forecast</w:t>
            </w:r>
          </w:p>
        </w:tc>
        <w:tc>
          <w:tcPr>
            <w:tcW w:w="1016" w:type="dxa"/>
            <w:tcBorders>
              <w:top w:val="nil"/>
              <w:left w:val="nil"/>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b/>
                <w:bCs/>
                <w:color w:val="000000"/>
                <w:lang w:val="en-US" w:eastAsia="ru-RU"/>
              </w:rPr>
            </w:pPr>
            <w:r>
              <w:rPr>
                <w:rFonts w:ascii="Times New Roman" w:eastAsia="Times New Roman" w:hAnsi="Times New Roman"/>
                <w:b/>
                <w:bCs/>
                <w:color w:val="000000"/>
                <w:lang w:val="en-US" w:eastAsia="ru-RU"/>
              </w:rPr>
              <w:t>forecast</w:t>
            </w:r>
          </w:p>
        </w:tc>
      </w:tr>
      <w:tr w:rsidR="00075CE3" w:rsidRPr="00A83818" w:rsidTr="00075CE3">
        <w:trPr>
          <w:trHeight w:val="330"/>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val="en-US" w:eastAsia="ru-RU"/>
              </w:rPr>
              <w:t>Debt</w:t>
            </w:r>
            <w:r w:rsidRPr="00A83818">
              <w:rPr>
                <w:rFonts w:ascii="Times New Roman" w:eastAsia="Times New Roman" w:hAnsi="Times New Roman"/>
                <w:color w:val="000000"/>
                <w:lang w:eastAsia="ru-RU"/>
              </w:rPr>
              <w:t>/EBITDA</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4,43</w:t>
            </w:r>
          </w:p>
        </w:tc>
        <w:tc>
          <w:tcPr>
            <w:tcW w:w="1445"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5,50</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4,52</w:t>
            </w:r>
          </w:p>
        </w:tc>
        <w:tc>
          <w:tcPr>
            <w:tcW w:w="1423"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4,88</w:t>
            </w:r>
          </w:p>
        </w:tc>
        <w:tc>
          <w:tcPr>
            <w:tcW w:w="1016"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5,66</w:t>
            </w:r>
          </w:p>
        </w:tc>
      </w:tr>
      <w:tr w:rsidR="00075CE3" w:rsidRPr="00A83818" w:rsidTr="00075CE3">
        <w:trPr>
          <w:trHeight w:val="957"/>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75CE3" w:rsidRPr="00075CE3" w:rsidRDefault="00075CE3" w:rsidP="00075CE3">
            <w:pPr>
              <w:spacing w:after="0" w:line="240" w:lineRule="auto"/>
              <w:jc w:val="center"/>
              <w:rPr>
                <w:rFonts w:ascii="Times New Roman" w:eastAsia="Times New Roman" w:hAnsi="Times New Roman"/>
                <w:color w:val="000000"/>
                <w:lang w:val="en-US" w:eastAsia="ru-RU"/>
              </w:rPr>
            </w:pPr>
            <w:r w:rsidRPr="00075CE3">
              <w:rPr>
                <w:rFonts w:ascii="Times New Roman" w:eastAsia="Times New Roman" w:hAnsi="Times New Roman"/>
                <w:color w:val="000000"/>
                <w:lang w:val="en-US" w:eastAsia="ru-RU"/>
              </w:rPr>
              <w:t>EBIT/</w:t>
            </w:r>
            <w:r>
              <w:rPr>
                <w:rFonts w:ascii="Times New Roman" w:eastAsia="Times New Roman" w:hAnsi="Times New Roman"/>
                <w:color w:val="000000"/>
                <w:lang w:val="en-US" w:eastAsia="ru-RU"/>
              </w:rPr>
              <w:t>expenses on interest payments</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1,99</w:t>
            </w:r>
          </w:p>
        </w:tc>
        <w:tc>
          <w:tcPr>
            <w:tcW w:w="1445"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2,40</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1,86</w:t>
            </w:r>
          </w:p>
        </w:tc>
        <w:tc>
          <w:tcPr>
            <w:tcW w:w="1423"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2,57</w:t>
            </w:r>
          </w:p>
        </w:tc>
        <w:tc>
          <w:tcPr>
            <w:tcW w:w="1016"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3,35</w:t>
            </w:r>
          </w:p>
        </w:tc>
      </w:tr>
      <w:tr w:rsidR="00075CE3" w:rsidRPr="00A83818" w:rsidTr="00075CE3">
        <w:trPr>
          <w:trHeight w:val="330"/>
        </w:trPr>
        <w:tc>
          <w:tcPr>
            <w:tcW w:w="2868" w:type="dxa"/>
            <w:tcBorders>
              <w:top w:val="nil"/>
              <w:left w:val="single" w:sz="8" w:space="0" w:color="auto"/>
              <w:bottom w:val="single" w:sz="8" w:space="0" w:color="auto"/>
              <w:right w:val="single" w:sz="8" w:space="0" w:color="auto"/>
            </w:tcBorders>
            <w:shd w:val="clear" w:color="auto" w:fill="auto"/>
            <w:vAlign w:val="center"/>
            <w:hideMark/>
          </w:tcPr>
          <w:p w:rsidR="00075CE3" w:rsidRPr="00075CE3" w:rsidRDefault="00075CE3" w:rsidP="00987B54">
            <w:pPr>
              <w:spacing w:after="0" w:line="240" w:lineRule="auto"/>
              <w:jc w:val="center"/>
              <w:rPr>
                <w:rFonts w:ascii="Times New Roman" w:eastAsia="Times New Roman" w:hAnsi="Times New Roman"/>
                <w:color w:val="000000"/>
                <w:lang w:val="en-US" w:eastAsia="ru-RU"/>
              </w:rPr>
            </w:pPr>
            <w:r>
              <w:rPr>
                <w:rFonts w:ascii="Times New Roman" w:eastAsia="Times New Roman" w:hAnsi="Times New Roman"/>
                <w:color w:val="000000"/>
                <w:lang w:val="en-US" w:eastAsia="ru-RU"/>
              </w:rPr>
              <w:t>Current liquidity</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2,31</w:t>
            </w:r>
          </w:p>
        </w:tc>
        <w:tc>
          <w:tcPr>
            <w:tcW w:w="1445"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2,01</w:t>
            </w:r>
          </w:p>
        </w:tc>
        <w:tc>
          <w:tcPr>
            <w:tcW w:w="1160"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1,4</w:t>
            </w:r>
          </w:p>
        </w:tc>
        <w:tc>
          <w:tcPr>
            <w:tcW w:w="1423"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1,35</w:t>
            </w:r>
          </w:p>
        </w:tc>
        <w:tc>
          <w:tcPr>
            <w:tcW w:w="1016" w:type="dxa"/>
            <w:tcBorders>
              <w:top w:val="nil"/>
              <w:left w:val="nil"/>
              <w:bottom w:val="single" w:sz="8" w:space="0" w:color="auto"/>
              <w:right w:val="single" w:sz="8" w:space="0" w:color="auto"/>
            </w:tcBorders>
            <w:shd w:val="clear" w:color="auto" w:fill="auto"/>
            <w:vAlign w:val="center"/>
            <w:hideMark/>
          </w:tcPr>
          <w:p w:rsidR="00075CE3" w:rsidRPr="00A83818" w:rsidRDefault="00075CE3" w:rsidP="00987B54">
            <w:pPr>
              <w:spacing w:after="0" w:line="240" w:lineRule="auto"/>
              <w:jc w:val="center"/>
              <w:rPr>
                <w:rFonts w:ascii="Times New Roman" w:eastAsia="Times New Roman" w:hAnsi="Times New Roman"/>
                <w:color w:val="000000"/>
                <w:lang w:eastAsia="ru-RU"/>
              </w:rPr>
            </w:pPr>
            <w:r w:rsidRPr="00A83818">
              <w:rPr>
                <w:rFonts w:ascii="Times New Roman" w:eastAsia="Times New Roman" w:hAnsi="Times New Roman"/>
                <w:color w:val="000000"/>
                <w:lang w:eastAsia="ru-RU"/>
              </w:rPr>
              <w:t>1,72</w:t>
            </w:r>
          </w:p>
        </w:tc>
      </w:tr>
    </w:tbl>
    <w:p w:rsidR="00075CE3" w:rsidRPr="0029044B" w:rsidRDefault="00075CE3" w:rsidP="00F32485">
      <w:pPr>
        <w:jc w:val="both"/>
        <w:rPr>
          <w:rFonts w:ascii="Times New Roman" w:eastAsia="Times New Roman" w:hAnsi="Times New Roman"/>
          <w:sz w:val="28"/>
          <w:szCs w:val="28"/>
          <w:lang w:val="en-US" w:eastAsia="ru-RU"/>
        </w:rPr>
      </w:pPr>
    </w:p>
    <w:sectPr w:rsidR="00075CE3" w:rsidRPr="0029044B" w:rsidSect="00A65DAD">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D5A" w:rsidRDefault="00C82D5A" w:rsidP="00B17953">
      <w:pPr>
        <w:spacing w:after="0" w:line="240" w:lineRule="auto"/>
      </w:pPr>
      <w:r>
        <w:separator/>
      </w:r>
    </w:p>
  </w:endnote>
  <w:endnote w:type="continuationSeparator" w:id="0">
    <w:p w:rsidR="00C82D5A" w:rsidRDefault="00C82D5A" w:rsidP="00B17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D5A" w:rsidRDefault="00C82D5A" w:rsidP="00B17953">
      <w:pPr>
        <w:spacing w:after="0" w:line="240" w:lineRule="auto"/>
      </w:pPr>
      <w:r>
        <w:separator/>
      </w:r>
    </w:p>
  </w:footnote>
  <w:footnote w:type="continuationSeparator" w:id="0">
    <w:p w:rsidR="00C82D5A" w:rsidRDefault="00C82D5A" w:rsidP="00B17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4D8F"/>
    <w:multiLevelType w:val="multilevel"/>
    <w:tmpl w:val="BEBA688C"/>
    <w:lvl w:ilvl="0">
      <w:start w:val="1"/>
      <w:numFmt w:val="decimal"/>
      <w:lvlText w:val="%1)"/>
      <w:lvlJc w:val="left"/>
      <w:pPr>
        <w:ind w:left="1211"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nsid w:val="3AB745D5"/>
    <w:multiLevelType w:val="hybridMultilevel"/>
    <w:tmpl w:val="5BF8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3B60EA"/>
    <w:multiLevelType w:val="multilevel"/>
    <w:tmpl w:val="70A86B60"/>
    <w:lvl w:ilvl="0">
      <w:start w:val="1"/>
      <w:numFmt w:val="decimal"/>
      <w:pStyle w:val="1"/>
      <w:lvlText w:val="%1"/>
      <w:lvlJc w:val="left"/>
      <w:pPr>
        <w:tabs>
          <w:tab w:val="num" w:pos="0"/>
        </w:tabs>
        <w:ind w:left="0" w:hanging="964"/>
      </w:pPr>
    </w:lvl>
    <w:lvl w:ilvl="1">
      <w:start w:val="1"/>
      <w:numFmt w:val="decimal"/>
      <w:pStyle w:val="2"/>
      <w:lvlText w:val="%1.%2"/>
      <w:lvlJc w:val="left"/>
      <w:pPr>
        <w:tabs>
          <w:tab w:val="num" w:pos="0"/>
        </w:tabs>
        <w:ind w:left="0" w:hanging="964"/>
      </w:pPr>
    </w:lvl>
    <w:lvl w:ilvl="2">
      <w:start w:val="1"/>
      <w:numFmt w:val="decimal"/>
      <w:pStyle w:val="3"/>
      <w:lvlText w:val="%1.%2.%3"/>
      <w:lvlJc w:val="left"/>
      <w:pPr>
        <w:tabs>
          <w:tab w:val="num" w:pos="0"/>
        </w:tabs>
        <w:ind w:left="0" w:hanging="964"/>
      </w:pPr>
    </w:lvl>
    <w:lvl w:ilvl="3">
      <w:start w:val="1"/>
      <w:numFmt w:val="decimal"/>
      <w:pStyle w:val="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F00021E"/>
    <w:multiLevelType w:val="hybridMultilevel"/>
    <w:tmpl w:val="721AE25C"/>
    <w:lvl w:ilvl="0" w:tplc="8C7040B2">
      <w:start w:val="1"/>
      <w:numFmt w:val="decimal"/>
      <w:lvlText w:val="%1."/>
      <w:lvlJc w:val="left"/>
      <w:pPr>
        <w:ind w:left="720" w:hanging="360"/>
      </w:pPr>
      <w:rPr>
        <w:rFonts w:ascii="Calibri" w:eastAsia="Times New Roman"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3D65BA"/>
    <w:multiLevelType w:val="hybridMultilevel"/>
    <w:tmpl w:val="7E505CE8"/>
    <w:lvl w:ilvl="0" w:tplc="57C0F4F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0676C7"/>
    <w:multiLevelType w:val="hybridMultilevel"/>
    <w:tmpl w:val="292E53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D2D"/>
    <w:rsid w:val="00027020"/>
    <w:rsid w:val="00030675"/>
    <w:rsid w:val="00075CE3"/>
    <w:rsid w:val="00076001"/>
    <w:rsid w:val="00092670"/>
    <w:rsid w:val="000B796E"/>
    <w:rsid w:val="000C1384"/>
    <w:rsid w:val="000C5266"/>
    <w:rsid w:val="000C5278"/>
    <w:rsid w:val="000D18AE"/>
    <w:rsid w:val="000D22F9"/>
    <w:rsid w:val="000D6F04"/>
    <w:rsid w:val="000F09E4"/>
    <w:rsid w:val="00112533"/>
    <w:rsid w:val="00121ED2"/>
    <w:rsid w:val="001477B8"/>
    <w:rsid w:val="00150627"/>
    <w:rsid w:val="00161FF3"/>
    <w:rsid w:val="001802E1"/>
    <w:rsid w:val="0018077D"/>
    <w:rsid w:val="00180E7F"/>
    <w:rsid w:val="00192760"/>
    <w:rsid w:val="00196C98"/>
    <w:rsid w:val="001972D6"/>
    <w:rsid w:val="00197CA6"/>
    <w:rsid w:val="001A3201"/>
    <w:rsid w:val="001B3739"/>
    <w:rsid w:val="001B60DF"/>
    <w:rsid w:val="001C355E"/>
    <w:rsid w:val="001C492F"/>
    <w:rsid w:val="001F0FBA"/>
    <w:rsid w:val="001F173D"/>
    <w:rsid w:val="00207BF7"/>
    <w:rsid w:val="0021221C"/>
    <w:rsid w:val="00223A50"/>
    <w:rsid w:val="00240DFD"/>
    <w:rsid w:val="00242D4B"/>
    <w:rsid w:val="00251597"/>
    <w:rsid w:val="00255D5D"/>
    <w:rsid w:val="00261058"/>
    <w:rsid w:val="00273700"/>
    <w:rsid w:val="002757FA"/>
    <w:rsid w:val="0028073E"/>
    <w:rsid w:val="00283C2A"/>
    <w:rsid w:val="0028633E"/>
    <w:rsid w:val="0029442C"/>
    <w:rsid w:val="002B4F8F"/>
    <w:rsid w:val="002C6D73"/>
    <w:rsid w:val="002C751C"/>
    <w:rsid w:val="002E5364"/>
    <w:rsid w:val="00303039"/>
    <w:rsid w:val="00313CC7"/>
    <w:rsid w:val="003455A6"/>
    <w:rsid w:val="003557BF"/>
    <w:rsid w:val="00356620"/>
    <w:rsid w:val="003701CB"/>
    <w:rsid w:val="003706A9"/>
    <w:rsid w:val="0037246B"/>
    <w:rsid w:val="003935C7"/>
    <w:rsid w:val="003A4B25"/>
    <w:rsid w:val="003D2A5C"/>
    <w:rsid w:val="003D6A58"/>
    <w:rsid w:val="003E0A55"/>
    <w:rsid w:val="003E309E"/>
    <w:rsid w:val="00401FFE"/>
    <w:rsid w:val="0041133E"/>
    <w:rsid w:val="00427F67"/>
    <w:rsid w:val="00431F40"/>
    <w:rsid w:val="00434404"/>
    <w:rsid w:val="00437A43"/>
    <w:rsid w:val="00454A6C"/>
    <w:rsid w:val="00472D96"/>
    <w:rsid w:val="004804CF"/>
    <w:rsid w:val="004949B9"/>
    <w:rsid w:val="004A520C"/>
    <w:rsid w:val="004B28D5"/>
    <w:rsid w:val="004D30C4"/>
    <w:rsid w:val="004F0274"/>
    <w:rsid w:val="004F1411"/>
    <w:rsid w:val="004F31D2"/>
    <w:rsid w:val="0050538B"/>
    <w:rsid w:val="0055293A"/>
    <w:rsid w:val="00552D2D"/>
    <w:rsid w:val="005B3FFF"/>
    <w:rsid w:val="005C21E5"/>
    <w:rsid w:val="00601381"/>
    <w:rsid w:val="00602128"/>
    <w:rsid w:val="0061015F"/>
    <w:rsid w:val="0061420E"/>
    <w:rsid w:val="006279F7"/>
    <w:rsid w:val="006300F0"/>
    <w:rsid w:val="00673D1B"/>
    <w:rsid w:val="006762A5"/>
    <w:rsid w:val="00684E4A"/>
    <w:rsid w:val="006A72AB"/>
    <w:rsid w:val="006C4D71"/>
    <w:rsid w:val="006D009D"/>
    <w:rsid w:val="006D09DA"/>
    <w:rsid w:val="006D58BF"/>
    <w:rsid w:val="006D750F"/>
    <w:rsid w:val="006E5931"/>
    <w:rsid w:val="006F2FF0"/>
    <w:rsid w:val="006F6F16"/>
    <w:rsid w:val="0070565A"/>
    <w:rsid w:val="007203C3"/>
    <w:rsid w:val="00732F55"/>
    <w:rsid w:val="0074040A"/>
    <w:rsid w:val="00766C3A"/>
    <w:rsid w:val="00795923"/>
    <w:rsid w:val="007B15C7"/>
    <w:rsid w:val="007C00FB"/>
    <w:rsid w:val="007D55FB"/>
    <w:rsid w:val="007E5C0E"/>
    <w:rsid w:val="007F6FAB"/>
    <w:rsid w:val="008146A0"/>
    <w:rsid w:val="00826DA0"/>
    <w:rsid w:val="00831676"/>
    <w:rsid w:val="008357B9"/>
    <w:rsid w:val="0084010C"/>
    <w:rsid w:val="008472D0"/>
    <w:rsid w:val="008622FF"/>
    <w:rsid w:val="008661AF"/>
    <w:rsid w:val="00877CDD"/>
    <w:rsid w:val="00884979"/>
    <w:rsid w:val="008C1D59"/>
    <w:rsid w:val="008D0ACA"/>
    <w:rsid w:val="008D2894"/>
    <w:rsid w:val="008F337F"/>
    <w:rsid w:val="008F7752"/>
    <w:rsid w:val="009119A4"/>
    <w:rsid w:val="0091654B"/>
    <w:rsid w:val="00920E84"/>
    <w:rsid w:val="009424C1"/>
    <w:rsid w:val="009605CA"/>
    <w:rsid w:val="009751BE"/>
    <w:rsid w:val="009770FB"/>
    <w:rsid w:val="0098619F"/>
    <w:rsid w:val="00987D20"/>
    <w:rsid w:val="0099444E"/>
    <w:rsid w:val="00997292"/>
    <w:rsid w:val="00997F27"/>
    <w:rsid w:val="009A4871"/>
    <w:rsid w:val="009A6873"/>
    <w:rsid w:val="009D2C99"/>
    <w:rsid w:val="009E7206"/>
    <w:rsid w:val="009F01DC"/>
    <w:rsid w:val="009F4F44"/>
    <w:rsid w:val="009F564E"/>
    <w:rsid w:val="00A15832"/>
    <w:rsid w:val="00A304BA"/>
    <w:rsid w:val="00A51769"/>
    <w:rsid w:val="00A539CA"/>
    <w:rsid w:val="00A65DAD"/>
    <w:rsid w:val="00A729F1"/>
    <w:rsid w:val="00A83818"/>
    <w:rsid w:val="00A9311F"/>
    <w:rsid w:val="00A96B4C"/>
    <w:rsid w:val="00A9781A"/>
    <w:rsid w:val="00AA73DF"/>
    <w:rsid w:val="00AB39B3"/>
    <w:rsid w:val="00AB47F5"/>
    <w:rsid w:val="00AD1E72"/>
    <w:rsid w:val="00AD3C31"/>
    <w:rsid w:val="00AD6549"/>
    <w:rsid w:val="00AF5662"/>
    <w:rsid w:val="00B17953"/>
    <w:rsid w:val="00B213A5"/>
    <w:rsid w:val="00B231DA"/>
    <w:rsid w:val="00B34087"/>
    <w:rsid w:val="00B43B27"/>
    <w:rsid w:val="00B467F2"/>
    <w:rsid w:val="00B508D4"/>
    <w:rsid w:val="00B94C71"/>
    <w:rsid w:val="00BA51A3"/>
    <w:rsid w:val="00BA6E4F"/>
    <w:rsid w:val="00BC50BB"/>
    <w:rsid w:val="00BD2B19"/>
    <w:rsid w:val="00C14813"/>
    <w:rsid w:val="00C27581"/>
    <w:rsid w:val="00C3086C"/>
    <w:rsid w:val="00C4174B"/>
    <w:rsid w:val="00C4371B"/>
    <w:rsid w:val="00C446B6"/>
    <w:rsid w:val="00C52EEB"/>
    <w:rsid w:val="00C67007"/>
    <w:rsid w:val="00C76028"/>
    <w:rsid w:val="00C82D5A"/>
    <w:rsid w:val="00CA2099"/>
    <w:rsid w:val="00CB0D9B"/>
    <w:rsid w:val="00CC09E9"/>
    <w:rsid w:val="00CC284B"/>
    <w:rsid w:val="00CD1C11"/>
    <w:rsid w:val="00CF2C77"/>
    <w:rsid w:val="00D0123A"/>
    <w:rsid w:val="00D145BA"/>
    <w:rsid w:val="00D230FA"/>
    <w:rsid w:val="00D3384A"/>
    <w:rsid w:val="00D35D2D"/>
    <w:rsid w:val="00D36D84"/>
    <w:rsid w:val="00D457F2"/>
    <w:rsid w:val="00D55ADB"/>
    <w:rsid w:val="00D661AB"/>
    <w:rsid w:val="00D712EB"/>
    <w:rsid w:val="00D81BD2"/>
    <w:rsid w:val="00D913E4"/>
    <w:rsid w:val="00DA1D7E"/>
    <w:rsid w:val="00DA51D7"/>
    <w:rsid w:val="00DB3EDA"/>
    <w:rsid w:val="00DB6062"/>
    <w:rsid w:val="00DD5375"/>
    <w:rsid w:val="00DE5279"/>
    <w:rsid w:val="00E10D07"/>
    <w:rsid w:val="00E11D8A"/>
    <w:rsid w:val="00E212DF"/>
    <w:rsid w:val="00E45CD7"/>
    <w:rsid w:val="00E60FBC"/>
    <w:rsid w:val="00E65762"/>
    <w:rsid w:val="00E87FBC"/>
    <w:rsid w:val="00E93AD0"/>
    <w:rsid w:val="00EB7C71"/>
    <w:rsid w:val="00ED1095"/>
    <w:rsid w:val="00ED4C71"/>
    <w:rsid w:val="00ED56FC"/>
    <w:rsid w:val="00EE056B"/>
    <w:rsid w:val="00EE6AB8"/>
    <w:rsid w:val="00EF1755"/>
    <w:rsid w:val="00F04DA0"/>
    <w:rsid w:val="00F1140B"/>
    <w:rsid w:val="00F12CA5"/>
    <w:rsid w:val="00F22CCC"/>
    <w:rsid w:val="00F32485"/>
    <w:rsid w:val="00F448EC"/>
    <w:rsid w:val="00F50111"/>
    <w:rsid w:val="00F55803"/>
    <w:rsid w:val="00F72975"/>
    <w:rsid w:val="00F745FB"/>
    <w:rsid w:val="00F9634B"/>
    <w:rsid w:val="00F96D8F"/>
    <w:rsid w:val="00FB6E1F"/>
    <w:rsid w:val="00FC607A"/>
    <w:rsid w:val="00FD6525"/>
    <w:rsid w:val="00FE6FAE"/>
    <w:rsid w:val="00FF5E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A9"/>
    <w:pPr>
      <w:spacing w:after="200" w:line="276" w:lineRule="auto"/>
    </w:pPr>
    <w:rPr>
      <w:sz w:val="22"/>
      <w:szCs w:val="22"/>
      <w:lang w:eastAsia="en-US"/>
    </w:rPr>
  </w:style>
  <w:style w:type="paragraph" w:styleId="1">
    <w:name w:val="heading 1"/>
    <w:basedOn w:val="a"/>
    <w:link w:val="10"/>
    <w:uiPriority w:val="9"/>
    <w:qFormat/>
    <w:rsid w:val="0029442C"/>
    <w:pPr>
      <w:keepNext/>
      <w:pageBreakBefore/>
      <w:numPr>
        <w:numId w:val="4"/>
      </w:numPr>
      <w:spacing w:after="0" w:line="360" w:lineRule="exact"/>
      <w:outlineLvl w:val="0"/>
    </w:pPr>
    <w:rPr>
      <w:rFonts w:ascii="Times New Roman" w:hAnsi="Times New Roman"/>
      <w:b/>
      <w:bCs/>
      <w:kern w:val="36"/>
      <w:sz w:val="32"/>
      <w:szCs w:val="32"/>
      <w:lang/>
    </w:rPr>
  </w:style>
  <w:style w:type="paragraph" w:styleId="2">
    <w:name w:val="heading 2"/>
    <w:basedOn w:val="a"/>
    <w:link w:val="20"/>
    <w:uiPriority w:val="9"/>
    <w:semiHidden/>
    <w:unhideWhenUsed/>
    <w:qFormat/>
    <w:rsid w:val="0029442C"/>
    <w:pPr>
      <w:keepNext/>
      <w:numPr>
        <w:ilvl w:val="1"/>
        <w:numId w:val="4"/>
      </w:numPr>
      <w:spacing w:before="400" w:after="0" w:line="320" w:lineRule="exact"/>
      <w:outlineLvl w:val="1"/>
    </w:pPr>
    <w:rPr>
      <w:rFonts w:ascii="Times New Roman" w:hAnsi="Times New Roman"/>
      <w:b/>
      <w:bCs/>
      <w:sz w:val="28"/>
      <w:szCs w:val="28"/>
      <w:lang/>
    </w:rPr>
  </w:style>
  <w:style w:type="paragraph" w:styleId="3">
    <w:name w:val="heading 3"/>
    <w:basedOn w:val="a"/>
    <w:link w:val="30"/>
    <w:uiPriority w:val="9"/>
    <w:semiHidden/>
    <w:unhideWhenUsed/>
    <w:qFormat/>
    <w:rsid w:val="0029442C"/>
    <w:pPr>
      <w:keepNext/>
      <w:numPr>
        <w:ilvl w:val="2"/>
        <w:numId w:val="4"/>
      </w:numPr>
      <w:spacing w:before="400" w:after="0" w:line="280" w:lineRule="exact"/>
      <w:outlineLvl w:val="2"/>
    </w:pPr>
    <w:rPr>
      <w:rFonts w:ascii="Times New Roman" w:hAnsi="Times New Roman"/>
      <w:b/>
      <w:bCs/>
      <w:sz w:val="24"/>
      <w:szCs w:val="24"/>
      <w:lang/>
    </w:rPr>
  </w:style>
  <w:style w:type="paragraph" w:styleId="4">
    <w:name w:val="heading 4"/>
    <w:basedOn w:val="a"/>
    <w:link w:val="40"/>
    <w:uiPriority w:val="9"/>
    <w:semiHidden/>
    <w:unhideWhenUsed/>
    <w:qFormat/>
    <w:rsid w:val="0029442C"/>
    <w:pPr>
      <w:keepNext/>
      <w:numPr>
        <w:ilvl w:val="3"/>
        <w:numId w:val="4"/>
      </w:numPr>
      <w:spacing w:before="400" w:after="0" w:line="280" w:lineRule="exact"/>
      <w:outlineLvl w:val="3"/>
    </w:pPr>
    <w:rPr>
      <w:rFonts w:ascii="Times New Roman" w:hAnsi="Times New Roman"/>
      <w:b/>
      <w:bCs/>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FBA"/>
    <w:rPr>
      <w:rFonts w:ascii="Tms Rmn" w:eastAsia="Times New Roman" w:hAnsi="Tms Rm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96B4C"/>
    <w:pPr>
      <w:ind w:left="720"/>
      <w:contextualSpacing/>
    </w:pPr>
    <w:rPr>
      <w:rFonts w:eastAsia="Times New Roman"/>
      <w:lang/>
    </w:rPr>
  </w:style>
  <w:style w:type="character" w:customStyle="1" w:styleId="10">
    <w:name w:val="Заголовок 1 Знак"/>
    <w:link w:val="1"/>
    <w:uiPriority w:val="9"/>
    <w:rsid w:val="0029442C"/>
    <w:rPr>
      <w:rFonts w:ascii="Times New Roman" w:hAnsi="Times New Roman"/>
      <w:b/>
      <w:bCs/>
      <w:kern w:val="36"/>
      <w:sz w:val="32"/>
      <w:szCs w:val="32"/>
    </w:rPr>
  </w:style>
  <w:style w:type="character" w:customStyle="1" w:styleId="20">
    <w:name w:val="Заголовок 2 Знак"/>
    <w:link w:val="2"/>
    <w:uiPriority w:val="9"/>
    <w:semiHidden/>
    <w:rsid w:val="0029442C"/>
    <w:rPr>
      <w:rFonts w:ascii="Times New Roman" w:hAnsi="Times New Roman"/>
      <w:b/>
      <w:bCs/>
      <w:sz w:val="28"/>
      <w:szCs w:val="28"/>
    </w:rPr>
  </w:style>
  <w:style w:type="character" w:customStyle="1" w:styleId="30">
    <w:name w:val="Заголовок 3 Знак"/>
    <w:link w:val="3"/>
    <w:uiPriority w:val="9"/>
    <w:semiHidden/>
    <w:rsid w:val="0029442C"/>
    <w:rPr>
      <w:rFonts w:ascii="Times New Roman" w:hAnsi="Times New Roman"/>
      <w:b/>
      <w:bCs/>
      <w:sz w:val="24"/>
      <w:szCs w:val="24"/>
    </w:rPr>
  </w:style>
  <w:style w:type="character" w:customStyle="1" w:styleId="40">
    <w:name w:val="Заголовок 4 Знак"/>
    <w:link w:val="4"/>
    <w:uiPriority w:val="9"/>
    <w:semiHidden/>
    <w:rsid w:val="0029442C"/>
    <w:rPr>
      <w:rFonts w:ascii="Times New Roman" w:hAnsi="Times New Roman"/>
      <w:b/>
      <w:bCs/>
      <w:i/>
      <w:iCs/>
      <w:sz w:val="24"/>
      <w:szCs w:val="24"/>
    </w:rPr>
  </w:style>
  <w:style w:type="paragraph" w:styleId="a6">
    <w:name w:val="Body Text"/>
    <w:aliases w:val="body text,contents,Body Text Russian,Body Text x,bd"/>
    <w:basedOn w:val="a"/>
    <w:link w:val="a7"/>
    <w:qFormat/>
    <w:rsid w:val="002757FA"/>
    <w:pPr>
      <w:spacing w:before="130" w:after="130" w:line="240" w:lineRule="auto"/>
      <w:jc w:val="both"/>
    </w:pPr>
    <w:rPr>
      <w:rFonts w:ascii="Times New Roman" w:eastAsia="Times New Roman" w:hAnsi="Times New Roman"/>
      <w:szCs w:val="20"/>
      <w:lang w:val="en-US"/>
    </w:rPr>
  </w:style>
  <w:style w:type="character" w:customStyle="1" w:styleId="a7">
    <w:name w:val="Основной текст Знак"/>
    <w:aliases w:val="body text Знак,contents Знак,Body Text Russian Знак,Body Text x Знак,bd Знак"/>
    <w:link w:val="a6"/>
    <w:rsid w:val="002757FA"/>
    <w:rPr>
      <w:rFonts w:ascii="Times New Roman" w:eastAsia="Times New Roman" w:hAnsi="Times New Roman"/>
      <w:sz w:val="22"/>
      <w:lang w:val="en-US" w:eastAsia="en-US"/>
    </w:rPr>
  </w:style>
  <w:style w:type="character" w:customStyle="1" w:styleId="a5">
    <w:name w:val="Абзац списка Знак"/>
    <w:link w:val="a4"/>
    <w:uiPriority w:val="34"/>
    <w:rsid w:val="002757FA"/>
    <w:rPr>
      <w:rFonts w:eastAsia="Times New Roman"/>
      <w:sz w:val="22"/>
      <w:szCs w:val="22"/>
    </w:rPr>
  </w:style>
  <w:style w:type="paragraph" w:styleId="a8">
    <w:name w:val="header"/>
    <w:basedOn w:val="a"/>
    <w:link w:val="a9"/>
    <w:uiPriority w:val="99"/>
    <w:semiHidden/>
    <w:unhideWhenUsed/>
    <w:rsid w:val="00B17953"/>
    <w:pPr>
      <w:tabs>
        <w:tab w:val="center" w:pos="4677"/>
        <w:tab w:val="right" w:pos="9355"/>
      </w:tabs>
    </w:pPr>
  </w:style>
  <w:style w:type="character" w:customStyle="1" w:styleId="a9">
    <w:name w:val="Верхний колонтитул Знак"/>
    <w:basedOn w:val="a0"/>
    <w:link w:val="a8"/>
    <w:uiPriority w:val="99"/>
    <w:semiHidden/>
    <w:rsid w:val="00B17953"/>
    <w:rPr>
      <w:sz w:val="22"/>
      <w:szCs w:val="22"/>
      <w:lang w:eastAsia="en-US"/>
    </w:rPr>
  </w:style>
  <w:style w:type="paragraph" w:styleId="aa">
    <w:name w:val="footer"/>
    <w:basedOn w:val="a"/>
    <w:link w:val="ab"/>
    <w:uiPriority w:val="99"/>
    <w:semiHidden/>
    <w:unhideWhenUsed/>
    <w:rsid w:val="00B17953"/>
    <w:pPr>
      <w:tabs>
        <w:tab w:val="center" w:pos="4677"/>
        <w:tab w:val="right" w:pos="9355"/>
      </w:tabs>
    </w:pPr>
  </w:style>
  <w:style w:type="character" w:customStyle="1" w:styleId="ab">
    <w:name w:val="Нижний колонтитул Знак"/>
    <w:basedOn w:val="a0"/>
    <w:link w:val="aa"/>
    <w:uiPriority w:val="99"/>
    <w:semiHidden/>
    <w:rsid w:val="00B1795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5184668">
      <w:bodyDiv w:val="1"/>
      <w:marLeft w:val="0"/>
      <w:marRight w:val="0"/>
      <w:marTop w:val="0"/>
      <w:marBottom w:val="0"/>
      <w:divBdr>
        <w:top w:val="none" w:sz="0" w:space="0" w:color="auto"/>
        <w:left w:val="none" w:sz="0" w:space="0" w:color="auto"/>
        <w:bottom w:val="none" w:sz="0" w:space="0" w:color="auto"/>
        <w:right w:val="none" w:sz="0" w:space="0" w:color="auto"/>
      </w:divBdr>
    </w:div>
    <w:div w:id="92016405">
      <w:bodyDiv w:val="1"/>
      <w:marLeft w:val="0"/>
      <w:marRight w:val="0"/>
      <w:marTop w:val="0"/>
      <w:marBottom w:val="0"/>
      <w:divBdr>
        <w:top w:val="none" w:sz="0" w:space="0" w:color="auto"/>
        <w:left w:val="none" w:sz="0" w:space="0" w:color="auto"/>
        <w:bottom w:val="none" w:sz="0" w:space="0" w:color="auto"/>
        <w:right w:val="none" w:sz="0" w:space="0" w:color="auto"/>
      </w:divBdr>
    </w:div>
    <w:div w:id="414129057">
      <w:bodyDiv w:val="1"/>
      <w:marLeft w:val="0"/>
      <w:marRight w:val="0"/>
      <w:marTop w:val="0"/>
      <w:marBottom w:val="0"/>
      <w:divBdr>
        <w:top w:val="none" w:sz="0" w:space="0" w:color="auto"/>
        <w:left w:val="none" w:sz="0" w:space="0" w:color="auto"/>
        <w:bottom w:val="none" w:sz="0" w:space="0" w:color="auto"/>
        <w:right w:val="none" w:sz="0" w:space="0" w:color="auto"/>
      </w:divBdr>
    </w:div>
    <w:div w:id="459806044">
      <w:bodyDiv w:val="1"/>
      <w:marLeft w:val="0"/>
      <w:marRight w:val="0"/>
      <w:marTop w:val="0"/>
      <w:marBottom w:val="0"/>
      <w:divBdr>
        <w:top w:val="none" w:sz="0" w:space="0" w:color="auto"/>
        <w:left w:val="none" w:sz="0" w:space="0" w:color="auto"/>
        <w:bottom w:val="none" w:sz="0" w:space="0" w:color="auto"/>
        <w:right w:val="none" w:sz="0" w:space="0" w:color="auto"/>
      </w:divBdr>
    </w:div>
    <w:div w:id="500118209">
      <w:bodyDiv w:val="1"/>
      <w:marLeft w:val="0"/>
      <w:marRight w:val="0"/>
      <w:marTop w:val="0"/>
      <w:marBottom w:val="0"/>
      <w:divBdr>
        <w:top w:val="none" w:sz="0" w:space="0" w:color="auto"/>
        <w:left w:val="none" w:sz="0" w:space="0" w:color="auto"/>
        <w:bottom w:val="none" w:sz="0" w:space="0" w:color="auto"/>
        <w:right w:val="none" w:sz="0" w:space="0" w:color="auto"/>
      </w:divBdr>
    </w:div>
    <w:div w:id="523517743">
      <w:bodyDiv w:val="1"/>
      <w:marLeft w:val="0"/>
      <w:marRight w:val="0"/>
      <w:marTop w:val="0"/>
      <w:marBottom w:val="0"/>
      <w:divBdr>
        <w:top w:val="none" w:sz="0" w:space="0" w:color="auto"/>
        <w:left w:val="none" w:sz="0" w:space="0" w:color="auto"/>
        <w:bottom w:val="none" w:sz="0" w:space="0" w:color="auto"/>
        <w:right w:val="none" w:sz="0" w:space="0" w:color="auto"/>
      </w:divBdr>
    </w:div>
    <w:div w:id="563956047">
      <w:bodyDiv w:val="1"/>
      <w:marLeft w:val="0"/>
      <w:marRight w:val="0"/>
      <w:marTop w:val="0"/>
      <w:marBottom w:val="0"/>
      <w:divBdr>
        <w:top w:val="none" w:sz="0" w:space="0" w:color="auto"/>
        <w:left w:val="none" w:sz="0" w:space="0" w:color="auto"/>
        <w:bottom w:val="none" w:sz="0" w:space="0" w:color="auto"/>
        <w:right w:val="none" w:sz="0" w:space="0" w:color="auto"/>
      </w:divBdr>
    </w:div>
    <w:div w:id="587621117">
      <w:bodyDiv w:val="1"/>
      <w:marLeft w:val="0"/>
      <w:marRight w:val="0"/>
      <w:marTop w:val="0"/>
      <w:marBottom w:val="0"/>
      <w:divBdr>
        <w:top w:val="none" w:sz="0" w:space="0" w:color="auto"/>
        <w:left w:val="none" w:sz="0" w:space="0" w:color="auto"/>
        <w:bottom w:val="none" w:sz="0" w:space="0" w:color="auto"/>
        <w:right w:val="none" w:sz="0" w:space="0" w:color="auto"/>
      </w:divBdr>
    </w:div>
    <w:div w:id="709258406">
      <w:bodyDiv w:val="1"/>
      <w:marLeft w:val="0"/>
      <w:marRight w:val="0"/>
      <w:marTop w:val="0"/>
      <w:marBottom w:val="0"/>
      <w:divBdr>
        <w:top w:val="none" w:sz="0" w:space="0" w:color="auto"/>
        <w:left w:val="none" w:sz="0" w:space="0" w:color="auto"/>
        <w:bottom w:val="none" w:sz="0" w:space="0" w:color="auto"/>
        <w:right w:val="none" w:sz="0" w:space="0" w:color="auto"/>
      </w:divBdr>
    </w:div>
    <w:div w:id="732974204">
      <w:bodyDiv w:val="1"/>
      <w:marLeft w:val="0"/>
      <w:marRight w:val="0"/>
      <w:marTop w:val="0"/>
      <w:marBottom w:val="0"/>
      <w:divBdr>
        <w:top w:val="none" w:sz="0" w:space="0" w:color="auto"/>
        <w:left w:val="none" w:sz="0" w:space="0" w:color="auto"/>
        <w:bottom w:val="none" w:sz="0" w:space="0" w:color="auto"/>
        <w:right w:val="none" w:sz="0" w:space="0" w:color="auto"/>
      </w:divBdr>
    </w:div>
    <w:div w:id="893084243">
      <w:bodyDiv w:val="1"/>
      <w:marLeft w:val="0"/>
      <w:marRight w:val="0"/>
      <w:marTop w:val="0"/>
      <w:marBottom w:val="0"/>
      <w:divBdr>
        <w:top w:val="none" w:sz="0" w:space="0" w:color="auto"/>
        <w:left w:val="none" w:sz="0" w:space="0" w:color="auto"/>
        <w:bottom w:val="none" w:sz="0" w:space="0" w:color="auto"/>
        <w:right w:val="none" w:sz="0" w:space="0" w:color="auto"/>
      </w:divBdr>
    </w:div>
    <w:div w:id="914440384">
      <w:bodyDiv w:val="1"/>
      <w:marLeft w:val="0"/>
      <w:marRight w:val="0"/>
      <w:marTop w:val="0"/>
      <w:marBottom w:val="0"/>
      <w:divBdr>
        <w:top w:val="none" w:sz="0" w:space="0" w:color="auto"/>
        <w:left w:val="none" w:sz="0" w:space="0" w:color="auto"/>
        <w:bottom w:val="none" w:sz="0" w:space="0" w:color="auto"/>
        <w:right w:val="none" w:sz="0" w:space="0" w:color="auto"/>
      </w:divBdr>
    </w:div>
    <w:div w:id="1044673520">
      <w:bodyDiv w:val="1"/>
      <w:marLeft w:val="0"/>
      <w:marRight w:val="0"/>
      <w:marTop w:val="0"/>
      <w:marBottom w:val="0"/>
      <w:divBdr>
        <w:top w:val="none" w:sz="0" w:space="0" w:color="auto"/>
        <w:left w:val="none" w:sz="0" w:space="0" w:color="auto"/>
        <w:bottom w:val="none" w:sz="0" w:space="0" w:color="auto"/>
        <w:right w:val="none" w:sz="0" w:space="0" w:color="auto"/>
      </w:divBdr>
    </w:div>
    <w:div w:id="1074201945">
      <w:bodyDiv w:val="1"/>
      <w:marLeft w:val="0"/>
      <w:marRight w:val="0"/>
      <w:marTop w:val="0"/>
      <w:marBottom w:val="0"/>
      <w:divBdr>
        <w:top w:val="none" w:sz="0" w:space="0" w:color="auto"/>
        <w:left w:val="none" w:sz="0" w:space="0" w:color="auto"/>
        <w:bottom w:val="none" w:sz="0" w:space="0" w:color="auto"/>
        <w:right w:val="none" w:sz="0" w:space="0" w:color="auto"/>
      </w:divBdr>
    </w:div>
    <w:div w:id="1086459700">
      <w:bodyDiv w:val="1"/>
      <w:marLeft w:val="0"/>
      <w:marRight w:val="0"/>
      <w:marTop w:val="0"/>
      <w:marBottom w:val="0"/>
      <w:divBdr>
        <w:top w:val="none" w:sz="0" w:space="0" w:color="auto"/>
        <w:left w:val="none" w:sz="0" w:space="0" w:color="auto"/>
        <w:bottom w:val="none" w:sz="0" w:space="0" w:color="auto"/>
        <w:right w:val="none" w:sz="0" w:space="0" w:color="auto"/>
      </w:divBdr>
    </w:div>
    <w:div w:id="1114638316">
      <w:bodyDiv w:val="1"/>
      <w:marLeft w:val="0"/>
      <w:marRight w:val="0"/>
      <w:marTop w:val="0"/>
      <w:marBottom w:val="0"/>
      <w:divBdr>
        <w:top w:val="none" w:sz="0" w:space="0" w:color="auto"/>
        <w:left w:val="none" w:sz="0" w:space="0" w:color="auto"/>
        <w:bottom w:val="none" w:sz="0" w:space="0" w:color="auto"/>
        <w:right w:val="none" w:sz="0" w:space="0" w:color="auto"/>
      </w:divBdr>
    </w:div>
    <w:div w:id="1269191503">
      <w:bodyDiv w:val="1"/>
      <w:marLeft w:val="0"/>
      <w:marRight w:val="0"/>
      <w:marTop w:val="0"/>
      <w:marBottom w:val="0"/>
      <w:divBdr>
        <w:top w:val="none" w:sz="0" w:space="0" w:color="auto"/>
        <w:left w:val="none" w:sz="0" w:space="0" w:color="auto"/>
        <w:bottom w:val="none" w:sz="0" w:space="0" w:color="auto"/>
        <w:right w:val="none" w:sz="0" w:space="0" w:color="auto"/>
      </w:divBdr>
    </w:div>
    <w:div w:id="1298147531">
      <w:bodyDiv w:val="1"/>
      <w:marLeft w:val="0"/>
      <w:marRight w:val="0"/>
      <w:marTop w:val="0"/>
      <w:marBottom w:val="0"/>
      <w:divBdr>
        <w:top w:val="none" w:sz="0" w:space="0" w:color="auto"/>
        <w:left w:val="none" w:sz="0" w:space="0" w:color="auto"/>
        <w:bottom w:val="none" w:sz="0" w:space="0" w:color="auto"/>
        <w:right w:val="none" w:sz="0" w:space="0" w:color="auto"/>
      </w:divBdr>
    </w:div>
    <w:div w:id="1324969044">
      <w:bodyDiv w:val="1"/>
      <w:marLeft w:val="0"/>
      <w:marRight w:val="0"/>
      <w:marTop w:val="0"/>
      <w:marBottom w:val="0"/>
      <w:divBdr>
        <w:top w:val="none" w:sz="0" w:space="0" w:color="auto"/>
        <w:left w:val="none" w:sz="0" w:space="0" w:color="auto"/>
        <w:bottom w:val="none" w:sz="0" w:space="0" w:color="auto"/>
        <w:right w:val="none" w:sz="0" w:space="0" w:color="auto"/>
      </w:divBdr>
    </w:div>
    <w:div w:id="1446079939">
      <w:bodyDiv w:val="1"/>
      <w:marLeft w:val="0"/>
      <w:marRight w:val="0"/>
      <w:marTop w:val="0"/>
      <w:marBottom w:val="0"/>
      <w:divBdr>
        <w:top w:val="none" w:sz="0" w:space="0" w:color="auto"/>
        <w:left w:val="none" w:sz="0" w:space="0" w:color="auto"/>
        <w:bottom w:val="none" w:sz="0" w:space="0" w:color="auto"/>
        <w:right w:val="none" w:sz="0" w:space="0" w:color="auto"/>
      </w:divBdr>
    </w:div>
    <w:div w:id="1483425745">
      <w:bodyDiv w:val="1"/>
      <w:marLeft w:val="0"/>
      <w:marRight w:val="0"/>
      <w:marTop w:val="0"/>
      <w:marBottom w:val="0"/>
      <w:divBdr>
        <w:top w:val="none" w:sz="0" w:space="0" w:color="auto"/>
        <w:left w:val="none" w:sz="0" w:space="0" w:color="auto"/>
        <w:bottom w:val="none" w:sz="0" w:space="0" w:color="auto"/>
        <w:right w:val="none" w:sz="0" w:space="0" w:color="auto"/>
      </w:divBdr>
    </w:div>
    <w:div w:id="1498154756">
      <w:bodyDiv w:val="1"/>
      <w:marLeft w:val="0"/>
      <w:marRight w:val="0"/>
      <w:marTop w:val="0"/>
      <w:marBottom w:val="0"/>
      <w:divBdr>
        <w:top w:val="none" w:sz="0" w:space="0" w:color="auto"/>
        <w:left w:val="none" w:sz="0" w:space="0" w:color="auto"/>
        <w:bottom w:val="none" w:sz="0" w:space="0" w:color="auto"/>
        <w:right w:val="none" w:sz="0" w:space="0" w:color="auto"/>
      </w:divBdr>
    </w:div>
    <w:div w:id="1502963440">
      <w:bodyDiv w:val="1"/>
      <w:marLeft w:val="0"/>
      <w:marRight w:val="0"/>
      <w:marTop w:val="0"/>
      <w:marBottom w:val="0"/>
      <w:divBdr>
        <w:top w:val="none" w:sz="0" w:space="0" w:color="auto"/>
        <w:left w:val="none" w:sz="0" w:space="0" w:color="auto"/>
        <w:bottom w:val="none" w:sz="0" w:space="0" w:color="auto"/>
        <w:right w:val="none" w:sz="0" w:space="0" w:color="auto"/>
      </w:divBdr>
    </w:div>
    <w:div w:id="1575894775">
      <w:bodyDiv w:val="1"/>
      <w:marLeft w:val="0"/>
      <w:marRight w:val="0"/>
      <w:marTop w:val="0"/>
      <w:marBottom w:val="0"/>
      <w:divBdr>
        <w:top w:val="none" w:sz="0" w:space="0" w:color="auto"/>
        <w:left w:val="none" w:sz="0" w:space="0" w:color="auto"/>
        <w:bottom w:val="none" w:sz="0" w:space="0" w:color="auto"/>
        <w:right w:val="none" w:sz="0" w:space="0" w:color="auto"/>
      </w:divBdr>
    </w:div>
    <w:div w:id="1636447659">
      <w:bodyDiv w:val="1"/>
      <w:marLeft w:val="0"/>
      <w:marRight w:val="0"/>
      <w:marTop w:val="0"/>
      <w:marBottom w:val="0"/>
      <w:divBdr>
        <w:top w:val="none" w:sz="0" w:space="0" w:color="auto"/>
        <w:left w:val="none" w:sz="0" w:space="0" w:color="auto"/>
        <w:bottom w:val="none" w:sz="0" w:space="0" w:color="auto"/>
        <w:right w:val="none" w:sz="0" w:space="0" w:color="auto"/>
      </w:divBdr>
    </w:div>
    <w:div w:id="1734425496">
      <w:bodyDiv w:val="1"/>
      <w:marLeft w:val="0"/>
      <w:marRight w:val="0"/>
      <w:marTop w:val="0"/>
      <w:marBottom w:val="0"/>
      <w:divBdr>
        <w:top w:val="none" w:sz="0" w:space="0" w:color="auto"/>
        <w:left w:val="none" w:sz="0" w:space="0" w:color="auto"/>
        <w:bottom w:val="none" w:sz="0" w:space="0" w:color="auto"/>
        <w:right w:val="none" w:sz="0" w:space="0" w:color="auto"/>
      </w:divBdr>
    </w:div>
    <w:div w:id="1824391227">
      <w:bodyDiv w:val="1"/>
      <w:marLeft w:val="0"/>
      <w:marRight w:val="0"/>
      <w:marTop w:val="0"/>
      <w:marBottom w:val="0"/>
      <w:divBdr>
        <w:top w:val="none" w:sz="0" w:space="0" w:color="auto"/>
        <w:left w:val="none" w:sz="0" w:space="0" w:color="auto"/>
        <w:bottom w:val="none" w:sz="0" w:space="0" w:color="auto"/>
        <w:right w:val="none" w:sz="0" w:space="0" w:color="auto"/>
      </w:divBdr>
    </w:div>
    <w:div w:id="1824661927">
      <w:bodyDiv w:val="1"/>
      <w:marLeft w:val="0"/>
      <w:marRight w:val="0"/>
      <w:marTop w:val="0"/>
      <w:marBottom w:val="0"/>
      <w:divBdr>
        <w:top w:val="none" w:sz="0" w:space="0" w:color="auto"/>
        <w:left w:val="none" w:sz="0" w:space="0" w:color="auto"/>
        <w:bottom w:val="none" w:sz="0" w:space="0" w:color="auto"/>
        <w:right w:val="none" w:sz="0" w:space="0" w:color="auto"/>
      </w:divBdr>
    </w:div>
    <w:div w:id="1875851176">
      <w:bodyDiv w:val="1"/>
      <w:marLeft w:val="0"/>
      <w:marRight w:val="0"/>
      <w:marTop w:val="0"/>
      <w:marBottom w:val="0"/>
      <w:divBdr>
        <w:top w:val="none" w:sz="0" w:space="0" w:color="auto"/>
        <w:left w:val="none" w:sz="0" w:space="0" w:color="auto"/>
        <w:bottom w:val="none" w:sz="0" w:space="0" w:color="auto"/>
        <w:right w:val="none" w:sz="0" w:space="0" w:color="auto"/>
      </w:divBdr>
    </w:div>
    <w:div w:id="1912084153">
      <w:bodyDiv w:val="1"/>
      <w:marLeft w:val="0"/>
      <w:marRight w:val="0"/>
      <w:marTop w:val="0"/>
      <w:marBottom w:val="0"/>
      <w:divBdr>
        <w:top w:val="none" w:sz="0" w:space="0" w:color="auto"/>
        <w:left w:val="none" w:sz="0" w:space="0" w:color="auto"/>
        <w:bottom w:val="none" w:sz="0" w:space="0" w:color="auto"/>
        <w:right w:val="none" w:sz="0" w:space="0" w:color="auto"/>
      </w:divBdr>
    </w:div>
    <w:div w:id="2026244861">
      <w:bodyDiv w:val="1"/>
      <w:marLeft w:val="0"/>
      <w:marRight w:val="0"/>
      <w:marTop w:val="0"/>
      <w:marBottom w:val="0"/>
      <w:divBdr>
        <w:top w:val="none" w:sz="0" w:space="0" w:color="auto"/>
        <w:left w:val="none" w:sz="0" w:space="0" w:color="auto"/>
        <w:bottom w:val="none" w:sz="0" w:space="0" w:color="auto"/>
        <w:right w:val="none" w:sz="0" w:space="0" w:color="auto"/>
      </w:divBdr>
    </w:div>
    <w:div w:id="2054646560">
      <w:bodyDiv w:val="1"/>
      <w:marLeft w:val="0"/>
      <w:marRight w:val="0"/>
      <w:marTop w:val="0"/>
      <w:marBottom w:val="0"/>
      <w:divBdr>
        <w:top w:val="none" w:sz="0" w:space="0" w:color="auto"/>
        <w:left w:val="none" w:sz="0" w:space="0" w:color="auto"/>
        <w:bottom w:val="none" w:sz="0" w:space="0" w:color="auto"/>
        <w:right w:val="none" w:sz="0" w:space="0" w:color="auto"/>
      </w:divBdr>
    </w:div>
    <w:div w:id="21083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Байбатшаева Зарина</dc:creator>
  <cp:lastModifiedBy>Samruk</cp:lastModifiedBy>
  <cp:revision>2</cp:revision>
  <dcterms:created xsi:type="dcterms:W3CDTF">2015-05-06T10:07:00Z</dcterms:created>
  <dcterms:modified xsi:type="dcterms:W3CDTF">2015-05-06T10:07:00Z</dcterms:modified>
</cp:coreProperties>
</file>