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F6" w:rsidRPr="00D54E80" w:rsidRDefault="00786BF6" w:rsidP="00D54E80">
      <w:pPr>
        <w:jc w:val="center"/>
        <w:rPr>
          <w:rFonts w:ascii="Times New Roman" w:hAnsi="Times New Roman" w:cs="Times New Roman"/>
          <w:b/>
          <w:sz w:val="28"/>
          <w:szCs w:val="28"/>
          <w:lang w:val="en-US"/>
        </w:rPr>
      </w:pPr>
      <w:r w:rsidRPr="00D54E80">
        <w:rPr>
          <w:rFonts w:ascii="Times New Roman" w:hAnsi="Times New Roman" w:cs="Times New Roman"/>
          <w:b/>
          <w:sz w:val="28"/>
          <w:szCs w:val="28"/>
          <w:lang w:val="en-US"/>
        </w:rPr>
        <w:t>“</w:t>
      </w:r>
      <w:proofErr w:type="spellStart"/>
      <w:r w:rsidRPr="00D54E80">
        <w:rPr>
          <w:rFonts w:ascii="Times New Roman" w:hAnsi="Times New Roman" w:cs="Times New Roman"/>
          <w:b/>
          <w:sz w:val="28"/>
          <w:szCs w:val="28"/>
          <w:lang w:val="en-US"/>
        </w:rPr>
        <w:t>Samruk</w:t>
      </w:r>
      <w:proofErr w:type="spellEnd"/>
      <w:r w:rsidRPr="00D54E80">
        <w:rPr>
          <w:rFonts w:ascii="Times New Roman" w:hAnsi="Times New Roman" w:cs="Times New Roman"/>
          <w:b/>
          <w:sz w:val="28"/>
          <w:szCs w:val="28"/>
          <w:lang w:val="en-US"/>
        </w:rPr>
        <w:t>-Energy” JSC Management Report on the performance results for 2015</w:t>
      </w:r>
    </w:p>
    <w:p w:rsidR="00786BF6" w:rsidRPr="009A7B0F" w:rsidRDefault="00786BF6" w:rsidP="009A7B0F">
      <w:pPr>
        <w:pStyle w:val="a3"/>
        <w:numPr>
          <w:ilvl w:val="0"/>
          <w:numId w:val="1"/>
        </w:numPr>
        <w:ind w:left="0" w:right="-143" w:firstLine="709"/>
        <w:rPr>
          <w:rFonts w:ascii="Times New Roman" w:hAnsi="Times New Roman" w:cs="Times New Roman"/>
          <w:b/>
          <w:sz w:val="28"/>
          <w:szCs w:val="28"/>
          <w:u w:val="single"/>
          <w:lang w:val="en-US"/>
        </w:rPr>
      </w:pPr>
      <w:r w:rsidRPr="009A7B0F">
        <w:rPr>
          <w:rFonts w:ascii="Times New Roman" w:hAnsi="Times New Roman" w:cs="Times New Roman"/>
          <w:b/>
          <w:sz w:val="28"/>
          <w:szCs w:val="28"/>
          <w:u w:val="single"/>
          <w:lang w:val="en-US"/>
        </w:rPr>
        <w:t>The Group’s overview</w:t>
      </w:r>
    </w:p>
    <w:p w:rsidR="00786BF6" w:rsidRPr="009A7B0F"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-Energy” JSC (hereinafter – the Company) was established on April 18, 2007 pursuant to resolution of general meeting of founders for the purpose of development and implementation of a long-term state policy on upgrading the existing and introduction of new generating facilities. The Company’s founders at the time of its establishment were “Kazakhstan Holding for Management of State Assets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 JSC and “</w:t>
      </w:r>
      <w:proofErr w:type="spellStart"/>
      <w:r w:rsidRPr="009A7B0F">
        <w:rPr>
          <w:rFonts w:ascii="Times New Roman" w:hAnsi="Times New Roman" w:cs="Times New Roman"/>
          <w:sz w:val="28"/>
          <w:szCs w:val="28"/>
          <w:lang w:val="en-US"/>
        </w:rPr>
        <w:t>KazTransGas</w:t>
      </w:r>
      <w:proofErr w:type="spellEnd"/>
      <w:r w:rsidRPr="009A7B0F">
        <w:rPr>
          <w:rFonts w:ascii="Times New Roman" w:hAnsi="Times New Roman" w:cs="Times New Roman"/>
          <w:sz w:val="28"/>
          <w:szCs w:val="28"/>
          <w:lang w:val="en-US"/>
        </w:rPr>
        <w:t xml:space="preserve">” JSC. The Company was registered on May 10, 2007 in Almaty city. </w:t>
      </w:r>
    </w:p>
    <w:p w:rsidR="00786BF6" w:rsidRPr="009A7B0F" w:rsidRDefault="00400BB4"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As a result of reorganization on November 3, 2008 made through merger of “Kazakhstan Holding for Management of State Assets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 JSC and Sustainable Development Fund “</w:t>
      </w:r>
      <w:proofErr w:type="spellStart"/>
      <w:r w:rsidRPr="009A7B0F">
        <w:rPr>
          <w:rFonts w:ascii="Times New Roman" w:hAnsi="Times New Roman" w:cs="Times New Roman"/>
          <w:sz w:val="28"/>
          <w:szCs w:val="28"/>
          <w:lang w:val="en-US"/>
        </w:rPr>
        <w:t>Kazyna</w:t>
      </w:r>
      <w:proofErr w:type="spellEnd"/>
      <w:r w:rsidRPr="009A7B0F">
        <w:rPr>
          <w:rFonts w:ascii="Times New Roman" w:hAnsi="Times New Roman" w:cs="Times New Roman"/>
          <w:sz w:val="28"/>
          <w:szCs w:val="28"/>
          <w:lang w:val="en-US"/>
        </w:rPr>
        <w:t>” JSC, “Sovereign Wealth Fund “</w:t>
      </w:r>
      <w:proofErr w:type="spellStart"/>
      <w:r w:rsidRPr="009A7B0F">
        <w:rPr>
          <w:rFonts w:ascii="Times New Roman" w:hAnsi="Times New Roman" w:cs="Times New Roman"/>
          <w:sz w:val="28"/>
          <w:szCs w:val="28"/>
          <w:lang w:val="en-US"/>
        </w:rPr>
        <w:t>Samruk-Kazyna</w:t>
      </w:r>
      <w:proofErr w:type="spellEnd"/>
      <w:r w:rsidRPr="009A7B0F">
        <w:rPr>
          <w:rFonts w:ascii="Times New Roman" w:hAnsi="Times New Roman" w:cs="Times New Roman"/>
          <w:sz w:val="28"/>
          <w:szCs w:val="28"/>
          <w:lang w:val="en-US"/>
        </w:rPr>
        <w:t>” JSC, which is a legal successor of “Kazakhstan Holding for Management of State Assets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 xml:space="preserve">” JSC became the shareholder of the Company. </w:t>
      </w:r>
    </w:p>
    <w:p w:rsidR="00400BB4" w:rsidRPr="009A7B0F" w:rsidRDefault="00400BB4"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Today, the Company is the largest diversified energy holding company that has successfully integrated into the international power balance and develops highly efficient power supply system as well as ensuring sustainable development of all Kazakhstan’s sectors. </w:t>
      </w:r>
    </w:p>
    <w:p w:rsidR="00786BF6" w:rsidRPr="009A7B0F" w:rsidRDefault="00400BB4"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The </w:t>
      </w:r>
      <w:r w:rsidR="00786BF6" w:rsidRPr="009A7B0F">
        <w:rPr>
          <w:rFonts w:ascii="Times New Roman" w:hAnsi="Times New Roman" w:cs="Times New Roman"/>
          <w:sz w:val="28"/>
          <w:szCs w:val="28"/>
          <w:lang w:val="en-US"/>
        </w:rPr>
        <w:t xml:space="preserve">Group's </w:t>
      </w:r>
      <w:r w:rsidRPr="009A7B0F">
        <w:rPr>
          <w:rFonts w:ascii="Times New Roman" w:hAnsi="Times New Roman" w:cs="Times New Roman"/>
          <w:sz w:val="28"/>
          <w:szCs w:val="28"/>
          <w:lang w:val="en-US"/>
        </w:rPr>
        <w:t>core</w:t>
      </w:r>
      <w:r w:rsidR="00786BF6" w:rsidRPr="009A7B0F">
        <w:rPr>
          <w:rFonts w:ascii="Times New Roman" w:hAnsi="Times New Roman" w:cs="Times New Roman"/>
          <w:sz w:val="28"/>
          <w:szCs w:val="28"/>
          <w:lang w:val="en-US"/>
        </w:rPr>
        <w:t xml:space="preserve"> activities are the production of electricity, heat and hot water </w:t>
      </w:r>
      <w:r w:rsidRPr="009A7B0F">
        <w:rPr>
          <w:rFonts w:ascii="Times New Roman" w:hAnsi="Times New Roman" w:cs="Times New Roman"/>
          <w:sz w:val="28"/>
          <w:szCs w:val="28"/>
          <w:lang w:val="en-US"/>
        </w:rPr>
        <w:t xml:space="preserve">based on </w:t>
      </w:r>
      <w:r w:rsidR="00786BF6" w:rsidRPr="009A7B0F">
        <w:rPr>
          <w:rFonts w:ascii="Times New Roman" w:hAnsi="Times New Roman" w:cs="Times New Roman"/>
          <w:sz w:val="28"/>
          <w:szCs w:val="28"/>
          <w:lang w:val="en-US"/>
        </w:rPr>
        <w:t xml:space="preserve">coal, hydrocarbons and water resources and </w:t>
      </w:r>
      <w:r w:rsidRPr="009A7B0F">
        <w:rPr>
          <w:rFonts w:ascii="Times New Roman" w:hAnsi="Times New Roman" w:cs="Times New Roman"/>
          <w:sz w:val="28"/>
          <w:szCs w:val="28"/>
          <w:lang w:val="en-US"/>
        </w:rPr>
        <w:t>sale of electricity to</w:t>
      </w:r>
      <w:r w:rsidR="00786BF6" w:rsidRPr="009A7B0F">
        <w:rPr>
          <w:rFonts w:ascii="Times New Roman" w:hAnsi="Times New Roman" w:cs="Times New Roman"/>
          <w:sz w:val="28"/>
          <w:szCs w:val="28"/>
          <w:lang w:val="en-US"/>
        </w:rPr>
        <w:t xml:space="preserve"> population and industrial enterprises, transportation of electricity and electricity</w:t>
      </w:r>
      <w:r w:rsidR="00691A3B" w:rsidRPr="009A7B0F">
        <w:rPr>
          <w:rFonts w:ascii="Times New Roman" w:hAnsi="Times New Roman" w:cs="Times New Roman"/>
          <w:sz w:val="28"/>
          <w:szCs w:val="28"/>
          <w:lang w:val="en-US"/>
        </w:rPr>
        <w:t xml:space="preserve"> technical</w:t>
      </w:r>
      <w:r w:rsidR="00786BF6" w:rsidRPr="009A7B0F">
        <w:rPr>
          <w:rFonts w:ascii="Times New Roman" w:hAnsi="Times New Roman" w:cs="Times New Roman"/>
          <w:sz w:val="28"/>
          <w:szCs w:val="28"/>
          <w:lang w:val="en-US"/>
        </w:rPr>
        <w:t xml:space="preserve"> distribution</w:t>
      </w:r>
      <w:r w:rsidR="00691A3B" w:rsidRPr="009A7B0F">
        <w:rPr>
          <w:rFonts w:ascii="Times New Roman" w:hAnsi="Times New Roman" w:cs="Times New Roman"/>
          <w:sz w:val="28"/>
          <w:szCs w:val="28"/>
          <w:lang w:val="en-US"/>
        </w:rPr>
        <w:t xml:space="preserve"> in the grid</w:t>
      </w:r>
      <w:r w:rsidR="00786BF6" w:rsidRPr="009A7B0F">
        <w:rPr>
          <w:rFonts w:ascii="Times New Roman" w:hAnsi="Times New Roman" w:cs="Times New Roman"/>
          <w:sz w:val="28"/>
          <w:szCs w:val="28"/>
          <w:lang w:val="en-US"/>
        </w:rPr>
        <w:t>, construction of hydr</w:t>
      </w:r>
      <w:r w:rsidR="00691A3B" w:rsidRPr="009A7B0F">
        <w:rPr>
          <w:rFonts w:ascii="Times New Roman" w:hAnsi="Times New Roman" w:cs="Times New Roman"/>
          <w:sz w:val="28"/>
          <w:szCs w:val="28"/>
          <w:lang w:val="en-US"/>
        </w:rPr>
        <w:t xml:space="preserve">o </w:t>
      </w:r>
      <w:r w:rsidR="00786BF6" w:rsidRPr="009A7B0F">
        <w:rPr>
          <w:rFonts w:ascii="Times New Roman" w:hAnsi="Times New Roman" w:cs="Times New Roman"/>
          <w:sz w:val="28"/>
          <w:szCs w:val="28"/>
          <w:lang w:val="en-US"/>
        </w:rPr>
        <w:t>and thermal power plants, as well as</w:t>
      </w:r>
      <w:r w:rsidR="00691A3B" w:rsidRPr="009A7B0F">
        <w:rPr>
          <w:rFonts w:ascii="Times New Roman" w:hAnsi="Times New Roman" w:cs="Times New Roman"/>
          <w:sz w:val="28"/>
          <w:szCs w:val="28"/>
          <w:lang w:val="en-US"/>
        </w:rPr>
        <w:t xml:space="preserve"> lease of </w:t>
      </w:r>
      <w:r w:rsidR="00786BF6" w:rsidRPr="009A7B0F">
        <w:rPr>
          <w:rFonts w:ascii="Times New Roman" w:hAnsi="Times New Roman" w:cs="Times New Roman"/>
          <w:sz w:val="28"/>
          <w:szCs w:val="28"/>
          <w:lang w:val="en-US"/>
        </w:rPr>
        <w:t xml:space="preserve"> property complexes of hydro power plants, </w:t>
      </w:r>
      <w:r w:rsidR="00691A3B" w:rsidRPr="009A7B0F">
        <w:rPr>
          <w:rFonts w:ascii="Times New Roman" w:hAnsi="Times New Roman" w:cs="Times New Roman"/>
          <w:sz w:val="28"/>
          <w:szCs w:val="28"/>
          <w:lang w:val="en-US"/>
        </w:rPr>
        <w:t xml:space="preserve"> and </w:t>
      </w:r>
      <w:r w:rsidR="00786BF6" w:rsidRPr="009A7B0F">
        <w:rPr>
          <w:rFonts w:ascii="Times New Roman" w:hAnsi="Times New Roman" w:cs="Times New Roman"/>
          <w:sz w:val="28"/>
          <w:szCs w:val="28"/>
          <w:lang w:val="en-US"/>
        </w:rPr>
        <w:t>coal mining .</w:t>
      </w:r>
    </w:p>
    <w:p w:rsidR="00786BF6" w:rsidRPr="009A7B0F" w:rsidRDefault="00691A3B"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w:t>
      </w:r>
      <w:r w:rsidR="00786BF6" w:rsidRPr="009A7B0F">
        <w:rPr>
          <w:rFonts w:ascii="Times New Roman" w:hAnsi="Times New Roman" w:cs="Times New Roman"/>
          <w:sz w:val="28"/>
          <w:szCs w:val="28"/>
          <w:lang w:val="en-US"/>
        </w:rPr>
        <w:t xml:space="preserve"> Compa</w:t>
      </w:r>
      <w:r w:rsidRPr="009A7B0F">
        <w:rPr>
          <w:rFonts w:ascii="Times New Roman" w:hAnsi="Times New Roman" w:cs="Times New Roman"/>
          <w:sz w:val="28"/>
          <w:szCs w:val="28"/>
          <w:lang w:val="en-US"/>
        </w:rPr>
        <w:t>ny comprises</w:t>
      </w:r>
      <w:r w:rsidR="00786BF6" w:rsidRPr="009A7B0F">
        <w:rPr>
          <w:rFonts w:ascii="Times New Roman" w:hAnsi="Times New Roman" w:cs="Times New Roman"/>
          <w:sz w:val="28"/>
          <w:szCs w:val="28"/>
          <w:lang w:val="en-US"/>
        </w:rPr>
        <w:t xml:space="preserve"> largest power generating companies, </w:t>
      </w:r>
      <w:r w:rsidRPr="009A7B0F">
        <w:rPr>
          <w:rFonts w:ascii="Times New Roman" w:hAnsi="Times New Roman" w:cs="Times New Roman"/>
          <w:sz w:val="28"/>
          <w:szCs w:val="28"/>
          <w:lang w:val="en-US"/>
        </w:rPr>
        <w:t xml:space="preserve">which </w:t>
      </w:r>
      <w:r w:rsidR="00786BF6" w:rsidRPr="009A7B0F">
        <w:rPr>
          <w:rFonts w:ascii="Times New Roman" w:hAnsi="Times New Roman" w:cs="Times New Roman"/>
          <w:sz w:val="28"/>
          <w:szCs w:val="28"/>
          <w:lang w:val="en-US"/>
        </w:rPr>
        <w:t>includ</w:t>
      </w:r>
      <w:r w:rsidRPr="009A7B0F">
        <w:rPr>
          <w:rFonts w:ascii="Times New Roman" w:hAnsi="Times New Roman" w:cs="Times New Roman"/>
          <w:sz w:val="28"/>
          <w:szCs w:val="28"/>
          <w:lang w:val="en-US"/>
        </w:rPr>
        <w:t>e power plants</w:t>
      </w:r>
      <w:r w:rsidR="00786BF6" w:rsidRPr="009A7B0F">
        <w:rPr>
          <w:rFonts w:ascii="Times New Roman" w:hAnsi="Times New Roman" w:cs="Times New Roman"/>
          <w:sz w:val="28"/>
          <w:szCs w:val="28"/>
          <w:lang w:val="en-US"/>
        </w:rPr>
        <w:t xml:space="preserve"> of national importance such as </w:t>
      </w:r>
      <w:proofErr w:type="spellStart"/>
      <w:r w:rsidR="00786BF6" w:rsidRPr="009A7B0F">
        <w:rPr>
          <w:rFonts w:ascii="Times New Roman" w:hAnsi="Times New Roman" w:cs="Times New Roman"/>
          <w:sz w:val="28"/>
          <w:szCs w:val="28"/>
          <w:lang w:val="en-US"/>
        </w:rPr>
        <w:t>Ekibastuz</w:t>
      </w:r>
      <w:proofErr w:type="spellEnd"/>
      <w:r w:rsidR="00786BF6" w:rsidRPr="009A7B0F">
        <w:rPr>
          <w:rFonts w:ascii="Times New Roman" w:hAnsi="Times New Roman" w:cs="Times New Roman"/>
          <w:sz w:val="28"/>
          <w:szCs w:val="28"/>
          <w:lang w:val="en-US"/>
        </w:rPr>
        <w:t xml:space="preserve"> GRES-1 and GRES-2, as well as </w:t>
      </w:r>
      <w:r w:rsidRPr="009A7B0F">
        <w:rPr>
          <w:rFonts w:ascii="Times New Roman" w:hAnsi="Times New Roman" w:cs="Times New Roman"/>
          <w:sz w:val="28"/>
          <w:szCs w:val="28"/>
          <w:lang w:val="en-US"/>
        </w:rPr>
        <w:t>power plants</w:t>
      </w:r>
      <w:r w:rsidR="00786BF6" w:rsidRPr="009A7B0F">
        <w:rPr>
          <w:rFonts w:ascii="Times New Roman" w:hAnsi="Times New Roman" w:cs="Times New Roman"/>
          <w:sz w:val="28"/>
          <w:szCs w:val="28"/>
          <w:lang w:val="en-US"/>
        </w:rPr>
        <w:t xml:space="preserve"> producing heat and electricity in Almaty region </w:t>
      </w:r>
      <w:r w:rsidRPr="009A7B0F">
        <w:rPr>
          <w:rFonts w:ascii="Times New Roman" w:hAnsi="Times New Roman" w:cs="Times New Roman"/>
          <w:sz w:val="28"/>
          <w:szCs w:val="28"/>
          <w:lang w:val="en-US"/>
        </w:rPr>
        <w:t xml:space="preserve">and </w:t>
      </w:r>
      <w:r w:rsidR="00786BF6" w:rsidRPr="009A7B0F">
        <w:rPr>
          <w:rFonts w:ascii="Times New Roman" w:hAnsi="Times New Roman" w:cs="Times New Roman"/>
          <w:sz w:val="28"/>
          <w:szCs w:val="28"/>
          <w:lang w:val="en-US"/>
        </w:rPr>
        <w:t xml:space="preserve">in </w:t>
      </w:r>
      <w:proofErr w:type="spellStart"/>
      <w:r w:rsidR="00786BF6" w:rsidRPr="009A7B0F">
        <w:rPr>
          <w:rFonts w:ascii="Times New Roman" w:hAnsi="Times New Roman" w:cs="Times New Roman"/>
          <w:sz w:val="28"/>
          <w:szCs w:val="28"/>
          <w:lang w:val="en-US"/>
        </w:rPr>
        <w:t>Aktobe</w:t>
      </w:r>
      <w:proofErr w:type="spellEnd"/>
      <w:r w:rsidRPr="009A7B0F">
        <w:rPr>
          <w:rFonts w:ascii="Times New Roman" w:hAnsi="Times New Roman" w:cs="Times New Roman"/>
          <w:sz w:val="28"/>
          <w:szCs w:val="28"/>
          <w:lang w:val="en-US"/>
        </w:rPr>
        <w:t xml:space="preserve"> city</w:t>
      </w:r>
      <w:r w:rsidR="00786BF6"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there are</w:t>
      </w:r>
      <w:r w:rsidR="00786BF6" w:rsidRPr="009A7B0F">
        <w:rPr>
          <w:rFonts w:ascii="Times New Roman" w:hAnsi="Times New Roman" w:cs="Times New Roman"/>
          <w:sz w:val="28"/>
          <w:szCs w:val="28"/>
          <w:lang w:val="en-US"/>
        </w:rPr>
        <w:t xml:space="preserve"> principal hydro</w:t>
      </w:r>
      <w:r w:rsidRPr="009A7B0F">
        <w:rPr>
          <w:rFonts w:ascii="Times New Roman" w:hAnsi="Times New Roman" w:cs="Times New Roman"/>
          <w:sz w:val="28"/>
          <w:szCs w:val="28"/>
          <w:lang w:val="en-US"/>
        </w:rPr>
        <w:t>power plants of the</w:t>
      </w:r>
      <w:r w:rsidR="00786BF6" w:rsidRPr="009A7B0F">
        <w:rPr>
          <w:rFonts w:ascii="Times New Roman" w:hAnsi="Times New Roman" w:cs="Times New Roman"/>
          <w:sz w:val="28"/>
          <w:szCs w:val="28"/>
          <w:lang w:val="en-US"/>
        </w:rPr>
        <w:t xml:space="preserve"> Republic, </w:t>
      </w:r>
      <w:r w:rsidRPr="009A7B0F">
        <w:rPr>
          <w:rFonts w:ascii="Times New Roman" w:hAnsi="Times New Roman" w:cs="Times New Roman"/>
          <w:sz w:val="28"/>
          <w:szCs w:val="28"/>
          <w:lang w:val="en-US"/>
        </w:rPr>
        <w:t xml:space="preserve">that are included </w:t>
      </w:r>
      <w:proofErr w:type="gramStart"/>
      <w:r w:rsidRPr="009A7B0F">
        <w:rPr>
          <w:rFonts w:ascii="Times New Roman" w:hAnsi="Times New Roman" w:cs="Times New Roman"/>
          <w:sz w:val="28"/>
          <w:szCs w:val="28"/>
          <w:lang w:val="en-US"/>
        </w:rPr>
        <w:t xml:space="preserve">in </w:t>
      </w:r>
      <w:r w:rsidR="00786BF6" w:rsidRPr="009A7B0F">
        <w:rPr>
          <w:rFonts w:ascii="Times New Roman" w:hAnsi="Times New Roman" w:cs="Times New Roman"/>
          <w:sz w:val="28"/>
          <w:szCs w:val="28"/>
          <w:lang w:val="en-US"/>
        </w:rPr>
        <w:t xml:space="preserve"> the</w:t>
      </w:r>
      <w:proofErr w:type="gramEnd"/>
      <w:r w:rsidR="00786BF6" w:rsidRPr="009A7B0F">
        <w:rPr>
          <w:rFonts w:ascii="Times New Roman" w:hAnsi="Times New Roman" w:cs="Times New Roman"/>
          <w:sz w:val="28"/>
          <w:szCs w:val="28"/>
          <w:lang w:val="en-US"/>
        </w:rPr>
        <w:t xml:space="preserve"> Irtysh cascade of hydropower plants as well as hydr</w:t>
      </w:r>
      <w:r w:rsidRPr="009A7B0F">
        <w:rPr>
          <w:rFonts w:ascii="Times New Roman" w:hAnsi="Times New Roman" w:cs="Times New Roman"/>
          <w:sz w:val="28"/>
          <w:szCs w:val="28"/>
          <w:lang w:val="en-US"/>
        </w:rPr>
        <w:t>o</w:t>
      </w:r>
      <w:r w:rsidR="00786BF6" w:rsidRPr="009A7B0F">
        <w:rPr>
          <w:rFonts w:ascii="Times New Roman" w:hAnsi="Times New Roman" w:cs="Times New Roman"/>
          <w:sz w:val="28"/>
          <w:szCs w:val="28"/>
          <w:lang w:val="en-US"/>
        </w:rPr>
        <w:t>power</w:t>
      </w:r>
      <w:r w:rsidRPr="009A7B0F">
        <w:rPr>
          <w:rFonts w:ascii="Times New Roman" w:hAnsi="Times New Roman" w:cs="Times New Roman"/>
          <w:sz w:val="28"/>
          <w:szCs w:val="28"/>
          <w:lang w:val="en-US"/>
        </w:rPr>
        <w:t xml:space="preserve"> plants</w:t>
      </w:r>
      <w:r w:rsidR="00786BF6" w:rsidRPr="009A7B0F">
        <w:rPr>
          <w:rFonts w:ascii="Times New Roman" w:hAnsi="Times New Roman" w:cs="Times New Roman"/>
          <w:sz w:val="28"/>
          <w:szCs w:val="28"/>
          <w:lang w:val="en-US"/>
        </w:rPr>
        <w:t xml:space="preserve"> of </w:t>
      </w:r>
      <w:r w:rsidRPr="009A7B0F">
        <w:rPr>
          <w:rFonts w:ascii="Times New Roman" w:hAnsi="Times New Roman" w:cs="Times New Roman"/>
          <w:sz w:val="28"/>
          <w:szCs w:val="28"/>
          <w:lang w:val="en-US"/>
        </w:rPr>
        <w:t xml:space="preserve">country’s </w:t>
      </w:r>
      <w:r w:rsidR="00786BF6" w:rsidRPr="009A7B0F">
        <w:rPr>
          <w:rFonts w:ascii="Times New Roman" w:hAnsi="Times New Roman" w:cs="Times New Roman"/>
          <w:sz w:val="28"/>
          <w:szCs w:val="28"/>
          <w:lang w:val="en-US"/>
        </w:rPr>
        <w:t>southern region (</w:t>
      </w:r>
      <w:proofErr w:type="spellStart"/>
      <w:r w:rsidRPr="009A7B0F">
        <w:rPr>
          <w:rFonts w:ascii="Times New Roman" w:hAnsi="Times New Roman" w:cs="Times New Roman"/>
          <w:sz w:val="28"/>
          <w:szCs w:val="28"/>
          <w:lang w:val="en-US"/>
        </w:rPr>
        <w:t>Shardarinskaya</w:t>
      </w:r>
      <w:proofErr w:type="spellEnd"/>
      <w:r w:rsidRPr="009A7B0F">
        <w:rPr>
          <w:rFonts w:ascii="Times New Roman" w:hAnsi="Times New Roman" w:cs="Times New Roman"/>
          <w:sz w:val="28"/>
          <w:szCs w:val="28"/>
          <w:lang w:val="en-US"/>
        </w:rPr>
        <w:t xml:space="preserve"> HPP and </w:t>
      </w:r>
      <w:proofErr w:type="spellStart"/>
      <w:r w:rsidRPr="009A7B0F">
        <w:rPr>
          <w:rFonts w:ascii="Times New Roman" w:hAnsi="Times New Roman" w:cs="Times New Roman"/>
          <w:sz w:val="28"/>
          <w:szCs w:val="28"/>
          <w:lang w:val="en-US"/>
        </w:rPr>
        <w:t>Moynak</w:t>
      </w:r>
      <w:proofErr w:type="spellEnd"/>
      <w:r w:rsidRPr="009A7B0F">
        <w:rPr>
          <w:rFonts w:ascii="Times New Roman" w:hAnsi="Times New Roman" w:cs="Times New Roman"/>
          <w:sz w:val="28"/>
          <w:szCs w:val="28"/>
          <w:lang w:val="en-US"/>
        </w:rPr>
        <w:t xml:space="preserve"> HPP</w:t>
      </w:r>
      <w:r w:rsidR="00786BF6"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Also </w:t>
      </w:r>
      <w:r w:rsidR="00786BF6" w:rsidRPr="009A7B0F">
        <w:rPr>
          <w:rFonts w:ascii="Times New Roman" w:hAnsi="Times New Roman" w:cs="Times New Roman"/>
          <w:sz w:val="28"/>
          <w:szCs w:val="28"/>
          <w:lang w:val="en-US"/>
        </w:rPr>
        <w:t xml:space="preserve">the Company's assets include regional distribution </w:t>
      </w:r>
      <w:r w:rsidRPr="009A7B0F">
        <w:rPr>
          <w:rFonts w:ascii="Times New Roman" w:hAnsi="Times New Roman" w:cs="Times New Roman"/>
          <w:sz w:val="28"/>
          <w:szCs w:val="28"/>
          <w:lang w:val="en-US"/>
        </w:rPr>
        <w:t>power grid</w:t>
      </w:r>
      <w:r w:rsidR="005C5936" w:rsidRPr="009A7B0F">
        <w:rPr>
          <w:rFonts w:ascii="Times New Roman" w:hAnsi="Times New Roman" w:cs="Times New Roman"/>
          <w:sz w:val="28"/>
          <w:szCs w:val="28"/>
          <w:lang w:val="en-US"/>
        </w:rPr>
        <w:t>s</w:t>
      </w:r>
      <w:r w:rsidR="00786BF6" w:rsidRPr="009A7B0F">
        <w:rPr>
          <w:rFonts w:ascii="Times New Roman" w:hAnsi="Times New Roman" w:cs="Times New Roman"/>
          <w:sz w:val="28"/>
          <w:szCs w:val="28"/>
          <w:lang w:val="en-US"/>
        </w:rPr>
        <w:t xml:space="preserve"> and supply companies in </w:t>
      </w:r>
      <w:r w:rsidR="005C5936" w:rsidRPr="009A7B0F">
        <w:rPr>
          <w:rFonts w:ascii="Times New Roman" w:hAnsi="Times New Roman" w:cs="Times New Roman"/>
          <w:sz w:val="28"/>
          <w:szCs w:val="28"/>
          <w:lang w:val="en-US"/>
        </w:rPr>
        <w:t>A</w:t>
      </w:r>
      <w:r w:rsidR="00786BF6" w:rsidRPr="009A7B0F">
        <w:rPr>
          <w:rFonts w:ascii="Times New Roman" w:hAnsi="Times New Roman" w:cs="Times New Roman"/>
          <w:sz w:val="28"/>
          <w:szCs w:val="28"/>
          <w:lang w:val="en-US"/>
        </w:rPr>
        <w:t xml:space="preserve">lmaty, </w:t>
      </w:r>
      <w:proofErr w:type="spellStart"/>
      <w:r w:rsidR="00786BF6" w:rsidRPr="009A7B0F">
        <w:rPr>
          <w:rFonts w:ascii="Times New Roman" w:hAnsi="Times New Roman" w:cs="Times New Roman"/>
          <w:sz w:val="28"/>
          <w:szCs w:val="28"/>
          <w:lang w:val="en-US"/>
        </w:rPr>
        <w:t>Mangistau</w:t>
      </w:r>
      <w:proofErr w:type="spellEnd"/>
      <w:r w:rsidR="00786BF6" w:rsidRPr="009A7B0F">
        <w:rPr>
          <w:rFonts w:ascii="Times New Roman" w:hAnsi="Times New Roman" w:cs="Times New Roman"/>
          <w:sz w:val="28"/>
          <w:szCs w:val="28"/>
          <w:lang w:val="en-US"/>
        </w:rPr>
        <w:t xml:space="preserve">, East Kazakhstan regions and </w:t>
      </w:r>
      <w:r w:rsidR="005C5936" w:rsidRPr="009A7B0F">
        <w:rPr>
          <w:rFonts w:ascii="Times New Roman" w:hAnsi="Times New Roman" w:cs="Times New Roman"/>
          <w:sz w:val="28"/>
          <w:szCs w:val="28"/>
          <w:lang w:val="en-US"/>
        </w:rPr>
        <w:t>"</w:t>
      </w:r>
      <w:proofErr w:type="spellStart"/>
      <w:r w:rsidR="005C5936" w:rsidRPr="009A7B0F">
        <w:rPr>
          <w:rFonts w:ascii="Times New Roman" w:hAnsi="Times New Roman" w:cs="Times New Roman"/>
          <w:sz w:val="28"/>
          <w:szCs w:val="28"/>
          <w:lang w:val="en-US"/>
        </w:rPr>
        <w:t>Bogatyr</w:t>
      </w:r>
      <w:proofErr w:type="spellEnd"/>
      <w:r w:rsidR="005C5936" w:rsidRPr="009A7B0F">
        <w:rPr>
          <w:rFonts w:ascii="Times New Roman" w:hAnsi="Times New Roman" w:cs="Times New Roman"/>
          <w:sz w:val="28"/>
          <w:szCs w:val="28"/>
          <w:lang w:val="en-US"/>
        </w:rPr>
        <w:t xml:space="preserve"> </w:t>
      </w:r>
      <w:proofErr w:type="spellStart"/>
      <w:r w:rsidR="005C5936" w:rsidRPr="009A7B0F">
        <w:rPr>
          <w:rFonts w:ascii="Times New Roman" w:hAnsi="Times New Roman" w:cs="Times New Roman"/>
          <w:sz w:val="28"/>
          <w:szCs w:val="28"/>
          <w:lang w:val="en-US"/>
        </w:rPr>
        <w:t>Komir</w:t>
      </w:r>
      <w:proofErr w:type="spellEnd"/>
      <w:r w:rsidR="005C5936" w:rsidRPr="009A7B0F">
        <w:rPr>
          <w:rFonts w:ascii="Times New Roman" w:hAnsi="Times New Roman" w:cs="Times New Roman"/>
          <w:sz w:val="28"/>
          <w:szCs w:val="28"/>
          <w:lang w:val="en-US"/>
        </w:rPr>
        <w:t>" LLP</w:t>
      </w:r>
      <w:proofErr w:type="gramStart"/>
      <w:r w:rsidR="005C5936" w:rsidRPr="009A7B0F">
        <w:rPr>
          <w:rFonts w:ascii="Times New Roman" w:hAnsi="Times New Roman" w:cs="Times New Roman"/>
          <w:sz w:val="28"/>
          <w:szCs w:val="28"/>
          <w:lang w:val="en-US"/>
        </w:rPr>
        <w:t xml:space="preserve">,  </w:t>
      </w:r>
      <w:r w:rsidR="00786BF6" w:rsidRPr="009A7B0F">
        <w:rPr>
          <w:rFonts w:ascii="Times New Roman" w:hAnsi="Times New Roman" w:cs="Times New Roman"/>
          <w:sz w:val="28"/>
          <w:szCs w:val="28"/>
          <w:lang w:val="en-US"/>
        </w:rPr>
        <w:t>the</w:t>
      </w:r>
      <w:proofErr w:type="gramEnd"/>
      <w:r w:rsidR="00786BF6" w:rsidRPr="009A7B0F">
        <w:rPr>
          <w:rFonts w:ascii="Times New Roman" w:hAnsi="Times New Roman" w:cs="Times New Roman"/>
          <w:sz w:val="28"/>
          <w:szCs w:val="28"/>
          <w:lang w:val="en-US"/>
        </w:rPr>
        <w:t xml:space="preserve"> largest coal</w:t>
      </w:r>
      <w:r w:rsidR="005C5936" w:rsidRPr="009A7B0F">
        <w:rPr>
          <w:rFonts w:ascii="Times New Roman" w:hAnsi="Times New Roman" w:cs="Times New Roman"/>
          <w:sz w:val="28"/>
          <w:szCs w:val="28"/>
          <w:lang w:val="en-US"/>
        </w:rPr>
        <w:t xml:space="preserve"> mining entity</w:t>
      </w:r>
      <w:r w:rsidR="00786BF6" w:rsidRPr="009A7B0F">
        <w:rPr>
          <w:rFonts w:ascii="Times New Roman" w:hAnsi="Times New Roman" w:cs="Times New Roman"/>
          <w:sz w:val="28"/>
          <w:szCs w:val="28"/>
          <w:lang w:val="en-US"/>
        </w:rPr>
        <w:t xml:space="preserve"> in Kazakhstan</w:t>
      </w:r>
      <w:r w:rsidR="005C5936" w:rsidRPr="009A7B0F">
        <w:rPr>
          <w:rFonts w:ascii="Times New Roman" w:hAnsi="Times New Roman" w:cs="Times New Roman"/>
          <w:sz w:val="28"/>
          <w:szCs w:val="28"/>
          <w:lang w:val="en-US"/>
        </w:rPr>
        <w:t>.</w:t>
      </w:r>
      <w:r w:rsidR="00786BF6" w:rsidRPr="009A7B0F">
        <w:rPr>
          <w:rFonts w:ascii="Times New Roman" w:hAnsi="Times New Roman" w:cs="Times New Roman"/>
          <w:sz w:val="28"/>
          <w:szCs w:val="28"/>
          <w:lang w:val="en-US"/>
        </w:rPr>
        <w:t xml:space="preserve"> </w:t>
      </w:r>
      <w:r w:rsidR="005C5936" w:rsidRPr="009A7B0F">
        <w:rPr>
          <w:rFonts w:ascii="Times New Roman" w:hAnsi="Times New Roman" w:cs="Times New Roman"/>
          <w:sz w:val="28"/>
          <w:szCs w:val="28"/>
          <w:lang w:val="en-US"/>
        </w:rPr>
        <w:t xml:space="preserve">The company supplies coal to </w:t>
      </w:r>
      <w:r w:rsidR="00786BF6" w:rsidRPr="009A7B0F">
        <w:rPr>
          <w:rFonts w:ascii="Times New Roman" w:hAnsi="Times New Roman" w:cs="Times New Roman"/>
          <w:sz w:val="28"/>
          <w:szCs w:val="28"/>
          <w:lang w:val="en-US"/>
        </w:rPr>
        <w:t>generating facilities of the Group and third parties located both in Kazakhstan and in the Russian Federation.</w:t>
      </w:r>
    </w:p>
    <w:p w:rsidR="00786BF6" w:rsidRPr="009A7B0F" w:rsidRDefault="00F53979"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Forecasting</w:t>
      </w:r>
      <w:r w:rsidR="00786BF6" w:rsidRPr="009A7B0F">
        <w:rPr>
          <w:rFonts w:ascii="Times New Roman" w:hAnsi="Times New Roman" w:cs="Times New Roman"/>
          <w:sz w:val="28"/>
          <w:szCs w:val="28"/>
          <w:lang w:val="en-US"/>
        </w:rPr>
        <w:t xml:space="preserve"> of key financial and economic indicators of the Company's </w:t>
      </w:r>
      <w:r w:rsidRPr="009A7B0F">
        <w:rPr>
          <w:rFonts w:ascii="Times New Roman" w:hAnsi="Times New Roman" w:cs="Times New Roman"/>
          <w:sz w:val="28"/>
          <w:szCs w:val="28"/>
          <w:lang w:val="en-US"/>
        </w:rPr>
        <w:t>performance</w:t>
      </w:r>
      <w:r w:rsidR="00786BF6" w:rsidRPr="009A7B0F">
        <w:rPr>
          <w:rFonts w:ascii="Times New Roman" w:hAnsi="Times New Roman" w:cs="Times New Roman"/>
          <w:sz w:val="28"/>
          <w:szCs w:val="28"/>
          <w:lang w:val="en-US"/>
        </w:rPr>
        <w:t xml:space="preserve"> is based on macroeconomic indicators</w:t>
      </w:r>
      <w:r w:rsidRPr="009A7B0F">
        <w:rPr>
          <w:rFonts w:ascii="Times New Roman" w:hAnsi="Times New Roman" w:cs="Times New Roman"/>
          <w:sz w:val="28"/>
          <w:szCs w:val="28"/>
          <w:lang w:val="en-US"/>
        </w:rPr>
        <w:t xml:space="preserve"> that are provided by “Sovereign Wealth Fund “</w:t>
      </w:r>
      <w:proofErr w:type="spellStart"/>
      <w:r w:rsidRPr="009A7B0F">
        <w:rPr>
          <w:rFonts w:ascii="Times New Roman" w:hAnsi="Times New Roman" w:cs="Times New Roman"/>
          <w:sz w:val="28"/>
          <w:szCs w:val="28"/>
          <w:lang w:val="en-US"/>
        </w:rPr>
        <w:t>Samruk-Kazyna</w:t>
      </w:r>
      <w:proofErr w:type="spellEnd"/>
      <w:r w:rsidRPr="009A7B0F">
        <w:rPr>
          <w:rFonts w:ascii="Times New Roman" w:hAnsi="Times New Roman" w:cs="Times New Roman"/>
          <w:sz w:val="28"/>
          <w:szCs w:val="28"/>
          <w:lang w:val="en-US"/>
        </w:rPr>
        <w:t>” JSC,</w:t>
      </w:r>
      <w:r w:rsidR="00A101DE">
        <w:rPr>
          <w:rFonts w:ascii="Times New Roman" w:hAnsi="Times New Roman" w:cs="Times New Roman"/>
          <w:sz w:val="28"/>
          <w:szCs w:val="28"/>
          <w:lang w:val="en-US"/>
        </w:rPr>
        <w:t xml:space="preserve"> </w:t>
      </w:r>
      <w:r w:rsidR="00786BF6" w:rsidRPr="009A7B0F">
        <w:rPr>
          <w:rFonts w:ascii="Times New Roman" w:hAnsi="Times New Roman" w:cs="Times New Roman"/>
          <w:sz w:val="28"/>
          <w:szCs w:val="28"/>
          <w:lang w:val="en-US"/>
        </w:rPr>
        <w:t>the Company's shareholder</w:t>
      </w:r>
      <w:r w:rsidRPr="009A7B0F">
        <w:rPr>
          <w:rFonts w:ascii="Times New Roman" w:hAnsi="Times New Roman" w:cs="Times New Roman"/>
          <w:sz w:val="28"/>
          <w:szCs w:val="28"/>
          <w:lang w:val="en-US"/>
        </w:rPr>
        <w:t>.</w:t>
      </w:r>
      <w:r w:rsidR="00A101DE">
        <w:rPr>
          <w:rFonts w:ascii="Times New Roman" w:hAnsi="Times New Roman" w:cs="Times New Roman"/>
          <w:sz w:val="28"/>
          <w:szCs w:val="28"/>
          <w:lang w:val="en-US"/>
        </w:rPr>
        <w:t xml:space="preserve"> </w:t>
      </w:r>
      <w:r w:rsidR="00786BF6" w:rsidRPr="009A7B0F">
        <w:rPr>
          <w:rFonts w:ascii="Times New Roman" w:hAnsi="Times New Roman" w:cs="Times New Roman"/>
          <w:sz w:val="28"/>
          <w:szCs w:val="28"/>
          <w:lang w:val="en-US"/>
        </w:rPr>
        <w:t xml:space="preserve">Approved </w:t>
      </w:r>
      <w:r w:rsidRPr="009A7B0F">
        <w:rPr>
          <w:rFonts w:ascii="Times New Roman" w:hAnsi="Times New Roman" w:cs="Times New Roman"/>
          <w:sz w:val="28"/>
          <w:szCs w:val="28"/>
          <w:lang w:val="en-US"/>
        </w:rPr>
        <w:lastRenderedPageBreak/>
        <w:t xml:space="preserve">Development </w:t>
      </w:r>
      <w:r w:rsidR="00786BF6" w:rsidRPr="009A7B0F">
        <w:rPr>
          <w:rFonts w:ascii="Times New Roman" w:hAnsi="Times New Roman" w:cs="Times New Roman"/>
          <w:sz w:val="28"/>
          <w:szCs w:val="28"/>
          <w:lang w:val="en-US"/>
        </w:rPr>
        <w:t>Plan of the Company</w:t>
      </w:r>
      <w:r w:rsidRPr="009A7B0F">
        <w:rPr>
          <w:rFonts w:ascii="Times New Roman" w:hAnsi="Times New Roman" w:cs="Times New Roman"/>
          <w:sz w:val="28"/>
          <w:szCs w:val="28"/>
          <w:lang w:val="en-US"/>
        </w:rPr>
        <w:t xml:space="preserve"> for</w:t>
      </w:r>
      <w:r w:rsidR="00786BF6" w:rsidRPr="009A7B0F">
        <w:rPr>
          <w:rFonts w:ascii="Times New Roman" w:hAnsi="Times New Roman" w:cs="Times New Roman"/>
          <w:sz w:val="28"/>
          <w:szCs w:val="28"/>
          <w:lang w:val="en-US"/>
        </w:rPr>
        <w:t xml:space="preserve"> 2016-2020 </w:t>
      </w:r>
      <w:r w:rsidRPr="009A7B0F">
        <w:rPr>
          <w:rFonts w:ascii="Times New Roman" w:hAnsi="Times New Roman" w:cs="Times New Roman"/>
          <w:sz w:val="28"/>
          <w:szCs w:val="28"/>
          <w:lang w:val="en-US"/>
        </w:rPr>
        <w:t xml:space="preserve">was </w:t>
      </w:r>
      <w:r w:rsidR="00786BF6" w:rsidRPr="009A7B0F">
        <w:rPr>
          <w:rFonts w:ascii="Times New Roman" w:hAnsi="Times New Roman" w:cs="Times New Roman"/>
          <w:sz w:val="28"/>
          <w:szCs w:val="28"/>
          <w:lang w:val="en-US"/>
        </w:rPr>
        <w:t xml:space="preserve">formed taking into account macroeconomic indicators - change </w:t>
      </w:r>
      <w:r w:rsidRPr="009A7B0F">
        <w:rPr>
          <w:rFonts w:ascii="Times New Roman" w:hAnsi="Times New Roman" w:cs="Times New Roman"/>
          <w:sz w:val="28"/>
          <w:szCs w:val="28"/>
          <w:lang w:val="en-US"/>
        </w:rPr>
        <w:t xml:space="preserve">in </w:t>
      </w:r>
      <w:r w:rsidR="00786BF6" w:rsidRPr="009A7B0F">
        <w:rPr>
          <w:rFonts w:ascii="Times New Roman" w:hAnsi="Times New Roman" w:cs="Times New Roman"/>
          <w:sz w:val="28"/>
          <w:szCs w:val="28"/>
          <w:lang w:val="en-US"/>
        </w:rPr>
        <w:t xml:space="preserve">the </w:t>
      </w:r>
      <w:r w:rsidRPr="009A7B0F">
        <w:rPr>
          <w:rFonts w:ascii="Times New Roman" w:hAnsi="Times New Roman" w:cs="Times New Roman"/>
          <w:sz w:val="28"/>
          <w:szCs w:val="28"/>
          <w:lang w:val="en-US"/>
        </w:rPr>
        <w:t xml:space="preserve">calculated </w:t>
      </w:r>
      <w:r w:rsidR="00A101DE">
        <w:rPr>
          <w:rFonts w:ascii="Times New Roman" w:hAnsi="Times New Roman" w:cs="Times New Roman"/>
          <w:sz w:val="28"/>
          <w:szCs w:val="28"/>
          <w:lang w:val="en-US"/>
        </w:rPr>
        <w:t xml:space="preserve">US dollar rate which equals to </w:t>
      </w:r>
      <w:r w:rsidR="00786BF6" w:rsidRPr="009A7B0F">
        <w:rPr>
          <w:rFonts w:ascii="Times New Roman" w:hAnsi="Times New Roman" w:cs="Times New Roman"/>
          <w:sz w:val="28"/>
          <w:szCs w:val="28"/>
          <w:lang w:val="en-US"/>
        </w:rPr>
        <w:t xml:space="preserve">360 </w:t>
      </w:r>
      <w:r w:rsidRPr="009A7B0F">
        <w:rPr>
          <w:rFonts w:ascii="Times New Roman" w:hAnsi="Times New Roman" w:cs="Times New Roman"/>
          <w:sz w:val="28"/>
          <w:szCs w:val="28"/>
          <w:lang w:val="en-US"/>
        </w:rPr>
        <w:t>KZT</w:t>
      </w:r>
      <w:r w:rsidR="00786BF6"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considering</w:t>
      </w:r>
      <w:r w:rsidR="00786BF6" w:rsidRPr="009A7B0F">
        <w:rPr>
          <w:rFonts w:ascii="Times New Roman" w:hAnsi="Times New Roman" w:cs="Times New Roman"/>
          <w:sz w:val="28"/>
          <w:szCs w:val="28"/>
          <w:lang w:val="en-US"/>
        </w:rPr>
        <w:t xml:space="preserve"> the inflation index of 6-8% - in line with the updated </w:t>
      </w:r>
      <w:r w:rsidRPr="009A7B0F">
        <w:rPr>
          <w:rFonts w:ascii="Times New Roman" w:hAnsi="Times New Roman" w:cs="Times New Roman"/>
          <w:sz w:val="28"/>
          <w:szCs w:val="28"/>
          <w:lang w:val="en-US"/>
        </w:rPr>
        <w:t>F</w:t>
      </w:r>
      <w:r w:rsidR="00786BF6" w:rsidRPr="009A7B0F">
        <w:rPr>
          <w:rFonts w:ascii="Times New Roman" w:hAnsi="Times New Roman" w:cs="Times New Roman"/>
          <w:sz w:val="28"/>
          <w:szCs w:val="28"/>
          <w:lang w:val="en-US"/>
        </w:rPr>
        <w:t>orecast of soci</w:t>
      </w:r>
      <w:r w:rsidRPr="009A7B0F">
        <w:rPr>
          <w:rFonts w:ascii="Times New Roman" w:hAnsi="Times New Roman" w:cs="Times New Roman"/>
          <w:sz w:val="28"/>
          <w:szCs w:val="28"/>
          <w:lang w:val="en-US"/>
        </w:rPr>
        <w:t xml:space="preserve">al and </w:t>
      </w:r>
      <w:r w:rsidR="00786BF6" w:rsidRPr="009A7B0F">
        <w:rPr>
          <w:rFonts w:ascii="Times New Roman" w:hAnsi="Times New Roman" w:cs="Times New Roman"/>
          <w:sz w:val="28"/>
          <w:szCs w:val="28"/>
          <w:lang w:val="en-US"/>
        </w:rPr>
        <w:t xml:space="preserve">economic development </w:t>
      </w:r>
      <w:r w:rsidRPr="009A7B0F">
        <w:rPr>
          <w:rFonts w:ascii="Times New Roman" w:hAnsi="Times New Roman" w:cs="Times New Roman"/>
          <w:sz w:val="28"/>
          <w:szCs w:val="28"/>
          <w:lang w:val="en-US"/>
        </w:rPr>
        <w:t xml:space="preserve">of the state </w:t>
      </w:r>
      <w:r w:rsidR="00786BF6" w:rsidRPr="009A7B0F">
        <w:rPr>
          <w:rFonts w:ascii="Times New Roman" w:hAnsi="Times New Roman" w:cs="Times New Roman"/>
          <w:sz w:val="28"/>
          <w:szCs w:val="28"/>
          <w:lang w:val="en-US"/>
        </w:rPr>
        <w:t>for 2016-2020 adopted by the Government o</w:t>
      </w:r>
      <w:r w:rsidRPr="009A7B0F">
        <w:rPr>
          <w:rFonts w:ascii="Times New Roman" w:hAnsi="Times New Roman" w:cs="Times New Roman"/>
          <w:sz w:val="28"/>
          <w:szCs w:val="28"/>
          <w:lang w:val="en-US"/>
        </w:rPr>
        <w:t>n</w:t>
      </w:r>
      <w:r w:rsidR="00786BF6" w:rsidRPr="009A7B0F">
        <w:rPr>
          <w:rFonts w:ascii="Times New Roman" w:hAnsi="Times New Roman" w:cs="Times New Roman"/>
          <w:sz w:val="28"/>
          <w:szCs w:val="28"/>
          <w:lang w:val="en-US"/>
        </w:rPr>
        <w:t xml:space="preserve"> February 23, 2016 (</w:t>
      </w:r>
      <w:r w:rsidRPr="009A7B0F">
        <w:rPr>
          <w:rFonts w:ascii="Times New Roman" w:hAnsi="Times New Roman" w:cs="Times New Roman"/>
          <w:sz w:val="28"/>
          <w:szCs w:val="28"/>
          <w:lang w:val="en-US"/>
        </w:rPr>
        <w:t xml:space="preserve">Minutes No. </w:t>
      </w:r>
      <w:r w:rsidR="00786BF6" w:rsidRPr="009A7B0F">
        <w:rPr>
          <w:rFonts w:ascii="Times New Roman" w:hAnsi="Times New Roman" w:cs="Times New Roman"/>
          <w:sz w:val="28"/>
          <w:szCs w:val="28"/>
          <w:lang w:val="en-US"/>
        </w:rPr>
        <w:t>6).</w:t>
      </w:r>
    </w:p>
    <w:p w:rsidR="00786BF6" w:rsidRPr="009A7B0F"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Operating activit</w:t>
      </w:r>
      <w:r w:rsidR="00C0435F" w:rsidRPr="009A7B0F">
        <w:rPr>
          <w:rFonts w:ascii="Times New Roman" w:hAnsi="Times New Roman" w:cs="Times New Roman"/>
          <w:sz w:val="28"/>
          <w:szCs w:val="28"/>
          <w:lang w:val="en-US"/>
        </w:rPr>
        <w:t>y</w:t>
      </w:r>
      <w:r w:rsidRPr="009A7B0F">
        <w:rPr>
          <w:rFonts w:ascii="Times New Roman" w:hAnsi="Times New Roman" w:cs="Times New Roman"/>
          <w:sz w:val="28"/>
          <w:szCs w:val="28"/>
          <w:lang w:val="en-US"/>
        </w:rPr>
        <w:t xml:space="preserve"> of the Group's subsidiaries and its joint ventures, </w:t>
      </w:r>
      <w:r w:rsidR="009E3530" w:rsidRPr="009A7B0F">
        <w:rPr>
          <w:rFonts w:ascii="Times New Roman" w:hAnsi="Times New Roman" w:cs="Times New Roman"/>
          <w:sz w:val="28"/>
          <w:szCs w:val="28"/>
          <w:lang w:val="en-US"/>
        </w:rPr>
        <w:t xml:space="preserve">being natural monopoly </w:t>
      </w:r>
      <w:r w:rsidRPr="009A7B0F">
        <w:rPr>
          <w:rFonts w:ascii="Times New Roman" w:hAnsi="Times New Roman" w:cs="Times New Roman"/>
          <w:sz w:val="28"/>
          <w:szCs w:val="28"/>
          <w:lang w:val="en-US"/>
        </w:rPr>
        <w:t>and regulated markets</w:t>
      </w:r>
      <w:r w:rsidR="00C0435F" w:rsidRPr="009A7B0F">
        <w:rPr>
          <w:rFonts w:ascii="Times New Roman" w:hAnsi="Times New Roman" w:cs="Times New Roman"/>
          <w:sz w:val="28"/>
          <w:szCs w:val="28"/>
          <w:lang w:val="en-US"/>
        </w:rPr>
        <w:t xml:space="preserve"> entities</w:t>
      </w:r>
      <w:r w:rsidRPr="009A7B0F">
        <w:rPr>
          <w:rFonts w:ascii="Times New Roman" w:hAnsi="Times New Roman" w:cs="Times New Roman"/>
          <w:sz w:val="28"/>
          <w:szCs w:val="28"/>
          <w:lang w:val="en-US"/>
        </w:rPr>
        <w:t xml:space="preserve"> and entities occupying a dominant p</w:t>
      </w:r>
      <w:r w:rsidR="00C0435F" w:rsidRPr="009A7B0F">
        <w:rPr>
          <w:rFonts w:ascii="Times New Roman" w:hAnsi="Times New Roman" w:cs="Times New Roman"/>
          <w:sz w:val="28"/>
          <w:szCs w:val="28"/>
          <w:lang w:val="en-US"/>
        </w:rPr>
        <w:t>osition in a competitive market are</w:t>
      </w:r>
      <w:r w:rsidRPr="009A7B0F">
        <w:rPr>
          <w:rFonts w:ascii="Times New Roman" w:hAnsi="Times New Roman" w:cs="Times New Roman"/>
          <w:sz w:val="28"/>
          <w:szCs w:val="28"/>
          <w:lang w:val="en-US"/>
        </w:rPr>
        <w:t xml:space="preserve"> governed by the laws of the Republic of Kazakhstan "On Power</w:t>
      </w:r>
      <w:r w:rsidR="00062E43" w:rsidRPr="009A7B0F">
        <w:rPr>
          <w:rFonts w:ascii="Times New Roman" w:hAnsi="Times New Roman" w:cs="Times New Roman"/>
          <w:sz w:val="28"/>
          <w:szCs w:val="28"/>
          <w:lang w:val="en-US"/>
        </w:rPr>
        <w:t xml:space="preserve"> industry</w:t>
      </w:r>
      <w:r w:rsidRPr="009A7B0F">
        <w:rPr>
          <w:rFonts w:ascii="Times New Roman" w:hAnsi="Times New Roman" w:cs="Times New Roman"/>
          <w:sz w:val="28"/>
          <w:szCs w:val="28"/>
          <w:lang w:val="en-US"/>
        </w:rPr>
        <w:t xml:space="preserve">", "On natural monopolies and regulated markets", "On competition" and </w:t>
      </w:r>
      <w:r w:rsidR="00062E43" w:rsidRPr="009A7B0F">
        <w:rPr>
          <w:rFonts w:ascii="Times New Roman" w:hAnsi="Times New Roman" w:cs="Times New Roman"/>
          <w:sz w:val="28"/>
          <w:szCs w:val="28"/>
          <w:lang w:val="en-US"/>
        </w:rPr>
        <w:t>the RK</w:t>
      </w:r>
      <w:r w:rsidRPr="009A7B0F">
        <w:rPr>
          <w:rFonts w:ascii="Times New Roman" w:hAnsi="Times New Roman" w:cs="Times New Roman"/>
          <w:sz w:val="28"/>
          <w:szCs w:val="28"/>
          <w:lang w:val="en-US"/>
        </w:rPr>
        <w:t xml:space="preserve"> Code "On entrepreneurship"</w:t>
      </w:r>
      <w:r w:rsidR="00062E43" w:rsidRPr="009A7B0F">
        <w:rPr>
          <w:rFonts w:ascii="Times New Roman" w:hAnsi="Times New Roman" w:cs="Times New Roman"/>
          <w:sz w:val="28"/>
          <w:szCs w:val="28"/>
          <w:lang w:val="en-US"/>
        </w:rPr>
        <w:t xml:space="preserve"> re-entered into force from January 2016</w:t>
      </w:r>
      <w:r w:rsidRPr="009A7B0F">
        <w:rPr>
          <w:rFonts w:ascii="Times New Roman" w:hAnsi="Times New Roman" w:cs="Times New Roman"/>
          <w:sz w:val="28"/>
          <w:szCs w:val="28"/>
          <w:lang w:val="en-US"/>
        </w:rPr>
        <w:t>.</w:t>
      </w:r>
    </w:p>
    <w:p w:rsidR="00786BF6" w:rsidRPr="009A7B0F"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Tariff regulation, depending on the type of</w:t>
      </w:r>
      <w:r w:rsidR="004D1A69" w:rsidRPr="009A7B0F">
        <w:rPr>
          <w:rFonts w:ascii="Times New Roman" w:hAnsi="Times New Roman" w:cs="Times New Roman"/>
          <w:sz w:val="28"/>
          <w:szCs w:val="28"/>
          <w:lang w:val="en-US"/>
        </w:rPr>
        <w:t xml:space="preserve"> activity of power companies,</w:t>
      </w:r>
      <w:r w:rsidRPr="009A7B0F">
        <w:rPr>
          <w:rFonts w:ascii="Times New Roman" w:hAnsi="Times New Roman" w:cs="Times New Roman"/>
          <w:sz w:val="28"/>
          <w:szCs w:val="28"/>
          <w:lang w:val="en-US"/>
        </w:rPr>
        <w:t xml:space="preserve"> falls within the competence of the Committee on Regulation of Natural Monopolies and Protection of Competition of the Ministry of National Economy of Kazakhstan (hereinafter </w:t>
      </w:r>
      <w:r w:rsidR="004D1A69"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CR</w:t>
      </w:r>
      <w:r w:rsidR="004D1A69" w:rsidRPr="009A7B0F">
        <w:rPr>
          <w:rFonts w:ascii="Times New Roman" w:hAnsi="Times New Roman" w:cs="Times New Roman"/>
          <w:sz w:val="28"/>
          <w:szCs w:val="28"/>
          <w:lang w:val="en-US"/>
        </w:rPr>
        <w:t>NM and PC</w:t>
      </w:r>
      <w:r w:rsidRPr="009A7B0F">
        <w:rPr>
          <w:rFonts w:ascii="Times New Roman" w:hAnsi="Times New Roman" w:cs="Times New Roman"/>
          <w:sz w:val="28"/>
          <w:szCs w:val="28"/>
          <w:lang w:val="en-US"/>
        </w:rPr>
        <w:t xml:space="preserve">) or </w:t>
      </w:r>
      <w:r w:rsidR="004D1A69" w:rsidRPr="009A7B0F">
        <w:rPr>
          <w:rFonts w:ascii="Times New Roman" w:hAnsi="Times New Roman" w:cs="Times New Roman"/>
          <w:sz w:val="28"/>
          <w:szCs w:val="28"/>
          <w:lang w:val="en-US"/>
        </w:rPr>
        <w:t>sector</w:t>
      </w:r>
      <w:r w:rsidRPr="009A7B0F">
        <w:rPr>
          <w:rFonts w:ascii="Times New Roman" w:hAnsi="Times New Roman" w:cs="Times New Roman"/>
          <w:sz w:val="28"/>
          <w:szCs w:val="28"/>
          <w:lang w:val="en-US"/>
        </w:rPr>
        <w:t xml:space="preserve"> ministry - the Ministry of Energy (hereinafter - ME).</w:t>
      </w:r>
    </w:p>
    <w:p w:rsidR="00786BF6" w:rsidRPr="009A7B0F"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Electricity tariffs for </w:t>
      </w:r>
      <w:r w:rsidR="00FD4C02" w:rsidRPr="009A7B0F">
        <w:rPr>
          <w:rFonts w:ascii="Times New Roman" w:hAnsi="Times New Roman" w:cs="Times New Roman"/>
          <w:sz w:val="28"/>
          <w:szCs w:val="28"/>
          <w:lang w:val="en-US"/>
        </w:rPr>
        <w:t>energy</w:t>
      </w:r>
      <w:r w:rsidRPr="009A7B0F">
        <w:rPr>
          <w:rFonts w:ascii="Times New Roman" w:hAnsi="Times New Roman" w:cs="Times New Roman"/>
          <w:sz w:val="28"/>
          <w:szCs w:val="28"/>
          <w:lang w:val="en-US"/>
        </w:rPr>
        <w:t xml:space="preserve"> producing organizations (</w:t>
      </w:r>
      <w:r w:rsidR="00FD4C02" w:rsidRPr="009A7B0F">
        <w:rPr>
          <w:rFonts w:ascii="Times New Roman" w:hAnsi="Times New Roman" w:cs="Times New Roman"/>
          <w:sz w:val="28"/>
          <w:szCs w:val="28"/>
          <w:lang w:val="en-US"/>
        </w:rPr>
        <w:t>EP</w:t>
      </w:r>
      <w:r w:rsidRPr="009A7B0F">
        <w:rPr>
          <w:rFonts w:ascii="Times New Roman" w:hAnsi="Times New Roman" w:cs="Times New Roman"/>
          <w:sz w:val="28"/>
          <w:szCs w:val="28"/>
          <w:lang w:val="en-US"/>
        </w:rPr>
        <w:t xml:space="preserve">O) </w:t>
      </w:r>
      <w:r w:rsidR="00FD4C02" w:rsidRPr="009A7B0F">
        <w:rPr>
          <w:rFonts w:ascii="Times New Roman" w:hAnsi="Times New Roman" w:cs="Times New Roman"/>
          <w:sz w:val="28"/>
          <w:szCs w:val="28"/>
          <w:lang w:val="en-US"/>
        </w:rPr>
        <w:t xml:space="preserve">were </w:t>
      </w:r>
      <w:r w:rsidRPr="009A7B0F">
        <w:rPr>
          <w:rFonts w:ascii="Times New Roman" w:hAnsi="Times New Roman" w:cs="Times New Roman"/>
          <w:sz w:val="28"/>
          <w:szCs w:val="28"/>
          <w:lang w:val="en-US"/>
        </w:rPr>
        <w:t xml:space="preserve">approved by </w:t>
      </w:r>
      <w:r w:rsidR="00FD4C02" w:rsidRPr="009A7B0F">
        <w:rPr>
          <w:rFonts w:ascii="Times New Roman" w:hAnsi="Times New Roman" w:cs="Times New Roman"/>
          <w:sz w:val="28"/>
          <w:szCs w:val="28"/>
          <w:lang w:val="en-US"/>
        </w:rPr>
        <w:t xml:space="preserve">the </w:t>
      </w:r>
      <w:r w:rsidRPr="009A7B0F">
        <w:rPr>
          <w:rFonts w:ascii="Times New Roman" w:hAnsi="Times New Roman" w:cs="Times New Roman"/>
          <w:sz w:val="28"/>
          <w:szCs w:val="28"/>
          <w:lang w:val="en-US"/>
        </w:rPr>
        <w:t>order of the</w:t>
      </w:r>
      <w:r w:rsidR="00FD4C02" w:rsidRPr="009A7B0F">
        <w:rPr>
          <w:rFonts w:ascii="Times New Roman" w:hAnsi="Times New Roman" w:cs="Times New Roman"/>
          <w:sz w:val="28"/>
          <w:szCs w:val="28"/>
          <w:lang w:val="en-US"/>
        </w:rPr>
        <w:t xml:space="preserve"> Energy</w:t>
      </w:r>
      <w:r w:rsidRPr="009A7B0F">
        <w:rPr>
          <w:rFonts w:ascii="Times New Roman" w:hAnsi="Times New Roman" w:cs="Times New Roman"/>
          <w:sz w:val="28"/>
          <w:szCs w:val="28"/>
          <w:lang w:val="en-US"/>
        </w:rPr>
        <w:t xml:space="preserve"> Minister "On approval of </w:t>
      </w:r>
      <w:r w:rsidR="00FD4C02" w:rsidRPr="009A7B0F">
        <w:rPr>
          <w:rFonts w:ascii="Times New Roman" w:hAnsi="Times New Roman" w:cs="Times New Roman"/>
          <w:sz w:val="28"/>
          <w:szCs w:val="28"/>
          <w:lang w:val="en-US"/>
        </w:rPr>
        <w:t>capped</w:t>
      </w:r>
      <w:r w:rsidRPr="009A7B0F">
        <w:rPr>
          <w:rFonts w:ascii="Times New Roman" w:hAnsi="Times New Roman" w:cs="Times New Roman"/>
          <w:sz w:val="28"/>
          <w:szCs w:val="28"/>
          <w:lang w:val="en-US"/>
        </w:rPr>
        <w:t xml:space="preserve"> tariffs for electricity </w:t>
      </w:r>
      <w:r w:rsidR="00FD4C02" w:rsidRPr="009A7B0F">
        <w:rPr>
          <w:rFonts w:ascii="Times New Roman" w:hAnsi="Times New Roman" w:cs="Times New Roman"/>
          <w:sz w:val="28"/>
          <w:szCs w:val="28"/>
          <w:lang w:val="en-US"/>
        </w:rPr>
        <w:t xml:space="preserve">for energy </w:t>
      </w:r>
      <w:r w:rsidRPr="009A7B0F">
        <w:rPr>
          <w:rFonts w:ascii="Times New Roman" w:hAnsi="Times New Roman" w:cs="Times New Roman"/>
          <w:sz w:val="28"/>
          <w:szCs w:val="28"/>
          <w:lang w:val="en-US"/>
        </w:rPr>
        <w:t xml:space="preserve">producing organizations" </w:t>
      </w:r>
      <w:r w:rsidR="008C567C" w:rsidRPr="009A7B0F">
        <w:rPr>
          <w:rFonts w:ascii="Times New Roman" w:hAnsi="Times New Roman" w:cs="Times New Roman"/>
          <w:sz w:val="28"/>
          <w:szCs w:val="28"/>
          <w:lang w:val="en-US"/>
        </w:rPr>
        <w:t xml:space="preserve">No. 160 </w:t>
      </w:r>
      <w:r w:rsidR="00FD4C02" w:rsidRPr="009A7B0F">
        <w:rPr>
          <w:rFonts w:ascii="Times New Roman" w:hAnsi="Times New Roman" w:cs="Times New Roman"/>
          <w:sz w:val="28"/>
          <w:szCs w:val="28"/>
          <w:lang w:val="en-US"/>
        </w:rPr>
        <w:t>dated</w:t>
      </w:r>
      <w:r w:rsidRPr="009A7B0F">
        <w:rPr>
          <w:rFonts w:ascii="Times New Roman" w:hAnsi="Times New Roman" w:cs="Times New Roman"/>
          <w:sz w:val="28"/>
          <w:szCs w:val="28"/>
          <w:lang w:val="en-US"/>
        </w:rPr>
        <w:t xml:space="preserve"> February </w:t>
      </w:r>
      <w:r w:rsidR="00FD4C02" w:rsidRPr="009A7B0F">
        <w:rPr>
          <w:rFonts w:ascii="Times New Roman" w:hAnsi="Times New Roman" w:cs="Times New Roman"/>
          <w:sz w:val="28"/>
          <w:szCs w:val="28"/>
          <w:lang w:val="en-US"/>
        </w:rPr>
        <w:t xml:space="preserve">27, </w:t>
      </w:r>
      <w:r w:rsidR="008C567C" w:rsidRPr="009A7B0F">
        <w:rPr>
          <w:rFonts w:ascii="Times New Roman" w:hAnsi="Times New Roman" w:cs="Times New Roman"/>
          <w:sz w:val="28"/>
          <w:szCs w:val="28"/>
          <w:lang w:val="en-US"/>
        </w:rPr>
        <w:t xml:space="preserve">2015 for a term of </w:t>
      </w:r>
      <w:r w:rsidRPr="009A7B0F">
        <w:rPr>
          <w:rFonts w:ascii="Times New Roman" w:hAnsi="Times New Roman" w:cs="Times New Roman"/>
          <w:sz w:val="28"/>
          <w:szCs w:val="28"/>
          <w:lang w:val="en-US"/>
        </w:rPr>
        <w:t xml:space="preserve">2016-2018. Tariffs for transmission and distribution of electricity for </w:t>
      </w:r>
      <w:r w:rsidR="008C567C" w:rsidRPr="009A7B0F">
        <w:rPr>
          <w:rFonts w:ascii="Times New Roman" w:hAnsi="Times New Roman" w:cs="Times New Roman"/>
          <w:sz w:val="28"/>
          <w:szCs w:val="28"/>
          <w:lang w:val="en-US"/>
        </w:rPr>
        <w:t>power</w:t>
      </w:r>
      <w:r w:rsidRPr="009A7B0F">
        <w:rPr>
          <w:rFonts w:ascii="Times New Roman" w:hAnsi="Times New Roman" w:cs="Times New Roman"/>
          <w:sz w:val="28"/>
          <w:szCs w:val="28"/>
          <w:lang w:val="en-US"/>
        </w:rPr>
        <w:t xml:space="preserve"> transmission companies (KEGOC and RECs)</w:t>
      </w:r>
      <w:r w:rsidR="008C567C"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for heat production (EPO) and tariffs for energy supply (</w:t>
      </w:r>
      <w:r w:rsidR="008C567C" w:rsidRPr="009A7B0F">
        <w:rPr>
          <w:rFonts w:ascii="Times New Roman" w:hAnsi="Times New Roman" w:cs="Times New Roman"/>
          <w:sz w:val="28"/>
          <w:szCs w:val="28"/>
          <w:lang w:val="en-US"/>
        </w:rPr>
        <w:t>PSO</w:t>
      </w:r>
      <w:r w:rsidRPr="009A7B0F">
        <w:rPr>
          <w:rFonts w:ascii="Times New Roman" w:hAnsi="Times New Roman" w:cs="Times New Roman"/>
          <w:sz w:val="28"/>
          <w:szCs w:val="28"/>
          <w:lang w:val="en-US"/>
        </w:rPr>
        <w:t>)</w:t>
      </w:r>
      <w:r w:rsidR="00A101DE">
        <w:rPr>
          <w:rFonts w:ascii="Times New Roman" w:hAnsi="Times New Roman" w:cs="Times New Roman"/>
          <w:sz w:val="28"/>
          <w:szCs w:val="28"/>
          <w:lang w:val="en-US"/>
        </w:rPr>
        <w:t xml:space="preserve"> </w:t>
      </w:r>
      <w:r w:rsidR="008C567C" w:rsidRPr="009A7B0F">
        <w:rPr>
          <w:rFonts w:ascii="Times New Roman" w:hAnsi="Times New Roman" w:cs="Times New Roman"/>
          <w:sz w:val="28"/>
          <w:szCs w:val="28"/>
          <w:lang w:val="en-US"/>
        </w:rPr>
        <w:t>are</w:t>
      </w:r>
      <w:r w:rsidRPr="009A7B0F">
        <w:rPr>
          <w:rFonts w:ascii="Times New Roman" w:hAnsi="Times New Roman" w:cs="Times New Roman"/>
          <w:sz w:val="28"/>
          <w:szCs w:val="28"/>
          <w:lang w:val="en-US"/>
        </w:rPr>
        <w:t xml:space="preserve"> regulated </w:t>
      </w:r>
      <w:r w:rsidR="008C567C" w:rsidRPr="009A7B0F">
        <w:rPr>
          <w:rFonts w:ascii="Times New Roman" w:hAnsi="Times New Roman" w:cs="Times New Roman"/>
          <w:sz w:val="28"/>
          <w:szCs w:val="28"/>
          <w:lang w:val="en-US"/>
        </w:rPr>
        <w:t>by CRNM and PC</w:t>
      </w:r>
      <w:r w:rsidRPr="009A7B0F">
        <w:rPr>
          <w:rFonts w:ascii="Times New Roman" w:hAnsi="Times New Roman" w:cs="Times New Roman"/>
          <w:sz w:val="28"/>
          <w:szCs w:val="28"/>
          <w:lang w:val="en-US"/>
        </w:rPr>
        <w:t>. Regulation and control</w:t>
      </w:r>
      <w:r w:rsidR="008C567C" w:rsidRPr="009A7B0F">
        <w:rPr>
          <w:rFonts w:ascii="Times New Roman" w:hAnsi="Times New Roman" w:cs="Times New Roman"/>
          <w:sz w:val="28"/>
          <w:szCs w:val="28"/>
          <w:lang w:val="en-US"/>
        </w:rPr>
        <w:t xml:space="preserve"> by</w:t>
      </w:r>
      <w:r w:rsidRPr="009A7B0F">
        <w:rPr>
          <w:rFonts w:ascii="Times New Roman" w:hAnsi="Times New Roman" w:cs="Times New Roman"/>
          <w:sz w:val="28"/>
          <w:szCs w:val="28"/>
          <w:lang w:val="en-US"/>
        </w:rPr>
        <w:t xml:space="preserve"> </w:t>
      </w:r>
      <w:r w:rsidR="008C567C" w:rsidRPr="009A7B0F">
        <w:rPr>
          <w:rFonts w:ascii="Times New Roman" w:hAnsi="Times New Roman" w:cs="Times New Roman"/>
          <w:sz w:val="28"/>
          <w:szCs w:val="28"/>
          <w:lang w:val="en-US"/>
        </w:rPr>
        <w:t>CRNM PC is</w:t>
      </w:r>
      <w:r w:rsidRPr="009A7B0F">
        <w:rPr>
          <w:rFonts w:ascii="Times New Roman" w:hAnsi="Times New Roman" w:cs="Times New Roman"/>
          <w:sz w:val="28"/>
          <w:szCs w:val="28"/>
          <w:lang w:val="en-US"/>
        </w:rPr>
        <w:t xml:space="preserve"> carried out in strict accordance with the legislative and regulatory acts.</w:t>
      </w:r>
    </w:p>
    <w:p w:rsidR="00786BF6" w:rsidRPr="009A7B0F"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Tariff decisions are substantially influenced by social and political issues. Economic, social and other policies of the Republic of Kazakhstan </w:t>
      </w:r>
      <w:r w:rsidR="00D068FA" w:rsidRPr="009A7B0F">
        <w:rPr>
          <w:rFonts w:ascii="Times New Roman" w:hAnsi="Times New Roman" w:cs="Times New Roman"/>
          <w:sz w:val="28"/>
          <w:szCs w:val="28"/>
          <w:lang w:val="en-US"/>
        </w:rPr>
        <w:t xml:space="preserve">Government </w:t>
      </w:r>
      <w:r w:rsidRPr="009A7B0F">
        <w:rPr>
          <w:rFonts w:ascii="Times New Roman" w:hAnsi="Times New Roman" w:cs="Times New Roman"/>
          <w:sz w:val="28"/>
          <w:szCs w:val="28"/>
          <w:lang w:val="en-US"/>
        </w:rPr>
        <w:t>may have a significant impact on the Group's operating activ</w:t>
      </w:r>
      <w:r w:rsidR="00D068FA" w:rsidRPr="009A7B0F">
        <w:rPr>
          <w:rFonts w:ascii="Times New Roman" w:hAnsi="Times New Roman" w:cs="Times New Roman"/>
          <w:sz w:val="28"/>
          <w:szCs w:val="28"/>
          <w:lang w:val="en-US"/>
        </w:rPr>
        <w:t>ity</w:t>
      </w:r>
      <w:r w:rsidRPr="009A7B0F">
        <w:rPr>
          <w:rFonts w:ascii="Times New Roman" w:hAnsi="Times New Roman" w:cs="Times New Roman"/>
          <w:sz w:val="28"/>
          <w:szCs w:val="28"/>
          <w:lang w:val="en-US"/>
        </w:rPr>
        <w:t>.</w:t>
      </w:r>
    </w:p>
    <w:p w:rsidR="00786BF6" w:rsidRPr="009A7B0F" w:rsidRDefault="00A72E0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Main</w:t>
      </w:r>
      <w:r w:rsidR="00786BF6" w:rsidRPr="009A7B0F">
        <w:rPr>
          <w:rFonts w:ascii="Times New Roman" w:hAnsi="Times New Roman" w:cs="Times New Roman"/>
          <w:sz w:val="28"/>
          <w:szCs w:val="28"/>
          <w:lang w:val="en-US"/>
        </w:rPr>
        <w:t xml:space="preserve"> directions of</w:t>
      </w:r>
      <w:r w:rsidRPr="009A7B0F">
        <w:rPr>
          <w:rFonts w:ascii="Times New Roman" w:hAnsi="Times New Roman" w:cs="Times New Roman"/>
          <w:sz w:val="28"/>
          <w:szCs w:val="28"/>
          <w:lang w:val="en-US"/>
        </w:rPr>
        <w:t xml:space="preserve"> the Company’s</w:t>
      </w:r>
      <w:r w:rsidR="00786BF6" w:rsidRPr="009A7B0F">
        <w:rPr>
          <w:rFonts w:ascii="Times New Roman" w:hAnsi="Times New Roman" w:cs="Times New Roman"/>
          <w:sz w:val="28"/>
          <w:szCs w:val="28"/>
          <w:lang w:val="en-US"/>
        </w:rPr>
        <w:t xml:space="preserve"> activity are:</w:t>
      </w:r>
    </w:p>
    <w:p w:rsidR="00786BF6" w:rsidRPr="009A7B0F"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r w:rsidR="00A72E05" w:rsidRPr="009A7B0F">
        <w:rPr>
          <w:rFonts w:ascii="Times New Roman" w:hAnsi="Times New Roman" w:cs="Times New Roman"/>
          <w:sz w:val="28"/>
          <w:szCs w:val="28"/>
          <w:lang w:val="en-US"/>
        </w:rPr>
        <w:t>Electricity production</w:t>
      </w:r>
    </w:p>
    <w:p w:rsidR="00786BF6" w:rsidRPr="009A7B0F" w:rsidRDefault="00A101DE" w:rsidP="009A7B0F">
      <w:pPr>
        <w:ind w:right="-143" w:firstLine="709"/>
        <w:jc w:val="both"/>
        <w:rPr>
          <w:rFonts w:ascii="Times New Roman" w:hAnsi="Times New Roman" w:cs="Times New Roman"/>
          <w:sz w:val="28"/>
          <w:szCs w:val="28"/>
          <w:lang w:val="en-US"/>
        </w:rPr>
      </w:pPr>
      <w:r>
        <w:rPr>
          <w:rFonts w:ascii="Times New Roman" w:hAnsi="Times New Roman" w:cs="Times New Roman"/>
          <w:sz w:val="28"/>
          <w:szCs w:val="28"/>
          <w:lang w:val="en-US"/>
        </w:rPr>
        <w:t>• T</w:t>
      </w:r>
      <w:r w:rsidR="00786BF6" w:rsidRPr="009A7B0F">
        <w:rPr>
          <w:rFonts w:ascii="Times New Roman" w:hAnsi="Times New Roman" w:cs="Times New Roman"/>
          <w:sz w:val="28"/>
          <w:szCs w:val="28"/>
          <w:lang w:val="en-US"/>
        </w:rPr>
        <w:t>hermal energy production;</w:t>
      </w:r>
    </w:p>
    <w:p w:rsidR="00786BF6" w:rsidRPr="009A7B0F"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Transmission and distribution of </w:t>
      </w:r>
      <w:r w:rsidR="00A72E05" w:rsidRPr="009A7B0F">
        <w:rPr>
          <w:rFonts w:ascii="Times New Roman" w:hAnsi="Times New Roman" w:cs="Times New Roman"/>
          <w:sz w:val="28"/>
          <w:szCs w:val="28"/>
          <w:lang w:val="en-US"/>
        </w:rPr>
        <w:t>electricity</w:t>
      </w:r>
      <w:r w:rsidRPr="009A7B0F">
        <w:rPr>
          <w:rFonts w:ascii="Times New Roman" w:hAnsi="Times New Roman" w:cs="Times New Roman"/>
          <w:sz w:val="28"/>
          <w:szCs w:val="28"/>
          <w:lang w:val="en-US"/>
        </w:rPr>
        <w:t>;</w:t>
      </w:r>
    </w:p>
    <w:p w:rsidR="00786BF6" w:rsidRPr="009A7B0F"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r w:rsidR="00A72E05" w:rsidRPr="009A7B0F">
        <w:rPr>
          <w:rFonts w:ascii="Times New Roman" w:hAnsi="Times New Roman" w:cs="Times New Roman"/>
          <w:sz w:val="28"/>
          <w:szCs w:val="28"/>
          <w:lang w:val="en-US"/>
        </w:rPr>
        <w:t>Electricity sale</w:t>
      </w:r>
      <w:r w:rsidRPr="009A7B0F">
        <w:rPr>
          <w:rFonts w:ascii="Times New Roman" w:hAnsi="Times New Roman" w:cs="Times New Roman"/>
          <w:sz w:val="28"/>
          <w:szCs w:val="28"/>
          <w:lang w:val="en-US"/>
        </w:rPr>
        <w:t>;</w:t>
      </w:r>
    </w:p>
    <w:p w:rsidR="006C2653" w:rsidRDefault="00786BF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Production of </w:t>
      </w:r>
      <w:r w:rsidR="00A72E05" w:rsidRPr="009A7B0F">
        <w:rPr>
          <w:rFonts w:ascii="Times New Roman" w:hAnsi="Times New Roman" w:cs="Times New Roman"/>
          <w:sz w:val="28"/>
          <w:szCs w:val="28"/>
          <w:lang w:val="en-US"/>
        </w:rPr>
        <w:t>power generating</w:t>
      </w:r>
      <w:r w:rsidRPr="009A7B0F">
        <w:rPr>
          <w:rFonts w:ascii="Times New Roman" w:hAnsi="Times New Roman" w:cs="Times New Roman"/>
          <w:sz w:val="28"/>
          <w:szCs w:val="28"/>
          <w:lang w:val="en-US"/>
        </w:rPr>
        <w:t xml:space="preserve"> coal;</w:t>
      </w:r>
    </w:p>
    <w:p w:rsidR="009A7B0F" w:rsidRPr="009A7B0F" w:rsidRDefault="009A7B0F" w:rsidP="009A7B0F">
      <w:pPr>
        <w:ind w:right="-143" w:firstLine="709"/>
        <w:jc w:val="both"/>
        <w:rPr>
          <w:rFonts w:ascii="Times New Roman" w:hAnsi="Times New Roman" w:cs="Times New Roman"/>
          <w:sz w:val="28"/>
          <w:szCs w:val="28"/>
          <w:lang w:val="en-US"/>
        </w:rPr>
      </w:pPr>
    </w:p>
    <w:tbl>
      <w:tblPr>
        <w:tblW w:w="9465" w:type="dxa"/>
        <w:tblInd w:w="103" w:type="dxa"/>
        <w:tblLayout w:type="fixed"/>
        <w:tblLook w:val="04A0" w:firstRow="1" w:lastRow="0" w:firstColumn="1" w:lastColumn="0" w:noHBand="0" w:noVBand="1"/>
      </w:tblPr>
      <w:tblGrid>
        <w:gridCol w:w="2024"/>
        <w:gridCol w:w="1242"/>
        <w:gridCol w:w="1416"/>
        <w:gridCol w:w="2298"/>
        <w:gridCol w:w="1105"/>
        <w:gridCol w:w="1380"/>
      </w:tblGrid>
      <w:tr w:rsidR="00894779" w:rsidRPr="009A7B0F" w:rsidTr="004D586B">
        <w:trPr>
          <w:trHeight w:val="675"/>
        </w:trPr>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4779" w:rsidRPr="009A7B0F" w:rsidRDefault="0078446E" w:rsidP="009A7B0F">
            <w:pPr>
              <w:spacing w:after="0" w:line="240" w:lineRule="auto"/>
              <w:ind w:right="-143"/>
              <w:rPr>
                <w:rFonts w:ascii="Times New Roman" w:eastAsia="Times New Roman" w:hAnsi="Times New Roman" w:cs="Times New Roman"/>
                <w:b/>
                <w:bCs/>
                <w:color w:val="000000"/>
                <w:sz w:val="28"/>
                <w:szCs w:val="28"/>
                <w:lang w:val="en-US" w:eastAsia="ru-RU"/>
              </w:rPr>
            </w:pPr>
            <w:r w:rsidRPr="009A7B0F">
              <w:rPr>
                <w:rFonts w:ascii="Times New Roman" w:eastAsia="Times New Roman" w:hAnsi="Times New Roman" w:cs="Times New Roman"/>
                <w:b/>
                <w:bCs/>
                <w:color w:val="000000"/>
                <w:sz w:val="28"/>
                <w:szCs w:val="28"/>
                <w:lang w:val="en-US" w:eastAsia="ru-RU"/>
              </w:rPr>
              <w:lastRenderedPageBreak/>
              <w:t>Work types</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2014</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2015</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4779" w:rsidRPr="009A7B0F" w:rsidRDefault="0078446E" w:rsidP="009A7B0F">
            <w:pPr>
              <w:spacing w:after="0" w:line="240" w:lineRule="auto"/>
              <w:ind w:right="-143"/>
              <w:rPr>
                <w:rFonts w:ascii="Times New Roman" w:eastAsia="Times New Roman" w:hAnsi="Times New Roman" w:cs="Times New Roman"/>
                <w:color w:val="000000"/>
                <w:sz w:val="28"/>
                <w:szCs w:val="28"/>
                <w:lang w:eastAsia="ru-RU"/>
              </w:rPr>
            </w:pPr>
            <w:proofErr w:type="spellStart"/>
            <w:r w:rsidRPr="009A7B0F">
              <w:rPr>
                <w:rFonts w:ascii="Times New Roman" w:eastAsia="Times New Roman" w:hAnsi="Times New Roman" w:cs="Times New Roman"/>
                <w:color w:val="000000"/>
                <w:sz w:val="28"/>
                <w:szCs w:val="28"/>
                <w:lang w:val="en-US" w:eastAsia="ru-RU"/>
              </w:rPr>
              <w:t>Deviat</w:t>
            </w:r>
            <w:proofErr w:type="spellEnd"/>
            <w:r w:rsidRPr="009A7B0F">
              <w:rPr>
                <w:rFonts w:ascii="Times New Roman" w:eastAsia="Times New Roman" w:hAnsi="Times New Roman" w:cs="Times New Roman"/>
                <w:color w:val="000000"/>
                <w:sz w:val="28"/>
                <w:szCs w:val="28"/>
                <w:lang w:val="en-US" w:eastAsia="ru-RU"/>
              </w:rPr>
              <w:t>.</w:t>
            </w:r>
            <w:r w:rsidR="00894779" w:rsidRPr="009A7B0F">
              <w:rPr>
                <w:rFonts w:ascii="Times New Roman" w:eastAsia="Times New Roman" w:hAnsi="Times New Roman" w:cs="Times New Roman"/>
                <w:color w:val="000000"/>
                <w:sz w:val="28"/>
                <w:szCs w:val="28"/>
                <w:lang w:eastAsia="ru-RU"/>
              </w:rPr>
              <w:t xml:space="preserve">2015/2014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2016</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2017</w:t>
            </w:r>
          </w:p>
        </w:tc>
      </w:tr>
      <w:tr w:rsidR="00894779" w:rsidRPr="009A7B0F" w:rsidTr="004D586B">
        <w:trPr>
          <w:trHeight w:val="405"/>
        </w:trPr>
        <w:tc>
          <w:tcPr>
            <w:tcW w:w="2024" w:type="dxa"/>
            <w:vMerge/>
            <w:tcBorders>
              <w:top w:val="single" w:sz="4" w:space="0" w:color="auto"/>
              <w:left w:val="single" w:sz="4" w:space="0" w:color="auto"/>
              <w:bottom w:val="single" w:sz="4" w:space="0" w:color="000000"/>
              <w:right w:val="single" w:sz="4" w:space="0" w:color="auto"/>
            </w:tcBorders>
            <w:vAlign w:val="center"/>
            <w:hideMark/>
          </w:tcPr>
          <w:p w:rsidR="00894779" w:rsidRPr="009A7B0F" w:rsidRDefault="00894779" w:rsidP="009A7B0F">
            <w:pPr>
              <w:spacing w:after="0" w:line="240" w:lineRule="auto"/>
              <w:ind w:right="-143" w:firstLine="709"/>
              <w:rPr>
                <w:rFonts w:ascii="Times New Roman" w:eastAsia="Times New Roman" w:hAnsi="Times New Roman" w:cs="Times New Roman"/>
                <w:b/>
                <w:bCs/>
                <w:color w:val="000000"/>
                <w:sz w:val="28"/>
                <w:szCs w:val="28"/>
                <w:lang w:eastAsia="ru-RU"/>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94779" w:rsidRPr="009A7B0F" w:rsidRDefault="00894779" w:rsidP="009A7B0F">
            <w:pPr>
              <w:spacing w:after="0" w:line="240" w:lineRule="auto"/>
              <w:ind w:right="-143" w:firstLine="709"/>
              <w:rPr>
                <w:rFonts w:ascii="Times New Roman" w:eastAsia="Times New Roman" w:hAnsi="Times New Roman" w:cs="Times New Roman"/>
                <w:b/>
                <w:bCs/>
                <w:color w:val="000000"/>
                <w:sz w:val="28"/>
                <w:szCs w:val="28"/>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94779" w:rsidRPr="009A7B0F" w:rsidRDefault="00894779" w:rsidP="009A7B0F">
            <w:pPr>
              <w:spacing w:after="0" w:line="240" w:lineRule="auto"/>
              <w:ind w:right="-143" w:firstLine="709"/>
              <w:rPr>
                <w:rFonts w:ascii="Times New Roman" w:eastAsia="Times New Roman" w:hAnsi="Times New Roman" w:cs="Times New Roman"/>
                <w:b/>
                <w:bCs/>
                <w:color w:val="000000"/>
                <w:sz w:val="28"/>
                <w:szCs w:val="28"/>
                <w:lang w:eastAsia="ru-RU"/>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894779" w:rsidRPr="009A7B0F" w:rsidRDefault="00894779" w:rsidP="009A7B0F">
            <w:pPr>
              <w:spacing w:after="0" w:line="240" w:lineRule="auto"/>
              <w:ind w:right="-143" w:firstLine="709"/>
              <w:rPr>
                <w:rFonts w:ascii="Times New Roman" w:eastAsia="Times New Roman" w:hAnsi="Times New Roman" w:cs="Times New Roman"/>
                <w:color w:val="000000"/>
                <w:sz w:val="28"/>
                <w:szCs w:val="28"/>
                <w:lang w:eastAsia="ru-RU"/>
              </w:rPr>
            </w:pPr>
          </w:p>
        </w:tc>
        <w:tc>
          <w:tcPr>
            <w:tcW w:w="1105"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w:t>
            </w:r>
            <w:r w:rsidR="0078446E" w:rsidRPr="009A7B0F">
              <w:rPr>
                <w:rFonts w:ascii="Times New Roman" w:eastAsia="Times New Roman" w:hAnsi="Times New Roman" w:cs="Times New Roman"/>
                <w:b/>
                <w:bCs/>
                <w:color w:val="000000"/>
                <w:sz w:val="28"/>
                <w:szCs w:val="28"/>
                <w:lang w:val="en-US" w:eastAsia="ru-RU"/>
              </w:rPr>
              <w:t>forecast</w:t>
            </w:r>
            <w:r w:rsidRPr="009A7B0F">
              <w:rPr>
                <w:rFonts w:ascii="Times New Roman" w:eastAsia="Times New Roman" w:hAnsi="Times New Roman" w:cs="Times New Roman"/>
                <w:b/>
                <w:bCs/>
                <w:color w:val="000000"/>
                <w:sz w:val="28"/>
                <w:szCs w:val="28"/>
                <w:lang w:eastAsia="ru-RU"/>
              </w:rPr>
              <w:t>)</w:t>
            </w:r>
          </w:p>
        </w:tc>
        <w:tc>
          <w:tcPr>
            <w:tcW w:w="1380"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w:t>
            </w:r>
            <w:r w:rsidR="0078446E" w:rsidRPr="009A7B0F">
              <w:rPr>
                <w:rFonts w:ascii="Times New Roman" w:eastAsia="Times New Roman" w:hAnsi="Times New Roman" w:cs="Times New Roman"/>
                <w:b/>
                <w:bCs/>
                <w:color w:val="000000"/>
                <w:sz w:val="28"/>
                <w:szCs w:val="28"/>
                <w:lang w:val="en-US" w:eastAsia="ru-RU"/>
              </w:rPr>
              <w:t>actual</w:t>
            </w:r>
            <w:r w:rsidRPr="009A7B0F">
              <w:rPr>
                <w:rFonts w:ascii="Times New Roman" w:eastAsia="Times New Roman" w:hAnsi="Times New Roman" w:cs="Times New Roman"/>
                <w:b/>
                <w:bCs/>
                <w:color w:val="000000"/>
                <w:sz w:val="28"/>
                <w:szCs w:val="28"/>
                <w:lang w:eastAsia="ru-RU"/>
              </w:rPr>
              <w:t>)</w:t>
            </w:r>
          </w:p>
        </w:tc>
      </w:tr>
      <w:tr w:rsidR="00894779" w:rsidRPr="009A7B0F" w:rsidTr="004D586B">
        <w:trPr>
          <w:trHeight w:val="510"/>
        </w:trPr>
        <w:tc>
          <w:tcPr>
            <w:tcW w:w="2024" w:type="dxa"/>
            <w:tcBorders>
              <w:top w:val="nil"/>
              <w:left w:val="single" w:sz="4" w:space="0" w:color="auto"/>
              <w:bottom w:val="single" w:sz="4" w:space="0" w:color="auto"/>
              <w:right w:val="single" w:sz="4" w:space="0" w:color="auto"/>
            </w:tcBorders>
            <w:shd w:val="clear" w:color="auto" w:fill="auto"/>
            <w:vAlign w:val="center"/>
            <w:hideMark/>
          </w:tcPr>
          <w:p w:rsidR="00894779" w:rsidRPr="009A7B0F" w:rsidRDefault="008C61B8" w:rsidP="009A7B0F">
            <w:pPr>
              <w:spacing w:after="0" w:line="240" w:lineRule="auto"/>
              <w:ind w:right="-143"/>
              <w:rPr>
                <w:rFonts w:ascii="Times New Roman" w:eastAsia="Times New Roman" w:hAnsi="Times New Roman" w:cs="Times New Roman"/>
                <w:color w:val="000000"/>
                <w:sz w:val="28"/>
                <w:szCs w:val="28"/>
                <w:lang w:val="en-US" w:eastAsia="ru-RU"/>
              </w:rPr>
            </w:pPr>
            <w:r w:rsidRPr="009A7B0F">
              <w:rPr>
                <w:rFonts w:ascii="Times New Roman" w:eastAsia="Times New Roman" w:hAnsi="Times New Roman" w:cs="Times New Roman"/>
                <w:color w:val="000000"/>
                <w:sz w:val="28"/>
                <w:szCs w:val="28"/>
                <w:lang w:val="en-US" w:eastAsia="ru-RU"/>
              </w:rPr>
              <w:t>Electricity generation volumes</w:t>
            </w:r>
            <w:r w:rsidR="00894779" w:rsidRPr="009A7B0F">
              <w:rPr>
                <w:rFonts w:ascii="Times New Roman" w:eastAsia="Times New Roman" w:hAnsi="Times New Roman" w:cs="Times New Roman"/>
                <w:color w:val="000000"/>
                <w:sz w:val="28"/>
                <w:szCs w:val="28"/>
                <w:lang w:val="en-US" w:eastAsia="ru-RU"/>
              </w:rPr>
              <w:t xml:space="preserve">, </w:t>
            </w:r>
            <w:r w:rsidRPr="009A7B0F">
              <w:rPr>
                <w:rFonts w:ascii="Times New Roman" w:eastAsia="Times New Roman" w:hAnsi="Times New Roman" w:cs="Times New Roman"/>
                <w:color w:val="000000"/>
                <w:sz w:val="28"/>
                <w:szCs w:val="28"/>
                <w:lang w:val="en-US" w:eastAsia="ru-RU"/>
              </w:rPr>
              <w:t>(</w:t>
            </w:r>
            <w:proofErr w:type="spellStart"/>
            <w:r w:rsidRPr="009A7B0F">
              <w:rPr>
                <w:rFonts w:ascii="Times New Roman" w:eastAsia="Times New Roman" w:hAnsi="Times New Roman" w:cs="Times New Roman"/>
                <w:color w:val="000000"/>
                <w:sz w:val="28"/>
                <w:szCs w:val="28"/>
                <w:lang w:val="en-US" w:eastAsia="ru-RU"/>
              </w:rPr>
              <w:t>mln.kWh</w:t>
            </w:r>
            <w:proofErr w:type="spellEnd"/>
            <w:r w:rsidRPr="009A7B0F">
              <w:rPr>
                <w:rFonts w:ascii="Times New Roman" w:eastAsia="Times New Roman" w:hAnsi="Times New Roman" w:cs="Times New Roman"/>
                <w:color w:val="000000"/>
                <w:sz w:val="28"/>
                <w:szCs w:val="28"/>
                <w:lang w:val="en-US" w:eastAsia="ru-RU"/>
              </w:rPr>
              <w:t>)</w:t>
            </w:r>
          </w:p>
        </w:tc>
        <w:tc>
          <w:tcPr>
            <w:tcW w:w="1242"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28 216</w:t>
            </w:r>
          </w:p>
        </w:tc>
        <w:tc>
          <w:tcPr>
            <w:tcW w:w="1416"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22 318</w:t>
            </w:r>
          </w:p>
        </w:tc>
        <w:tc>
          <w:tcPr>
            <w:tcW w:w="2298"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firstLine="709"/>
              <w:jc w:val="center"/>
              <w:rPr>
                <w:rFonts w:ascii="Times New Roman" w:eastAsia="Times New Roman" w:hAnsi="Times New Roman" w:cs="Times New Roman"/>
                <w:color w:val="000000"/>
                <w:sz w:val="28"/>
                <w:szCs w:val="28"/>
                <w:lang w:eastAsia="ru-RU"/>
              </w:rPr>
            </w:pPr>
            <w:r w:rsidRPr="009A7B0F">
              <w:rPr>
                <w:rFonts w:ascii="Times New Roman" w:eastAsia="Times New Roman" w:hAnsi="Times New Roman" w:cs="Times New Roman"/>
                <w:color w:val="000000"/>
                <w:sz w:val="28"/>
                <w:szCs w:val="28"/>
                <w:lang w:eastAsia="ru-RU"/>
              </w:rPr>
              <w:t>79%</w:t>
            </w:r>
          </w:p>
        </w:tc>
        <w:tc>
          <w:tcPr>
            <w:tcW w:w="1105"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23 259</w:t>
            </w:r>
          </w:p>
        </w:tc>
        <w:tc>
          <w:tcPr>
            <w:tcW w:w="1380"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26 059</w:t>
            </w:r>
          </w:p>
        </w:tc>
      </w:tr>
      <w:tr w:rsidR="00894779" w:rsidRPr="009A7B0F" w:rsidTr="004D586B">
        <w:trPr>
          <w:trHeight w:val="510"/>
        </w:trPr>
        <w:tc>
          <w:tcPr>
            <w:tcW w:w="2024" w:type="dxa"/>
            <w:tcBorders>
              <w:top w:val="nil"/>
              <w:left w:val="single" w:sz="4" w:space="0" w:color="auto"/>
              <w:bottom w:val="single" w:sz="4" w:space="0" w:color="auto"/>
              <w:right w:val="single" w:sz="4" w:space="0" w:color="auto"/>
            </w:tcBorders>
            <w:shd w:val="clear" w:color="auto" w:fill="auto"/>
            <w:vAlign w:val="center"/>
            <w:hideMark/>
          </w:tcPr>
          <w:p w:rsidR="00894779" w:rsidRPr="009A7B0F" w:rsidRDefault="008C61B8" w:rsidP="009A7B0F">
            <w:pPr>
              <w:spacing w:after="0" w:line="240" w:lineRule="auto"/>
              <w:ind w:right="-143"/>
              <w:rPr>
                <w:rFonts w:ascii="Times New Roman" w:eastAsia="Times New Roman" w:hAnsi="Times New Roman" w:cs="Times New Roman"/>
                <w:color w:val="000000"/>
                <w:sz w:val="28"/>
                <w:szCs w:val="28"/>
                <w:lang w:val="en-US" w:eastAsia="ru-RU"/>
              </w:rPr>
            </w:pPr>
            <w:r w:rsidRPr="009A7B0F">
              <w:rPr>
                <w:rFonts w:ascii="Times New Roman" w:eastAsia="Times New Roman" w:hAnsi="Times New Roman" w:cs="Times New Roman"/>
                <w:color w:val="000000"/>
                <w:sz w:val="28"/>
                <w:szCs w:val="28"/>
                <w:lang w:val="en-US" w:eastAsia="ru-RU"/>
              </w:rPr>
              <w:t>Electricity transmission volumes (</w:t>
            </w:r>
            <w:proofErr w:type="spellStart"/>
            <w:r w:rsidRPr="009A7B0F">
              <w:rPr>
                <w:rFonts w:ascii="Times New Roman" w:eastAsia="Times New Roman" w:hAnsi="Times New Roman" w:cs="Times New Roman"/>
                <w:color w:val="000000"/>
                <w:sz w:val="28"/>
                <w:szCs w:val="28"/>
                <w:lang w:val="en-US" w:eastAsia="ru-RU"/>
              </w:rPr>
              <w:t>mln.kWh</w:t>
            </w:r>
            <w:proofErr w:type="spellEnd"/>
            <w:r w:rsidRPr="009A7B0F">
              <w:rPr>
                <w:rFonts w:ascii="Times New Roman" w:eastAsia="Times New Roman" w:hAnsi="Times New Roman" w:cs="Times New Roman"/>
                <w:color w:val="000000"/>
                <w:sz w:val="28"/>
                <w:szCs w:val="28"/>
                <w:lang w:val="en-US" w:eastAsia="ru-RU"/>
              </w:rPr>
              <w:t>)</w:t>
            </w:r>
          </w:p>
        </w:tc>
        <w:tc>
          <w:tcPr>
            <w:tcW w:w="1242"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12 344</w:t>
            </w:r>
          </w:p>
        </w:tc>
        <w:tc>
          <w:tcPr>
            <w:tcW w:w="1416"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12 114</w:t>
            </w:r>
          </w:p>
        </w:tc>
        <w:tc>
          <w:tcPr>
            <w:tcW w:w="2298"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firstLine="709"/>
              <w:jc w:val="center"/>
              <w:rPr>
                <w:rFonts w:ascii="Times New Roman" w:eastAsia="Times New Roman" w:hAnsi="Times New Roman" w:cs="Times New Roman"/>
                <w:color w:val="000000"/>
                <w:sz w:val="28"/>
                <w:szCs w:val="28"/>
                <w:lang w:eastAsia="ru-RU"/>
              </w:rPr>
            </w:pPr>
            <w:r w:rsidRPr="009A7B0F">
              <w:rPr>
                <w:rFonts w:ascii="Times New Roman" w:eastAsia="Times New Roman" w:hAnsi="Times New Roman" w:cs="Times New Roman"/>
                <w:color w:val="000000"/>
                <w:sz w:val="28"/>
                <w:szCs w:val="28"/>
                <w:lang w:eastAsia="ru-RU"/>
              </w:rPr>
              <w:t>98%</w:t>
            </w:r>
          </w:p>
        </w:tc>
        <w:tc>
          <w:tcPr>
            <w:tcW w:w="1105"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12 332</w:t>
            </w:r>
          </w:p>
        </w:tc>
        <w:tc>
          <w:tcPr>
            <w:tcW w:w="1380"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13 068</w:t>
            </w:r>
          </w:p>
        </w:tc>
      </w:tr>
      <w:tr w:rsidR="00894779" w:rsidRPr="009A7B0F" w:rsidTr="004D586B">
        <w:trPr>
          <w:trHeight w:val="510"/>
        </w:trPr>
        <w:tc>
          <w:tcPr>
            <w:tcW w:w="2024" w:type="dxa"/>
            <w:tcBorders>
              <w:top w:val="nil"/>
              <w:left w:val="single" w:sz="4" w:space="0" w:color="auto"/>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color w:val="000000"/>
                <w:sz w:val="28"/>
                <w:szCs w:val="28"/>
                <w:lang w:val="en-US" w:eastAsia="ru-RU"/>
              </w:rPr>
            </w:pPr>
            <w:r w:rsidRPr="009A7B0F">
              <w:rPr>
                <w:rFonts w:ascii="Times New Roman" w:eastAsia="Times New Roman" w:hAnsi="Times New Roman" w:cs="Times New Roman"/>
                <w:color w:val="000000"/>
                <w:sz w:val="28"/>
                <w:szCs w:val="28"/>
                <w:lang w:val="en-US" w:eastAsia="ru-RU"/>
              </w:rPr>
              <w:t xml:space="preserve"> </w:t>
            </w:r>
            <w:r w:rsidR="008C61B8" w:rsidRPr="009A7B0F">
              <w:rPr>
                <w:rFonts w:ascii="Times New Roman" w:eastAsia="Times New Roman" w:hAnsi="Times New Roman" w:cs="Times New Roman"/>
                <w:color w:val="000000"/>
                <w:sz w:val="28"/>
                <w:szCs w:val="28"/>
                <w:lang w:val="en-US" w:eastAsia="ru-RU"/>
              </w:rPr>
              <w:t>Electricity sale</w:t>
            </w:r>
            <w:r w:rsidR="00F126E0" w:rsidRPr="009A7B0F">
              <w:rPr>
                <w:rFonts w:ascii="Times New Roman" w:eastAsia="Times New Roman" w:hAnsi="Times New Roman" w:cs="Times New Roman"/>
                <w:color w:val="000000"/>
                <w:sz w:val="28"/>
                <w:szCs w:val="28"/>
                <w:lang w:val="en-US" w:eastAsia="ru-RU"/>
              </w:rPr>
              <w:t>s</w:t>
            </w:r>
            <w:r w:rsidR="008C61B8" w:rsidRPr="009A7B0F">
              <w:rPr>
                <w:rFonts w:ascii="Times New Roman" w:eastAsia="Times New Roman" w:hAnsi="Times New Roman" w:cs="Times New Roman"/>
                <w:color w:val="000000"/>
                <w:sz w:val="28"/>
                <w:szCs w:val="28"/>
                <w:lang w:val="en-US" w:eastAsia="ru-RU"/>
              </w:rPr>
              <w:t xml:space="preserve"> volumes (</w:t>
            </w:r>
            <w:proofErr w:type="spellStart"/>
            <w:r w:rsidR="008C61B8" w:rsidRPr="009A7B0F">
              <w:rPr>
                <w:rFonts w:ascii="Times New Roman" w:eastAsia="Times New Roman" w:hAnsi="Times New Roman" w:cs="Times New Roman"/>
                <w:color w:val="000000"/>
                <w:sz w:val="28"/>
                <w:szCs w:val="28"/>
                <w:lang w:val="en-US" w:eastAsia="ru-RU"/>
              </w:rPr>
              <w:t>mln.kWh</w:t>
            </w:r>
            <w:proofErr w:type="spellEnd"/>
            <w:r w:rsidR="008C61B8" w:rsidRPr="009A7B0F">
              <w:rPr>
                <w:rFonts w:ascii="Times New Roman" w:eastAsia="Times New Roman" w:hAnsi="Times New Roman" w:cs="Times New Roman"/>
                <w:color w:val="000000"/>
                <w:sz w:val="28"/>
                <w:szCs w:val="28"/>
                <w:lang w:val="en-US" w:eastAsia="ru-RU"/>
              </w:rPr>
              <w:t>)</w:t>
            </w:r>
          </w:p>
        </w:tc>
        <w:tc>
          <w:tcPr>
            <w:tcW w:w="1242"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8 605</w:t>
            </w:r>
          </w:p>
        </w:tc>
        <w:tc>
          <w:tcPr>
            <w:tcW w:w="1416"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8 414</w:t>
            </w:r>
          </w:p>
        </w:tc>
        <w:tc>
          <w:tcPr>
            <w:tcW w:w="2298"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firstLine="709"/>
              <w:jc w:val="center"/>
              <w:rPr>
                <w:rFonts w:ascii="Times New Roman" w:eastAsia="Times New Roman" w:hAnsi="Times New Roman" w:cs="Times New Roman"/>
                <w:color w:val="000000"/>
                <w:sz w:val="28"/>
                <w:szCs w:val="28"/>
                <w:lang w:eastAsia="ru-RU"/>
              </w:rPr>
            </w:pPr>
            <w:r w:rsidRPr="009A7B0F">
              <w:rPr>
                <w:rFonts w:ascii="Times New Roman" w:eastAsia="Times New Roman" w:hAnsi="Times New Roman" w:cs="Times New Roman"/>
                <w:color w:val="000000"/>
                <w:sz w:val="28"/>
                <w:szCs w:val="28"/>
                <w:lang w:eastAsia="ru-RU"/>
              </w:rPr>
              <w:t>98%</w:t>
            </w:r>
          </w:p>
        </w:tc>
        <w:tc>
          <w:tcPr>
            <w:tcW w:w="1105"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8 758</w:t>
            </w:r>
          </w:p>
        </w:tc>
        <w:tc>
          <w:tcPr>
            <w:tcW w:w="1380"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9 135</w:t>
            </w:r>
          </w:p>
        </w:tc>
      </w:tr>
      <w:tr w:rsidR="00894779" w:rsidRPr="009A7B0F" w:rsidTr="004D586B">
        <w:trPr>
          <w:trHeight w:val="510"/>
        </w:trPr>
        <w:tc>
          <w:tcPr>
            <w:tcW w:w="2024" w:type="dxa"/>
            <w:tcBorders>
              <w:top w:val="nil"/>
              <w:left w:val="single" w:sz="4" w:space="0" w:color="auto"/>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color w:val="000000"/>
                <w:sz w:val="28"/>
                <w:szCs w:val="28"/>
                <w:lang w:val="en-US" w:eastAsia="ru-RU"/>
              </w:rPr>
            </w:pPr>
            <w:r w:rsidRPr="009A7B0F">
              <w:rPr>
                <w:rFonts w:ascii="Times New Roman" w:eastAsia="Times New Roman" w:hAnsi="Times New Roman" w:cs="Times New Roman"/>
                <w:color w:val="000000"/>
                <w:sz w:val="28"/>
                <w:szCs w:val="28"/>
                <w:lang w:val="en-US" w:eastAsia="ru-RU"/>
              </w:rPr>
              <w:t xml:space="preserve"> </w:t>
            </w:r>
            <w:r w:rsidR="008C61B8" w:rsidRPr="009A7B0F">
              <w:rPr>
                <w:rFonts w:ascii="Times New Roman" w:eastAsia="Times New Roman" w:hAnsi="Times New Roman" w:cs="Times New Roman"/>
                <w:color w:val="000000"/>
                <w:sz w:val="28"/>
                <w:szCs w:val="28"/>
                <w:lang w:val="en-US" w:eastAsia="ru-RU"/>
              </w:rPr>
              <w:t>Heat production volumes (</w:t>
            </w:r>
            <w:proofErr w:type="spellStart"/>
            <w:r w:rsidR="008C61B8" w:rsidRPr="009A7B0F">
              <w:rPr>
                <w:rFonts w:ascii="Times New Roman" w:eastAsia="Times New Roman" w:hAnsi="Times New Roman" w:cs="Times New Roman"/>
                <w:color w:val="000000"/>
                <w:sz w:val="28"/>
                <w:szCs w:val="28"/>
                <w:lang w:val="en-US" w:eastAsia="ru-RU"/>
              </w:rPr>
              <w:t>thous.Gcal</w:t>
            </w:r>
            <w:proofErr w:type="spellEnd"/>
            <w:r w:rsidR="008C61B8" w:rsidRPr="009A7B0F">
              <w:rPr>
                <w:rFonts w:ascii="Times New Roman" w:eastAsia="Times New Roman" w:hAnsi="Times New Roman" w:cs="Times New Roman"/>
                <w:color w:val="000000"/>
                <w:sz w:val="28"/>
                <w:szCs w:val="28"/>
                <w:lang w:val="en-US" w:eastAsia="ru-RU"/>
              </w:rPr>
              <w:t>)</w:t>
            </w:r>
          </w:p>
        </w:tc>
        <w:tc>
          <w:tcPr>
            <w:tcW w:w="1242"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7 561</w:t>
            </w:r>
          </w:p>
        </w:tc>
        <w:tc>
          <w:tcPr>
            <w:tcW w:w="1416"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6 913</w:t>
            </w:r>
          </w:p>
        </w:tc>
        <w:tc>
          <w:tcPr>
            <w:tcW w:w="2298"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firstLine="709"/>
              <w:jc w:val="center"/>
              <w:rPr>
                <w:rFonts w:ascii="Times New Roman" w:eastAsia="Times New Roman" w:hAnsi="Times New Roman" w:cs="Times New Roman"/>
                <w:color w:val="000000"/>
                <w:sz w:val="28"/>
                <w:szCs w:val="28"/>
                <w:lang w:eastAsia="ru-RU"/>
              </w:rPr>
            </w:pPr>
            <w:r w:rsidRPr="009A7B0F">
              <w:rPr>
                <w:rFonts w:ascii="Times New Roman" w:eastAsia="Times New Roman" w:hAnsi="Times New Roman" w:cs="Times New Roman"/>
                <w:color w:val="000000"/>
                <w:sz w:val="28"/>
                <w:szCs w:val="28"/>
                <w:lang w:eastAsia="ru-RU"/>
              </w:rPr>
              <w:t>91%</w:t>
            </w:r>
          </w:p>
        </w:tc>
        <w:tc>
          <w:tcPr>
            <w:tcW w:w="1105"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7 359</w:t>
            </w:r>
          </w:p>
        </w:tc>
        <w:tc>
          <w:tcPr>
            <w:tcW w:w="1380"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Cs/>
                <w:color w:val="000000"/>
                <w:sz w:val="28"/>
                <w:szCs w:val="28"/>
                <w:lang w:eastAsia="ru-RU"/>
              </w:rPr>
            </w:pPr>
            <w:r w:rsidRPr="009A7B0F">
              <w:rPr>
                <w:rFonts w:ascii="Times New Roman" w:eastAsia="Times New Roman" w:hAnsi="Times New Roman" w:cs="Times New Roman"/>
                <w:bCs/>
                <w:color w:val="000000"/>
                <w:sz w:val="28"/>
                <w:szCs w:val="28"/>
                <w:lang w:eastAsia="ru-RU"/>
              </w:rPr>
              <w:t>7 987</w:t>
            </w:r>
          </w:p>
        </w:tc>
      </w:tr>
      <w:tr w:rsidR="00894779" w:rsidRPr="009A7B0F" w:rsidTr="004D586B">
        <w:trPr>
          <w:trHeight w:val="540"/>
        </w:trPr>
        <w:tc>
          <w:tcPr>
            <w:tcW w:w="2024" w:type="dxa"/>
            <w:tcBorders>
              <w:top w:val="nil"/>
              <w:left w:val="single" w:sz="4" w:space="0" w:color="auto"/>
              <w:bottom w:val="single" w:sz="4" w:space="0" w:color="auto"/>
              <w:right w:val="single" w:sz="4" w:space="0" w:color="auto"/>
            </w:tcBorders>
            <w:shd w:val="clear" w:color="auto" w:fill="auto"/>
            <w:vAlign w:val="center"/>
            <w:hideMark/>
          </w:tcPr>
          <w:p w:rsidR="00894779" w:rsidRPr="009A7B0F" w:rsidRDefault="008C61B8" w:rsidP="009A7B0F">
            <w:pPr>
              <w:spacing w:after="0" w:line="240" w:lineRule="auto"/>
              <w:ind w:right="-143"/>
              <w:rPr>
                <w:rFonts w:ascii="Times New Roman" w:eastAsia="Times New Roman" w:hAnsi="Times New Roman" w:cs="Times New Roman"/>
                <w:color w:val="000000"/>
                <w:sz w:val="28"/>
                <w:szCs w:val="28"/>
                <w:lang w:val="en-US" w:eastAsia="ru-RU"/>
              </w:rPr>
            </w:pPr>
            <w:r w:rsidRPr="009A7B0F">
              <w:rPr>
                <w:rFonts w:ascii="Times New Roman" w:eastAsia="Times New Roman" w:hAnsi="Times New Roman" w:cs="Times New Roman"/>
                <w:color w:val="000000"/>
                <w:sz w:val="28"/>
                <w:szCs w:val="28"/>
                <w:lang w:val="en-US" w:eastAsia="ru-RU"/>
              </w:rPr>
              <w:t xml:space="preserve">Coal sale volumes, </w:t>
            </w:r>
            <w:proofErr w:type="spellStart"/>
            <w:r w:rsidRPr="009A7B0F">
              <w:rPr>
                <w:rFonts w:ascii="Times New Roman" w:eastAsia="Times New Roman" w:hAnsi="Times New Roman" w:cs="Times New Roman"/>
                <w:color w:val="000000"/>
                <w:sz w:val="28"/>
                <w:szCs w:val="28"/>
                <w:lang w:val="en-US" w:eastAsia="ru-RU"/>
              </w:rPr>
              <w:t>mln.tons</w:t>
            </w:r>
            <w:proofErr w:type="spellEnd"/>
          </w:p>
        </w:tc>
        <w:tc>
          <w:tcPr>
            <w:tcW w:w="1242"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38,1</w:t>
            </w:r>
          </w:p>
        </w:tc>
        <w:tc>
          <w:tcPr>
            <w:tcW w:w="1416"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33,9</w:t>
            </w:r>
          </w:p>
        </w:tc>
        <w:tc>
          <w:tcPr>
            <w:tcW w:w="2298" w:type="dxa"/>
            <w:tcBorders>
              <w:top w:val="nil"/>
              <w:left w:val="nil"/>
              <w:bottom w:val="single" w:sz="4" w:space="0" w:color="auto"/>
              <w:right w:val="single" w:sz="4" w:space="0" w:color="auto"/>
            </w:tcBorders>
            <w:shd w:val="clear" w:color="auto" w:fill="auto"/>
            <w:noWrap/>
            <w:vAlign w:val="center"/>
            <w:hideMark/>
          </w:tcPr>
          <w:p w:rsidR="00894779" w:rsidRPr="009A7B0F" w:rsidRDefault="00894779" w:rsidP="009A7B0F">
            <w:pPr>
              <w:spacing w:after="0" w:line="240" w:lineRule="auto"/>
              <w:ind w:right="-143" w:firstLine="709"/>
              <w:jc w:val="center"/>
              <w:rPr>
                <w:rFonts w:ascii="Times New Roman" w:eastAsia="Times New Roman" w:hAnsi="Times New Roman" w:cs="Times New Roman"/>
                <w:color w:val="000000"/>
                <w:sz w:val="28"/>
                <w:szCs w:val="28"/>
                <w:lang w:eastAsia="ru-RU"/>
              </w:rPr>
            </w:pPr>
            <w:r w:rsidRPr="009A7B0F">
              <w:rPr>
                <w:rFonts w:ascii="Times New Roman" w:eastAsia="Times New Roman" w:hAnsi="Times New Roman" w:cs="Times New Roman"/>
                <w:color w:val="000000"/>
                <w:sz w:val="28"/>
                <w:szCs w:val="28"/>
                <w:lang w:eastAsia="ru-RU"/>
              </w:rPr>
              <w:t>89%</w:t>
            </w:r>
          </w:p>
        </w:tc>
        <w:tc>
          <w:tcPr>
            <w:tcW w:w="1105"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32,5</w:t>
            </w:r>
          </w:p>
        </w:tc>
        <w:tc>
          <w:tcPr>
            <w:tcW w:w="1380" w:type="dxa"/>
            <w:tcBorders>
              <w:top w:val="nil"/>
              <w:left w:val="nil"/>
              <w:bottom w:val="single" w:sz="4" w:space="0" w:color="auto"/>
              <w:right w:val="single" w:sz="4" w:space="0" w:color="auto"/>
            </w:tcBorders>
            <w:shd w:val="clear" w:color="auto" w:fill="auto"/>
            <w:vAlign w:val="center"/>
            <w:hideMark/>
          </w:tcPr>
          <w:p w:rsidR="00894779" w:rsidRPr="009A7B0F" w:rsidRDefault="00894779" w:rsidP="009A7B0F">
            <w:pPr>
              <w:spacing w:after="0" w:line="240" w:lineRule="auto"/>
              <w:ind w:right="-143"/>
              <w:rPr>
                <w:rFonts w:ascii="Times New Roman" w:eastAsia="Times New Roman" w:hAnsi="Times New Roman" w:cs="Times New Roman"/>
                <w:b/>
                <w:bCs/>
                <w:color w:val="000000"/>
                <w:sz w:val="28"/>
                <w:szCs w:val="28"/>
                <w:lang w:eastAsia="ru-RU"/>
              </w:rPr>
            </w:pPr>
            <w:r w:rsidRPr="009A7B0F">
              <w:rPr>
                <w:rFonts w:ascii="Times New Roman" w:eastAsia="Times New Roman" w:hAnsi="Times New Roman" w:cs="Times New Roman"/>
                <w:b/>
                <w:bCs/>
                <w:color w:val="000000"/>
                <w:sz w:val="28"/>
                <w:szCs w:val="28"/>
                <w:lang w:eastAsia="ru-RU"/>
              </w:rPr>
              <w:t>35,7</w:t>
            </w:r>
          </w:p>
        </w:tc>
      </w:tr>
    </w:tbl>
    <w:p w:rsidR="00F126E0" w:rsidRPr="009A7B0F" w:rsidRDefault="00F126E0" w:rsidP="009A7B0F">
      <w:pPr>
        <w:ind w:right="-143" w:firstLine="709"/>
        <w:jc w:val="both"/>
        <w:rPr>
          <w:rFonts w:ascii="Times New Roman" w:hAnsi="Times New Roman" w:cs="Times New Roman"/>
          <w:sz w:val="28"/>
          <w:szCs w:val="28"/>
          <w:lang w:val="en-US"/>
        </w:rPr>
      </w:pP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The decrease in electricity production </w:t>
      </w:r>
      <w:r w:rsidR="00091996" w:rsidRPr="009A7B0F">
        <w:rPr>
          <w:rFonts w:ascii="Times New Roman" w:hAnsi="Times New Roman" w:cs="Times New Roman"/>
          <w:sz w:val="28"/>
          <w:szCs w:val="28"/>
          <w:lang w:val="en-US"/>
        </w:rPr>
        <w:t>volumes in</w:t>
      </w:r>
      <w:r w:rsidRPr="009A7B0F">
        <w:rPr>
          <w:rFonts w:ascii="Times New Roman" w:hAnsi="Times New Roman" w:cs="Times New Roman"/>
          <w:sz w:val="28"/>
          <w:szCs w:val="28"/>
          <w:lang w:val="en-US"/>
        </w:rPr>
        <w:t xml:space="preserve"> 2015 compared to volumes of 2014 by 21% (or 5 898</w:t>
      </w:r>
      <w:proofErr w:type="gramStart"/>
      <w:r w:rsidRPr="009A7B0F">
        <w:rPr>
          <w:rFonts w:ascii="Times New Roman" w:hAnsi="Times New Roman" w:cs="Times New Roman"/>
          <w:sz w:val="28"/>
          <w:szCs w:val="28"/>
          <w:lang w:val="en-US"/>
        </w:rPr>
        <w:t>,4</w:t>
      </w:r>
      <w:proofErr w:type="gramEnd"/>
      <w:r w:rsidRPr="009A7B0F">
        <w:rPr>
          <w:rFonts w:ascii="Times New Roman" w:hAnsi="Times New Roman" w:cs="Times New Roman"/>
          <w:sz w:val="28"/>
          <w:szCs w:val="28"/>
          <w:lang w:val="en-US"/>
        </w:rPr>
        <w:t xml:space="preserve"> million kWh) is due to reduction in electricity generation at the following power plants:</w:t>
      </w: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-"GRES-2" JSC and "GRES-1" LLP, due to the decrease in electricity sales in Kazakhstani market;</w:t>
      </w: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w:t>
      </w:r>
      <w:proofErr w:type="spellStart"/>
      <w:r w:rsidRPr="009A7B0F">
        <w:rPr>
          <w:rFonts w:ascii="Times New Roman" w:hAnsi="Times New Roman" w:cs="Times New Roman"/>
          <w:sz w:val="28"/>
          <w:szCs w:val="28"/>
          <w:lang w:val="en-US"/>
        </w:rPr>
        <w:t>Shardarinskaya</w:t>
      </w:r>
      <w:proofErr w:type="spellEnd"/>
      <w:r w:rsidRPr="009A7B0F">
        <w:rPr>
          <w:rFonts w:ascii="Times New Roman" w:hAnsi="Times New Roman" w:cs="Times New Roman"/>
          <w:sz w:val="28"/>
          <w:szCs w:val="28"/>
          <w:lang w:val="en-US"/>
        </w:rPr>
        <w:t xml:space="preserve"> HPP" JSC is due to low water level in </w:t>
      </w:r>
      <w:proofErr w:type="spellStart"/>
      <w:r w:rsidRPr="009A7B0F">
        <w:rPr>
          <w:rFonts w:ascii="Times New Roman" w:hAnsi="Times New Roman" w:cs="Times New Roman"/>
          <w:sz w:val="28"/>
          <w:szCs w:val="28"/>
          <w:lang w:val="en-US"/>
        </w:rPr>
        <w:t>Syrdarya</w:t>
      </w:r>
      <w:proofErr w:type="spellEnd"/>
      <w:r w:rsidRPr="009A7B0F">
        <w:rPr>
          <w:rFonts w:ascii="Times New Roman" w:hAnsi="Times New Roman" w:cs="Times New Roman"/>
          <w:sz w:val="28"/>
          <w:szCs w:val="28"/>
          <w:lang w:val="en-US"/>
        </w:rPr>
        <w:t xml:space="preserve"> river and </w:t>
      </w:r>
      <w:proofErr w:type="spellStart"/>
      <w:r w:rsidRPr="009A7B0F">
        <w:rPr>
          <w:rFonts w:ascii="Times New Roman" w:hAnsi="Times New Roman" w:cs="Times New Roman"/>
          <w:sz w:val="28"/>
          <w:szCs w:val="28"/>
          <w:lang w:val="en-US"/>
        </w:rPr>
        <w:t>Shardara</w:t>
      </w:r>
      <w:proofErr w:type="spellEnd"/>
      <w:r w:rsidRPr="009A7B0F">
        <w:rPr>
          <w:rFonts w:ascii="Times New Roman" w:hAnsi="Times New Roman" w:cs="Times New Roman"/>
          <w:sz w:val="28"/>
          <w:szCs w:val="28"/>
          <w:lang w:val="en-US"/>
        </w:rPr>
        <w:t xml:space="preserve"> water reservoir;</w:t>
      </w: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ZhGRES</w:t>
      </w:r>
      <w:proofErr w:type="spellEnd"/>
      <w:r w:rsidRPr="009A7B0F">
        <w:rPr>
          <w:rFonts w:ascii="Times New Roman" w:hAnsi="Times New Roman" w:cs="Times New Roman"/>
          <w:sz w:val="28"/>
          <w:szCs w:val="28"/>
          <w:lang w:val="en-US"/>
        </w:rPr>
        <w:t xml:space="preserve"> by 53% (or 1 345 kWh) due to sale of the asset in May 2015.</w:t>
      </w: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However, "The first wind power plant" LLP was put into operation in August 2015; plant’s volume of production reached 79</w:t>
      </w:r>
      <w:proofErr w:type="gramStart"/>
      <w:r w:rsidRPr="009A7B0F">
        <w:rPr>
          <w:rFonts w:ascii="Times New Roman" w:hAnsi="Times New Roman" w:cs="Times New Roman"/>
          <w:sz w:val="28"/>
          <w:szCs w:val="28"/>
          <w:lang w:val="en-US"/>
        </w:rPr>
        <w:t>,2</w:t>
      </w:r>
      <w:proofErr w:type="gramEnd"/>
      <w:r w:rsidRPr="009A7B0F">
        <w:rPr>
          <w:rFonts w:ascii="Times New Roman" w:hAnsi="Times New Roman" w:cs="Times New Roman"/>
          <w:sz w:val="28"/>
          <w:szCs w:val="28"/>
          <w:lang w:val="en-US"/>
        </w:rPr>
        <w:t xml:space="preserve"> million kWh.</w:t>
      </w: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Reduction in heat production by 8% in 2015 (by 648 thousand </w:t>
      </w:r>
      <w:proofErr w:type="spellStart"/>
      <w:r w:rsidRPr="009A7B0F">
        <w:rPr>
          <w:rFonts w:ascii="Times New Roman" w:hAnsi="Times New Roman" w:cs="Times New Roman"/>
          <w:sz w:val="28"/>
          <w:szCs w:val="28"/>
          <w:lang w:val="en-US"/>
        </w:rPr>
        <w:t>Gcal</w:t>
      </w:r>
      <w:proofErr w:type="spellEnd"/>
      <w:r w:rsidRPr="009A7B0F">
        <w:rPr>
          <w:rFonts w:ascii="Times New Roman" w:hAnsi="Times New Roman" w:cs="Times New Roman"/>
          <w:sz w:val="28"/>
          <w:szCs w:val="28"/>
          <w:lang w:val="en-US"/>
        </w:rPr>
        <w:t>) is due to a decrease in heating load due to higher air temperature in comparison with the climatological temperatures.</w:t>
      </w: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Decrease in electricity transmission volumes by 2% (or 230</w:t>
      </w:r>
      <w:proofErr w:type="gramStart"/>
      <w:r w:rsidRPr="009A7B0F">
        <w:rPr>
          <w:rFonts w:ascii="Times New Roman" w:hAnsi="Times New Roman" w:cs="Times New Roman"/>
          <w:sz w:val="28"/>
          <w:szCs w:val="28"/>
          <w:lang w:val="en-US"/>
        </w:rPr>
        <w:t>,5</w:t>
      </w:r>
      <w:proofErr w:type="gramEnd"/>
      <w:r w:rsidRPr="009A7B0F">
        <w:rPr>
          <w:rFonts w:ascii="Times New Roman" w:hAnsi="Times New Roman" w:cs="Times New Roman"/>
          <w:sz w:val="28"/>
          <w:szCs w:val="28"/>
          <w:lang w:val="en-US"/>
        </w:rPr>
        <w:t xml:space="preserve"> million kWh) and electricity sales volumes </w:t>
      </w:r>
      <w:r w:rsidR="00091996" w:rsidRPr="009A7B0F">
        <w:rPr>
          <w:rFonts w:ascii="Times New Roman" w:hAnsi="Times New Roman" w:cs="Times New Roman"/>
          <w:sz w:val="28"/>
          <w:szCs w:val="28"/>
          <w:lang w:val="en-US"/>
        </w:rPr>
        <w:t xml:space="preserve">by energy </w:t>
      </w:r>
      <w:r w:rsidRPr="009A7B0F">
        <w:rPr>
          <w:rFonts w:ascii="Times New Roman" w:hAnsi="Times New Roman" w:cs="Times New Roman"/>
          <w:sz w:val="28"/>
          <w:szCs w:val="28"/>
          <w:lang w:val="en-US"/>
        </w:rPr>
        <w:t xml:space="preserve"> supply </w:t>
      </w:r>
      <w:r w:rsidR="00091996" w:rsidRPr="009A7B0F">
        <w:rPr>
          <w:rFonts w:ascii="Times New Roman" w:hAnsi="Times New Roman" w:cs="Times New Roman"/>
          <w:sz w:val="28"/>
          <w:szCs w:val="28"/>
          <w:lang w:val="en-US"/>
        </w:rPr>
        <w:t>organizations</w:t>
      </w:r>
      <w:r w:rsidRPr="009A7B0F">
        <w:rPr>
          <w:rFonts w:ascii="Times New Roman" w:hAnsi="Times New Roman" w:cs="Times New Roman"/>
          <w:sz w:val="28"/>
          <w:szCs w:val="28"/>
          <w:lang w:val="en-US"/>
        </w:rPr>
        <w:t xml:space="preserve"> </w:t>
      </w:r>
      <w:r w:rsidR="00091996" w:rsidRPr="009A7B0F">
        <w:rPr>
          <w:rFonts w:ascii="Times New Roman" w:hAnsi="Times New Roman" w:cs="Times New Roman"/>
          <w:sz w:val="28"/>
          <w:szCs w:val="28"/>
          <w:lang w:val="en-US"/>
        </w:rPr>
        <w:t>by</w:t>
      </w:r>
      <w:r w:rsidRPr="009A7B0F">
        <w:rPr>
          <w:rFonts w:ascii="Times New Roman" w:hAnsi="Times New Roman" w:cs="Times New Roman"/>
          <w:sz w:val="28"/>
          <w:szCs w:val="28"/>
          <w:lang w:val="en-US"/>
        </w:rPr>
        <w:t xml:space="preserve"> 2% or</w:t>
      </w:r>
      <w:r w:rsidR="00091996" w:rsidRPr="009A7B0F">
        <w:rPr>
          <w:rFonts w:ascii="Times New Roman" w:hAnsi="Times New Roman" w:cs="Times New Roman"/>
          <w:sz w:val="28"/>
          <w:szCs w:val="28"/>
          <w:lang w:val="en-US"/>
        </w:rPr>
        <w:t xml:space="preserve"> by</w:t>
      </w:r>
      <w:r w:rsidRPr="009A7B0F">
        <w:rPr>
          <w:rFonts w:ascii="Times New Roman" w:hAnsi="Times New Roman" w:cs="Times New Roman"/>
          <w:sz w:val="28"/>
          <w:szCs w:val="28"/>
          <w:lang w:val="en-US"/>
        </w:rPr>
        <w:t xml:space="preserve"> 191</w:t>
      </w:r>
      <w:r w:rsidR="00091996"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4 million kWh </w:t>
      </w:r>
      <w:r w:rsidR="00091996" w:rsidRPr="009A7B0F">
        <w:rPr>
          <w:rFonts w:ascii="Times New Roman" w:hAnsi="Times New Roman" w:cs="Times New Roman"/>
          <w:sz w:val="28"/>
          <w:szCs w:val="28"/>
          <w:lang w:val="en-US"/>
        </w:rPr>
        <w:t xml:space="preserve">against </w:t>
      </w:r>
      <w:r w:rsidRPr="009A7B0F">
        <w:rPr>
          <w:rFonts w:ascii="Times New Roman" w:hAnsi="Times New Roman" w:cs="Times New Roman"/>
          <w:sz w:val="28"/>
          <w:szCs w:val="28"/>
          <w:lang w:val="en-US"/>
        </w:rPr>
        <w:t>the fact</w:t>
      </w:r>
      <w:r w:rsidR="00091996" w:rsidRPr="009A7B0F">
        <w:rPr>
          <w:rFonts w:ascii="Times New Roman" w:hAnsi="Times New Roman" w:cs="Times New Roman"/>
          <w:sz w:val="28"/>
          <w:szCs w:val="28"/>
          <w:lang w:val="en-US"/>
        </w:rPr>
        <w:t xml:space="preserve"> of </w:t>
      </w:r>
      <w:r w:rsidRPr="009A7B0F">
        <w:rPr>
          <w:rFonts w:ascii="Times New Roman" w:hAnsi="Times New Roman" w:cs="Times New Roman"/>
          <w:sz w:val="28"/>
          <w:szCs w:val="28"/>
          <w:lang w:val="en-US"/>
        </w:rPr>
        <w:t xml:space="preserve"> 2014</w:t>
      </w:r>
      <w:r w:rsidR="00091996" w:rsidRPr="009A7B0F">
        <w:rPr>
          <w:rFonts w:ascii="Times New Roman" w:hAnsi="Times New Roman" w:cs="Times New Roman"/>
          <w:sz w:val="28"/>
          <w:szCs w:val="28"/>
          <w:lang w:val="en-US"/>
        </w:rPr>
        <w:t xml:space="preserve"> is</w:t>
      </w:r>
      <w:r w:rsidRPr="009A7B0F">
        <w:rPr>
          <w:rFonts w:ascii="Times New Roman" w:hAnsi="Times New Roman" w:cs="Times New Roman"/>
          <w:sz w:val="28"/>
          <w:szCs w:val="28"/>
          <w:lang w:val="en-US"/>
        </w:rPr>
        <w:t xml:space="preserve"> due to warm weather conditions.</w:t>
      </w:r>
    </w:p>
    <w:p w:rsidR="00F126E0" w:rsidRPr="009A7B0F" w:rsidRDefault="0009199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lastRenderedPageBreak/>
        <w:t>Coal sales volume reduction</w:t>
      </w:r>
      <w:r w:rsidR="00F126E0" w:rsidRPr="009A7B0F">
        <w:rPr>
          <w:rFonts w:ascii="Times New Roman" w:hAnsi="Times New Roman" w:cs="Times New Roman"/>
          <w:sz w:val="28"/>
          <w:szCs w:val="28"/>
          <w:lang w:val="en-US"/>
        </w:rPr>
        <w:t xml:space="preserve"> by 11% (or 4.2 million tons)</w:t>
      </w:r>
      <w:r w:rsidRPr="009A7B0F">
        <w:rPr>
          <w:rFonts w:ascii="Times New Roman" w:hAnsi="Times New Roman" w:cs="Times New Roman"/>
          <w:sz w:val="28"/>
          <w:szCs w:val="28"/>
          <w:lang w:val="en-US"/>
        </w:rPr>
        <w:t xml:space="preserve"> is </w:t>
      </w:r>
      <w:r w:rsidR="00F126E0" w:rsidRPr="009A7B0F">
        <w:rPr>
          <w:rFonts w:ascii="Times New Roman" w:hAnsi="Times New Roman" w:cs="Times New Roman"/>
          <w:sz w:val="28"/>
          <w:szCs w:val="28"/>
          <w:lang w:val="en-US"/>
        </w:rPr>
        <w:t>due to a d</w:t>
      </w:r>
      <w:r w:rsidRPr="009A7B0F">
        <w:rPr>
          <w:rFonts w:ascii="Times New Roman" w:hAnsi="Times New Roman" w:cs="Times New Roman"/>
          <w:sz w:val="28"/>
          <w:szCs w:val="28"/>
          <w:lang w:val="en-US"/>
        </w:rPr>
        <w:t>ecrease</w:t>
      </w:r>
      <w:r w:rsidR="00F126E0" w:rsidRPr="009A7B0F">
        <w:rPr>
          <w:rFonts w:ascii="Times New Roman" w:hAnsi="Times New Roman" w:cs="Times New Roman"/>
          <w:sz w:val="28"/>
          <w:szCs w:val="28"/>
          <w:lang w:val="en-US"/>
        </w:rPr>
        <w:t xml:space="preserve"> in demand</w:t>
      </w:r>
      <w:r w:rsidRPr="009A7B0F">
        <w:rPr>
          <w:rFonts w:ascii="Times New Roman" w:hAnsi="Times New Roman" w:cs="Times New Roman"/>
          <w:sz w:val="28"/>
          <w:szCs w:val="28"/>
          <w:lang w:val="en-US"/>
        </w:rPr>
        <w:t xml:space="preserve"> of</w:t>
      </w:r>
      <w:r w:rsidR="00F126E0" w:rsidRPr="009A7B0F">
        <w:rPr>
          <w:rFonts w:ascii="Times New Roman" w:hAnsi="Times New Roman" w:cs="Times New Roman"/>
          <w:sz w:val="28"/>
          <w:szCs w:val="28"/>
          <w:lang w:val="en-US"/>
        </w:rPr>
        <w:t xml:space="preserve"> Russian </w:t>
      </w:r>
      <w:r w:rsidRPr="009A7B0F">
        <w:rPr>
          <w:rFonts w:ascii="Times New Roman" w:hAnsi="Times New Roman" w:cs="Times New Roman"/>
          <w:sz w:val="28"/>
          <w:szCs w:val="28"/>
          <w:lang w:val="en-US"/>
        </w:rPr>
        <w:t>consumers, "GRES-1</w:t>
      </w:r>
      <w:r w:rsidR="00F126E0"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LLP </w:t>
      </w:r>
      <w:r w:rsidR="00F126E0" w:rsidRPr="009A7B0F">
        <w:rPr>
          <w:rFonts w:ascii="Times New Roman" w:hAnsi="Times New Roman" w:cs="Times New Roman"/>
          <w:sz w:val="28"/>
          <w:szCs w:val="28"/>
          <w:lang w:val="en-US"/>
        </w:rPr>
        <w:t>and "GRES-2"</w:t>
      </w:r>
      <w:r w:rsidRPr="009A7B0F">
        <w:rPr>
          <w:rFonts w:ascii="Times New Roman" w:hAnsi="Times New Roman" w:cs="Times New Roman"/>
          <w:sz w:val="28"/>
          <w:szCs w:val="28"/>
          <w:lang w:val="en-US"/>
        </w:rPr>
        <w:t xml:space="preserve"> JSC</w:t>
      </w:r>
    </w:p>
    <w:p w:rsidR="00F126E0" w:rsidRPr="009A7B0F" w:rsidRDefault="006F155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 forecast for vo</w:t>
      </w:r>
      <w:r w:rsidR="00F126E0" w:rsidRPr="009A7B0F">
        <w:rPr>
          <w:rFonts w:ascii="Times New Roman" w:hAnsi="Times New Roman" w:cs="Times New Roman"/>
          <w:sz w:val="28"/>
          <w:szCs w:val="28"/>
          <w:lang w:val="en-US"/>
        </w:rPr>
        <w:t>lume of electricity production</w:t>
      </w:r>
      <w:r w:rsidRPr="009A7B0F">
        <w:rPr>
          <w:rFonts w:ascii="Times New Roman" w:hAnsi="Times New Roman" w:cs="Times New Roman"/>
          <w:sz w:val="28"/>
          <w:szCs w:val="28"/>
          <w:lang w:val="en-US"/>
        </w:rPr>
        <w:t xml:space="preserve"> mentioned in</w:t>
      </w:r>
      <w:r w:rsidR="00F126E0" w:rsidRPr="009A7B0F">
        <w:rPr>
          <w:rFonts w:ascii="Times New Roman" w:hAnsi="Times New Roman" w:cs="Times New Roman"/>
          <w:sz w:val="28"/>
          <w:szCs w:val="28"/>
          <w:lang w:val="en-US"/>
        </w:rPr>
        <w:t xml:space="preserve"> the Development Plan for 2016 - 2017 years </w:t>
      </w:r>
      <w:r w:rsidRPr="009A7B0F">
        <w:rPr>
          <w:rFonts w:ascii="Times New Roman" w:hAnsi="Times New Roman" w:cs="Times New Roman"/>
          <w:sz w:val="28"/>
          <w:szCs w:val="28"/>
          <w:lang w:val="en-US"/>
        </w:rPr>
        <w:t>indicates</w:t>
      </w:r>
      <w:r w:rsidR="00F126E0" w:rsidRPr="009A7B0F">
        <w:rPr>
          <w:rFonts w:ascii="Times New Roman" w:hAnsi="Times New Roman" w:cs="Times New Roman"/>
          <w:sz w:val="28"/>
          <w:szCs w:val="28"/>
          <w:lang w:val="en-US"/>
        </w:rPr>
        <w:t xml:space="preserve"> a positive trend in relation to the fact 2015. The increase in electricity production in 2016 to 941 million kWh is </w:t>
      </w:r>
      <w:r w:rsidRPr="009A7B0F">
        <w:rPr>
          <w:rFonts w:ascii="Times New Roman" w:hAnsi="Times New Roman" w:cs="Times New Roman"/>
          <w:sz w:val="28"/>
          <w:szCs w:val="28"/>
          <w:lang w:val="en-US"/>
        </w:rPr>
        <w:t>to be achieved mainly by</w:t>
      </w:r>
      <w:r w:rsidR="00F126E0" w:rsidRPr="009A7B0F">
        <w:rPr>
          <w:rFonts w:ascii="Times New Roman" w:hAnsi="Times New Roman" w:cs="Times New Roman"/>
          <w:sz w:val="28"/>
          <w:szCs w:val="28"/>
          <w:lang w:val="en-US"/>
        </w:rPr>
        <w:t xml:space="preserve"> "</w:t>
      </w:r>
      <w:proofErr w:type="spellStart"/>
      <w:r w:rsidR="00F126E0" w:rsidRPr="009A7B0F">
        <w:rPr>
          <w:rFonts w:ascii="Times New Roman" w:hAnsi="Times New Roman" w:cs="Times New Roman"/>
          <w:sz w:val="28"/>
          <w:szCs w:val="28"/>
          <w:lang w:val="en-US"/>
        </w:rPr>
        <w:t>Ekibastuz</w:t>
      </w:r>
      <w:proofErr w:type="spellEnd"/>
      <w:r w:rsidR="00F126E0" w:rsidRPr="009A7B0F">
        <w:rPr>
          <w:rFonts w:ascii="Times New Roman" w:hAnsi="Times New Roman" w:cs="Times New Roman"/>
          <w:sz w:val="28"/>
          <w:szCs w:val="28"/>
          <w:lang w:val="en-US"/>
        </w:rPr>
        <w:t xml:space="preserve"> GRES-2"</w:t>
      </w:r>
      <w:r w:rsidRPr="009A7B0F">
        <w:rPr>
          <w:rFonts w:ascii="Times New Roman" w:hAnsi="Times New Roman" w:cs="Times New Roman"/>
          <w:sz w:val="28"/>
          <w:szCs w:val="28"/>
          <w:lang w:val="en-US"/>
        </w:rPr>
        <w:t xml:space="preserve"> JSC</w:t>
      </w:r>
      <w:r w:rsidR="00F126E0" w:rsidRPr="009A7B0F">
        <w:rPr>
          <w:rFonts w:ascii="Times New Roman" w:hAnsi="Times New Roman" w:cs="Times New Roman"/>
          <w:sz w:val="28"/>
          <w:szCs w:val="28"/>
          <w:lang w:val="en-US"/>
        </w:rPr>
        <w:t xml:space="preserve"> and "</w:t>
      </w:r>
      <w:proofErr w:type="spellStart"/>
      <w:r w:rsidR="00F126E0" w:rsidRPr="009A7B0F">
        <w:rPr>
          <w:rFonts w:ascii="Times New Roman" w:hAnsi="Times New Roman" w:cs="Times New Roman"/>
          <w:sz w:val="28"/>
          <w:szCs w:val="28"/>
          <w:lang w:val="en-US"/>
        </w:rPr>
        <w:t>Ekibastuz</w:t>
      </w:r>
      <w:proofErr w:type="spellEnd"/>
      <w:r w:rsidR="00F126E0" w:rsidRPr="009A7B0F">
        <w:rPr>
          <w:rFonts w:ascii="Times New Roman" w:hAnsi="Times New Roman" w:cs="Times New Roman"/>
          <w:sz w:val="28"/>
          <w:szCs w:val="28"/>
          <w:lang w:val="en-US"/>
        </w:rPr>
        <w:t xml:space="preserve"> GRES-1"</w:t>
      </w:r>
      <w:r w:rsidRPr="009A7B0F">
        <w:rPr>
          <w:rFonts w:ascii="Times New Roman" w:hAnsi="Times New Roman" w:cs="Times New Roman"/>
          <w:sz w:val="28"/>
          <w:szCs w:val="28"/>
          <w:lang w:val="en-US"/>
        </w:rPr>
        <w:t xml:space="preserve"> LLP.</w:t>
      </w:r>
      <w:r w:rsidR="00F126E0" w:rsidRPr="009A7B0F">
        <w:rPr>
          <w:rFonts w:ascii="Times New Roman" w:hAnsi="Times New Roman" w:cs="Times New Roman"/>
          <w:sz w:val="28"/>
          <w:szCs w:val="28"/>
          <w:lang w:val="en-US"/>
        </w:rPr>
        <w:t xml:space="preserve"> Volumes of </w:t>
      </w:r>
      <w:r w:rsidRPr="009A7B0F">
        <w:rPr>
          <w:rFonts w:ascii="Times New Roman" w:hAnsi="Times New Roman" w:cs="Times New Roman"/>
          <w:sz w:val="28"/>
          <w:szCs w:val="28"/>
          <w:lang w:val="en-US"/>
        </w:rPr>
        <w:t>heat production</w:t>
      </w:r>
      <w:r w:rsidR="00F126E0" w:rsidRPr="009A7B0F">
        <w:rPr>
          <w:rFonts w:ascii="Times New Roman" w:hAnsi="Times New Roman" w:cs="Times New Roman"/>
          <w:sz w:val="28"/>
          <w:szCs w:val="28"/>
          <w:lang w:val="en-US"/>
        </w:rPr>
        <w:t xml:space="preserve"> in the plan for 2016-2017 </w:t>
      </w:r>
      <w:r w:rsidR="007B5959" w:rsidRPr="009A7B0F">
        <w:rPr>
          <w:rFonts w:ascii="Times New Roman" w:hAnsi="Times New Roman" w:cs="Times New Roman"/>
          <w:sz w:val="28"/>
          <w:szCs w:val="28"/>
          <w:lang w:val="en-US"/>
        </w:rPr>
        <w:t xml:space="preserve">are expected to increase by </w:t>
      </w:r>
      <w:r w:rsidR="00F126E0" w:rsidRPr="009A7B0F">
        <w:rPr>
          <w:rFonts w:ascii="Times New Roman" w:hAnsi="Times New Roman" w:cs="Times New Roman"/>
          <w:sz w:val="28"/>
          <w:szCs w:val="28"/>
          <w:lang w:val="en-US"/>
        </w:rPr>
        <w:t xml:space="preserve">6 </w:t>
      </w:r>
      <w:r w:rsidR="007B5959" w:rsidRPr="009A7B0F">
        <w:rPr>
          <w:rFonts w:ascii="Times New Roman" w:hAnsi="Times New Roman" w:cs="Times New Roman"/>
          <w:sz w:val="28"/>
          <w:szCs w:val="28"/>
          <w:lang w:val="en-US"/>
        </w:rPr>
        <w:t>-</w:t>
      </w:r>
      <w:r w:rsidR="00F126E0" w:rsidRPr="009A7B0F">
        <w:rPr>
          <w:rFonts w:ascii="Times New Roman" w:hAnsi="Times New Roman" w:cs="Times New Roman"/>
          <w:sz w:val="28"/>
          <w:szCs w:val="28"/>
          <w:lang w:val="en-US"/>
        </w:rPr>
        <w:t xml:space="preserve">15% to the fact of 2015, mainly due to increased heat production </w:t>
      </w:r>
      <w:r w:rsidR="007B5959" w:rsidRPr="009A7B0F">
        <w:rPr>
          <w:rFonts w:ascii="Times New Roman" w:hAnsi="Times New Roman" w:cs="Times New Roman"/>
          <w:sz w:val="28"/>
          <w:szCs w:val="28"/>
          <w:lang w:val="en-US"/>
        </w:rPr>
        <w:t>by</w:t>
      </w:r>
      <w:r w:rsidR="00F126E0" w:rsidRPr="009A7B0F">
        <w:rPr>
          <w:rFonts w:ascii="Times New Roman" w:hAnsi="Times New Roman" w:cs="Times New Roman"/>
          <w:sz w:val="28"/>
          <w:szCs w:val="28"/>
          <w:lang w:val="en-US"/>
        </w:rPr>
        <w:t xml:space="preserve"> </w:t>
      </w:r>
      <w:r w:rsidR="007B5959" w:rsidRPr="009A7B0F">
        <w:rPr>
          <w:rFonts w:ascii="Times New Roman" w:hAnsi="Times New Roman" w:cs="Times New Roman"/>
          <w:sz w:val="28"/>
          <w:szCs w:val="28"/>
          <w:lang w:val="en-US"/>
        </w:rPr>
        <w:t>"Almaty Power Plants</w:t>
      </w:r>
      <w:r w:rsidR="00F126E0" w:rsidRPr="009A7B0F">
        <w:rPr>
          <w:rFonts w:ascii="Times New Roman" w:hAnsi="Times New Roman" w:cs="Times New Roman"/>
          <w:sz w:val="28"/>
          <w:szCs w:val="28"/>
          <w:lang w:val="en-US"/>
        </w:rPr>
        <w:t>"</w:t>
      </w:r>
      <w:r w:rsidR="007B5959" w:rsidRPr="009A7B0F">
        <w:rPr>
          <w:rFonts w:ascii="Times New Roman" w:hAnsi="Times New Roman" w:cs="Times New Roman"/>
          <w:sz w:val="28"/>
          <w:szCs w:val="28"/>
          <w:lang w:val="en-US"/>
        </w:rPr>
        <w:t xml:space="preserve"> JSC</w:t>
      </w:r>
      <w:r w:rsidR="00F126E0" w:rsidRPr="009A7B0F">
        <w:rPr>
          <w:rFonts w:ascii="Times New Roman" w:hAnsi="Times New Roman" w:cs="Times New Roman"/>
          <w:sz w:val="28"/>
          <w:szCs w:val="28"/>
          <w:lang w:val="en-US"/>
        </w:rPr>
        <w:t>.</w:t>
      </w: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In terms of</w:t>
      </w:r>
      <w:r w:rsidR="007B5959" w:rsidRPr="009A7B0F">
        <w:rPr>
          <w:rFonts w:ascii="Times New Roman" w:hAnsi="Times New Roman" w:cs="Times New Roman"/>
          <w:sz w:val="28"/>
          <w:szCs w:val="28"/>
          <w:lang w:val="en-US"/>
        </w:rPr>
        <w:t xml:space="preserve"> electricity</w:t>
      </w:r>
      <w:r w:rsidRPr="009A7B0F">
        <w:rPr>
          <w:rFonts w:ascii="Times New Roman" w:hAnsi="Times New Roman" w:cs="Times New Roman"/>
          <w:sz w:val="28"/>
          <w:szCs w:val="28"/>
          <w:lang w:val="en-US"/>
        </w:rPr>
        <w:t xml:space="preserve"> transmission and distribution </w:t>
      </w:r>
      <w:r w:rsidR="007B5959" w:rsidRPr="009A7B0F">
        <w:rPr>
          <w:rFonts w:ascii="Times New Roman" w:hAnsi="Times New Roman" w:cs="Times New Roman"/>
          <w:sz w:val="28"/>
          <w:szCs w:val="28"/>
          <w:lang w:val="en-US"/>
        </w:rPr>
        <w:t xml:space="preserve">volumes </w:t>
      </w:r>
      <w:r w:rsidRPr="009A7B0F">
        <w:rPr>
          <w:rFonts w:ascii="Times New Roman" w:hAnsi="Times New Roman" w:cs="Times New Roman"/>
          <w:sz w:val="28"/>
          <w:szCs w:val="28"/>
          <w:lang w:val="en-US"/>
        </w:rPr>
        <w:t>in 2016 is expected to increase due to growth i</w:t>
      </w:r>
      <w:r w:rsidR="007B5959" w:rsidRPr="009A7B0F">
        <w:rPr>
          <w:rFonts w:ascii="Times New Roman" w:hAnsi="Times New Roman" w:cs="Times New Roman"/>
          <w:sz w:val="28"/>
          <w:szCs w:val="28"/>
          <w:lang w:val="en-US"/>
        </w:rPr>
        <w:t>n "</w:t>
      </w:r>
      <w:proofErr w:type="spellStart"/>
      <w:r w:rsidR="007B5959" w:rsidRPr="009A7B0F">
        <w:rPr>
          <w:rFonts w:ascii="Times New Roman" w:hAnsi="Times New Roman" w:cs="Times New Roman"/>
          <w:sz w:val="28"/>
          <w:szCs w:val="28"/>
          <w:lang w:val="en-US"/>
        </w:rPr>
        <w:t>AZhC</w:t>
      </w:r>
      <w:proofErr w:type="spellEnd"/>
      <w:r w:rsidR="007B5959" w:rsidRPr="009A7B0F">
        <w:rPr>
          <w:rFonts w:ascii="Times New Roman" w:hAnsi="Times New Roman" w:cs="Times New Roman"/>
          <w:sz w:val="28"/>
          <w:szCs w:val="28"/>
          <w:lang w:val="en-US"/>
        </w:rPr>
        <w:t xml:space="preserve">" JSC and “EK REC" JSC consumers applications. </w:t>
      </w:r>
    </w:p>
    <w:p w:rsidR="00F126E0" w:rsidRPr="009A7B0F" w:rsidRDefault="00F126E0"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 volume of coal sales in the forecast for 2016 is reduced by 1</w:t>
      </w:r>
      <w:r w:rsidR="00DA6D4F"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4 million tons, or 4% less than the fact of 2015 due to </w:t>
      </w:r>
      <w:r w:rsidR="00DA6D4F" w:rsidRPr="009A7B0F">
        <w:rPr>
          <w:rFonts w:ascii="Times New Roman" w:hAnsi="Times New Roman" w:cs="Times New Roman"/>
          <w:sz w:val="28"/>
          <w:szCs w:val="28"/>
          <w:lang w:val="en-US"/>
        </w:rPr>
        <w:t>decrease in</w:t>
      </w:r>
      <w:r w:rsidRPr="009A7B0F">
        <w:rPr>
          <w:rFonts w:ascii="Times New Roman" w:hAnsi="Times New Roman" w:cs="Times New Roman"/>
          <w:sz w:val="28"/>
          <w:szCs w:val="28"/>
          <w:lang w:val="en-US"/>
        </w:rPr>
        <w:t xml:space="preserve"> </w:t>
      </w:r>
      <w:r w:rsidR="00DA6D4F" w:rsidRPr="009A7B0F">
        <w:rPr>
          <w:rFonts w:ascii="Times New Roman" w:hAnsi="Times New Roman" w:cs="Times New Roman"/>
          <w:sz w:val="28"/>
          <w:szCs w:val="28"/>
          <w:lang w:val="en-US"/>
        </w:rPr>
        <w:t xml:space="preserve">forecast </w:t>
      </w:r>
      <w:r w:rsidRPr="009A7B0F">
        <w:rPr>
          <w:rFonts w:ascii="Times New Roman" w:hAnsi="Times New Roman" w:cs="Times New Roman"/>
          <w:sz w:val="28"/>
          <w:szCs w:val="28"/>
          <w:lang w:val="en-US"/>
        </w:rPr>
        <w:t xml:space="preserve">coal consumption </w:t>
      </w:r>
      <w:r w:rsidR="00DA6D4F" w:rsidRPr="009A7B0F">
        <w:rPr>
          <w:rFonts w:ascii="Times New Roman" w:hAnsi="Times New Roman" w:cs="Times New Roman"/>
          <w:sz w:val="28"/>
          <w:szCs w:val="28"/>
          <w:lang w:val="en-US"/>
        </w:rPr>
        <w:t>by</w:t>
      </w:r>
      <w:r w:rsidRPr="009A7B0F">
        <w:rPr>
          <w:rFonts w:ascii="Times New Roman" w:hAnsi="Times New Roman" w:cs="Times New Roman"/>
          <w:sz w:val="28"/>
          <w:szCs w:val="28"/>
          <w:lang w:val="en-US"/>
        </w:rPr>
        <w:t xml:space="preserve"> key consumers of the Russian Federation and Kazakhstan. </w:t>
      </w:r>
      <w:r w:rsidR="00DA6D4F" w:rsidRPr="009A7B0F">
        <w:rPr>
          <w:rFonts w:ascii="Times New Roman" w:hAnsi="Times New Roman" w:cs="Times New Roman"/>
          <w:sz w:val="28"/>
          <w:szCs w:val="28"/>
          <w:lang w:val="en-US"/>
        </w:rPr>
        <w:t>In the</w:t>
      </w:r>
      <w:r w:rsidRPr="009A7B0F">
        <w:rPr>
          <w:rFonts w:ascii="Times New Roman" w:hAnsi="Times New Roman" w:cs="Times New Roman"/>
          <w:sz w:val="28"/>
          <w:szCs w:val="28"/>
          <w:lang w:val="en-US"/>
        </w:rPr>
        <w:t xml:space="preserve"> forecast for 2017</w:t>
      </w:r>
      <w:r w:rsidR="00DA6D4F"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coal sales volume increase</w:t>
      </w:r>
      <w:r w:rsidR="00DA6D4F" w:rsidRPr="009A7B0F">
        <w:rPr>
          <w:rFonts w:ascii="Times New Roman" w:hAnsi="Times New Roman" w:cs="Times New Roman"/>
          <w:sz w:val="28"/>
          <w:szCs w:val="28"/>
          <w:lang w:val="en-US"/>
        </w:rPr>
        <w:t>s by 10% or 3</w:t>
      </w:r>
      <w:proofErr w:type="gramStart"/>
      <w:r w:rsidR="00DA6D4F"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2</w:t>
      </w:r>
      <w:proofErr w:type="gramEnd"/>
      <w:r w:rsidRPr="009A7B0F">
        <w:rPr>
          <w:rFonts w:ascii="Times New Roman" w:hAnsi="Times New Roman" w:cs="Times New Roman"/>
          <w:sz w:val="28"/>
          <w:szCs w:val="28"/>
          <w:lang w:val="en-US"/>
        </w:rPr>
        <w:t xml:space="preserve"> million tons by 2016. The volume of production and sales of coal </w:t>
      </w:r>
      <w:r w:rsidR="00DA6D4F" w:rsidRPr="009A7B0F">
        <w:rPr>
          <w:rFonts w:ascii="Times New Roman" w:hAnsi="Times New Roman" w:cs="Times New Roman"/>
          <w:sz w:val="28"/>
          <w:szCs w:val="28"/>
          <w:lang w:val="en-US"/>
        </w:rPr>
        <w:t>for 2</w:t>
      </w:r>
      <w:r w:rsidRPr="009A7B0F">
        <w:rPr>
          <w:rFonts w:ascii="Times New Roman" w:hAnsi="Times New Roman" w:cs="Times New Roman"/>
          <w:sz w:val="28"/>
          <w:szCs w:val="28"/>
          <w:lang w:val="en-US"/>
        </w:rPr>
        <w:t xml:space="preserve">015-2016 are </w:t>
      </w:r>
      <w:r w:rsidR="00DA6D4F" w:rsidRPr="009A7B0F">
        <w:rPr>
          <w:rFonts w:ascii="Times New Roman" w:hAnsi="Times New Roman" w:cs="Times New Roman"/>
          <w:sz w:val="28"/>
          <w:szCs w:val="28"/>
          <w:lang w:val="en-US"/>
        </w:rPr>
        <w:t xml:space="preserve">provided taking into account </w:t>
      </w:r>
      <w:r w:rsidRPr="009A7B0F">
        <w:rPr>
          <w:rFonts w:ascii="Times New Roman" w:hAnsi="Times New Roman" w:cs="Times New Roman"/>
          <w:sz w:val="28"/>
          <w:szCs w:val="28"/>
          <w:lang w:val="en-US"/>
        </w:rPr>
        <w:t xml:space="preserve">the </w:t>
      </w:r>
      <w:r w:rsidR="00F84E5B" w:rsidRPr="009A7B0F">
        <w:rPr>
          <w:rFonts w:ascii="Times New Roman" w:hAnsi="Times New Roman" w:cs="Times New Roman"/>
          <w:sz w:val="28"/>
          <w:szCs w:val="28"/>
          <w:lang w:val="en-US"/>
        </w:rPr>
        <w:t>forecast electricity</w:t>
      </w:r>
      <w:r w:rsidRPr="009A7B0F">
        <w:rPr>
          <w:rFonts w:ascii="Times New Roman" w:hAnsi="Times New Roman" w:cs="Times New Roman"/>
          <w:sz w:val="28"/>
          <w:szCs w:val="28"/>
          <w:lang w:val="en-US"/>
        </w:rPr>
        <w:t xml:space="preserve"> generation</w:t>
      </w:r>
      <w:r w:rsidR="00F84E5B" w:rsidRPr="009A7B0F">
        <w:rPr>
          <w:rFonts w:ascii="Times New Roman" w:hAnsi="Times New Roman" w:cs="Times New Roman"/>
          <w:sz w:val="28"/>
          <w:szCs w:val="28"/>
          <w:lang w:val="en-US"/>
        </w:rPr>
        <w:t xml:space="preserve"> volumes</w:t>
      </w:r>
      <w:r w:rsidRPr="009A7B0F">
        <w:rPr>
          <w:rFonts w:ascii="Times New Roman" w:hAnsi="Times New Roman" w:cs="Times New Roman"/>
          <w:sz w:val="28"/>
          <w:szCs w:val="28"/>
          <w:lang w:val="en-US"/>
        </w:rPr>
        <w:t xml:space="preserve"> in the Republic of Kazakhstan and the Russian Federation.</w:t>
      </w:r>
    </w:p>
    <w:p w:rsidR="00EA4183" w:rsidRPr="009A7B0F" w:rsidRDefault="00F84E5B"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 f</w:t>
      </w:r>
      <w:r w:rsidR="00F126E0" w:rsidRPr="009A7B0F">
        <w:rPr>
          <w:rFonts w:ascii="Times New Roman" w:hAnsi="Times New Roman" w:cs="Times New Roman"/>
          <w:sz w:val="28"/>
          <w:szCs w:val="28"/>
          <w:lang w:val="en-US"/>
        </w:rPr>
        <w:t xml:space="preserve">ollowing significant events and changes in </w:t>
      </w:r>
      <w:r w:rsidRPr="009A7B0F">
        <w:rPr>
          <w:rFonts w:ascii="Times New Roman" w:hAnsi="Times New Roman" w:cs="Times New Roman"/>
          <w:sz w:val="28"/>
          <w:szCs w:val="28"/>
          <w:lang w:val="en-US"/>
        </w:rPr>
        <w:t>operations of the Company took place in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976"/>
      </w:tblGrid>
      <w:tr w:rsidR="00EA4183" w:rsidRPr="009A7B0F" w:rsidTr="006C2653">
        <w:tc>
          <w:tcPr>
            <w:tcW w:w="1595" w:type="dxa"/>
            <w:tcBorders>
              <w:top w:val="single" w:sz="4" w:space="0" w:color="auto"/>
              <w:left w:val="single" w:sz="4" w:space="0" w:color="auto"/>
              <w:bottom w:val="single" w:sz="4" w:space="0" w:color="auto"/>
              <w:right w:val="single" w:sz="4" w:space="0" w:color="auto"/>
            </w:tcBorders>
            <w:hideMark/>
          </w:tcPr>
          <w:p w:rsidR="00EA4183" w:rsidRPr="009A7B0F" w:rsidRDefault="00EA4183" w:rsidP="00A101DE">
            <w:pPr>
              <w:widowControl w:val="0"/>
              <w:autoSpaceDE w:val="0"/>
              <w:autoSpaceDN w:val="0"/>
              <w:adjustRightInd w:val="0"/>
              <w:ind w:right="-143"/>
              <w:rPr>
                <w:rFonts w:ascii="Times New Roman" w:hAnsi="Times New Roman" w:cs="Times New Roman"/>
                <w:b/>
                <w:bCs/>
                <w:sz w:val="28"/>
                <w:szCs w:val="28"/>
                <w:lang w:val="en-US" w:eastAsia="ru-RU"/>
              </w:rPr>
            </w:pPr>
            <w:r w:rsidRPr="009A7B0F">
              <w:rPr>
                <w:rFonts w:ascii="Times New Roman" w:hAnsi="Times New Roman" w:cs="Times New Roman"/>
                <w:b/>
                <w:bCs/>
                <w:sz w:val="28"/>
                <w:szCs w:val="28"/>
                <w:lang w:val="en-US" w:eastAsia="ru-RU"/>
              </w:rPr>
              <w:t>Date</w:t>
            </w:r>
          </w:p>
        </w:tc>
        <w:tc>
          <w:tcPr>
            <w:tcW w:w="7976" w:type="dxa"/>
            <w:tcBorders>
              <w:top w:val="single" w:sz="4" w:space="0" w:color="auto"/>
              <w:left w:val="single" w:sz="4" w:space="0" w:color="auto"/>
              <w:bottom w:val="single" w:sz="4" w:space="0" w:color="auto"/>
              <w:right w:val="single" w:sz="4" w:space="0" w:color="auto"/>
            </w:tcBorders>
            <w:hideMark/>
          </w:tcPr>
          <w:p w:rsidR="00EA4183" w:rsidRPr="009A7B0F" w:rsidRDefault="00EA4183" w:rsidP="009A7B0F">
            <w:pPr>
              <w:widowControl w:val="0"/>
              <w:autoSpaceDE w:val="0"/>
              <w:autoSpaceDN w:val="0"/>
              <w:adjustRightInd w:val="0"/>
              <w:ind w:right="-143" w:firstLine="709"/>
              <w:jc w:val="center"/>
              <w:rPr>
                <w:rFonts w:ascii="Times New Roman" w:hAnsi="Times New Roman" w:cs="Times New Roman"/>
                <w:b/>
                <w:bCs/>
                <w:sz w:val="28"/>
                <w:szCs w:val="28"/>
                <w:lang w:val="en-US" w:eastAsia="ru-RU"/>
              </w:rPr>
            </w:pPr>
            <w:r w:rsidRPr="009A7B0F">
              <w:rPr>
                <w:rFonts w:ascii="Times New Roman" w:hAnsi="Times New Roman" w:cs="Times New Roman"/>
                <w:b/>
                <w:bCs/>
                <w:sz w:val="28"/>
                <w:szCs w:val="28"/>
                <w:lang w:val="en-US" w:eastAsia="ru-RU"/>
              </w:rPr>
              <w:t>Event</w:t>
            </w:r>
          </w:p>
        </w:tc>
      </w:tr>
      <w:tr w:rsidR="00EA4183" w:rsidRPr="00FA1B91" w:rsidTr="006C2653">
        <w:trPr>
          <w:trHeight w:val="649"/>
        </w:trPr>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sz w:val="28"/>
                <w:szCs w:val="28"/>
                <w:lang w:val="en-US" w:eastAsia="ru-RU"/>
              </w:rPr>
            </w:pPr>
            <w:r w:rsidRPr="009A7B0F">
              <w:rPr>
                <w:rFonts w:ascii="Times New Roman" w:hAnsi="Times New Roman" w:cs="Times New Roman"/>
                <w:bCs/>
                <w:sz w:val="28"/>
                <w:szCs w:val="28"/>
                <w:lang w:eastAsia="ru-RU"/>
              </w:rPr>
              <w:t xml:space="preserve">1 </w:t>
            </w:r>
            <w:r w:rsidRPr="009A7B0F">
              <w:rPr>
                <w:rFonts w:ascii="Times New Roman" w:hAnsi="Times New Roman" w:cs="Times New Roman"/>
                <w:bCs/>
                <w:sz w:val="28"/>
                <w:szCs w:val="28"/>
                <w:lang w:val="en-US" w:eastAsia="ru-RU"/>
              </w:rPr>
              <w:t>February</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Reduction in the selling price for electricity produced by "</w:t>
            </w:r>
            <w:proofErr w:type="spellStart"/>
            <w:r w:rsidRPr="009A7B0F">
              <w:rPr>
                <w:rFonts w:ascii="Times New Roman" w:hAnsi="Times New Roman" w:cs="Times New Roman"/>
                <w:sz w:val="28"/>
                <w:szCs w:val="28"/>
                <w:lang w:val="en-US"/>
              </w:rPr>
              <w:t>Ekibastuz</w:t>
            </w:r>
            <w:proofErr w:type="spellEnd"/>
            <w:r w:rsidRPr="009A7B0F">
              <w:rPr>
                <w:rFonts w:ascii="Times New Roman" w:hAnsi="Times New Roman" w:cs="Times New Roman"/>
                <w:sz w:val="28"/>
                <w:szCs w:val="28"/>
                <w:lang w:val="en-US"/>
              </w:rPr>
              <w:t xml:space="preserve"> GRES-1" LLP and  "</w:t>
            </w:r>
            <w:proofErr w:type="spellStart"/>
            <w:r w:rsidRPr="009A7B0F">
              <w:rPr>
                <w:rFonts w:ascii="Times New Roman" w:hAnsi="Times New Roman" w:cs="Times New Roman"/>
                <w:sz w:val="28"/>
                <w:szCs w:val="28"/>
                <w:lang w:val="en-US"/>
              </w:rPr>
              <w:t>Ekibastuz</w:t>
            </w:r>
            <w:proofErr w:type="spellEnd"/>
            <w:r w:rsidRPr="009A7B0F">
              <w:rPr>
                <w:rFonts w:ascii="Times New Roman" w:hAnsi="Times New Roman" w:cs="Times New Roman"/>
                <w:sz w:val="28"/>
                <w:szCs w:val="28"/>
                <w:lang w:val="en-US"/>
              </w:rPr>
              <w:t xml:space="preserve"> GRES-2" JSC </w:t>
            </w:r>
          </w:p>
        </w:tc>
      </w:tr>
      <w:tr w:rsidR="00EA4183" w:rsidRPr="00FA1B91" w:rsidTr="006C2653">
        <w:trPr>
          <w:trHeight w:val="560"/>
        </w:trPr>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sz w:val="28"/>
                <w:szCs w:val="28"/>
                <w:lang w:val="en-US" w:eastAsia="ru-RU"/>
              </w:rPr>
            </w:pPr>
            <w:r w:rsidRPr="009A7B0F">
              <w:rPr>
                <w:rFonts w:ascii="Times New Roman" w:hAnsi="Times New Roman" w:cs="Times New Roman"/>
                <w:bCs/>
                <w:sz w:val="28"/>
                <w:szCs w:val="28"/>
                <w:lang w:eastAsia="ru-RU"/>
              </w:rPr>
              <w:t xml:space="preserve">20 </w:t>
            </w:r>
            <w:r w:rsidRPr="009A7B0F">
              <w:rPr>
                <w:rFonts w:ascii="Times New Roman" w:hAnsi="Times New Roman" w:cs="Times New Roman"/>
                <w:bCs/>
                <w:sz w:val="28"/>
                <w:szCs w:val="28"/>
                <w:lang w:val="en-US" w:eastAsia="ru-RU"/>
              </w:rPr>
              <w:t>February</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Standard &amp; Poor downgraded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 xml:space="preserve">-Energy’s ratings  to "BB / B 'and« </w:t>
            </w:r>
            <w:proofErr w:type="spellStart"/>
            <w:r w:rsidRPr="009A7B0F">
              <w:rPr>
                <w:rFonts w:ascii="Times New Roman" w:hAnsi="Times New Roman" w:cs="Times New Roman"/>
                <w:sz w:val="28"/>
                <w:szCs w:val="28"/>
                <w:lang w:val="en-US"/>
              </w:rPr>
              <w:t>kzA</w:t>
            </w:r>
            <w:proofErr w:type="spellEnd"/>
            <w:r w:rsidRPr="009A7B0F">
              <w:rPr>
                <w:rFonts w:ascii="Times New Roman" w:hAnsi="Times New Roman" w:cs="Times New Roman"/>
                <w:sz w:val="28"/>
                <w:szCs w:val="28"/>
                <w:lang w:val="en-US"/>
              </w:rPr>
              <w:t xml:space="preserve"> + », “stable” forecast</w:t>
            </w:r>
          </w:p>
        </w:tc>
      </w:tr>
      <w:tr w:rsidR="00EA4183" w:rsidRPr="00FA1B91" w:rsidTr="006C2653">
        <w:trPr>
          <w:trHeight w:val="486"/>
        </w:trPr>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sz w:val="28"/>
                <w:szCs w:val="28"/>
                <w:lang w:val="en-US" w:eastAsia="ru-RU"/>
              </w:rPr>
            </w:pPr>
            <w:r w:rsidRPr="009A7B0F">
              <w:rPr>
                <w:rFonts w:ascii="Times New Roman" w:hAnsi="Times New Roman" w:cs="Times New Roman"/>
                <w:bCs/>
                <w:sz w:val="28"/>
                <w:szCs w:val="28"/>
                <w:lang w:eastAsia="ru-RU"/>
              </w:rPr>
              <w:t xml:space="preserve">27 </w:t>
            </w:r>
            <w:r w:rsidRPr="009A7B0F">
              <w:rPr>
                <w:rFonts w:ascii="Times New Roman" w:hAnsi="Times New Roman" w:cs="Times New Roman"/>
                <w:bCs/>
                <w:sz w:val="28"/>
                <w:szCs w:val="28"/>
                <w:lang w:val="en-US" w:eastAsia="ru-RU"/>
              </w:rPr>
              <w:t>February</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02330A"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Conducting a briefing in CCS" On implementation of  SPAIID projects in energy sector and activity of "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-Energy" JSC in 2014</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02330A"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val="en-US" w:eastAsia="ru-RU"/>
              </w:rPr>
              <w:t>2 March</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02330A"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-Energy” JSC plans to reduce capex by 23% in 2015</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10 </w:t>
            </w:r>
            <w:r w:rsidR="0002330A" w:rsidRPr="009A7B0F">
              <w:rPr>
                <w:rFonts w:ascii="Times New Roman" w:hAnsi="Times New Roman" w:cs="Times New Roman"/>
                <w:bCs/>
                <w:color w:val="000000"/>
                <w:sz w:val="28"/>
                <w:szCs w:val="28"/>
                <w:bdr w:val="none" w:sz="0" w:space="0" w:color="auto" w:frame="1"/>
                <w:lang w:val="en-US" w:eastAsia="ru-RU"/>
              </w:rPr>
              <w:t xml:space="preserve">April </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02330A"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Reduction in "</w:t>
            </w:r>
            <w:proofErr w:type="spellStart"/>
            <w:r w:rsidRPr="009A7B0F">
              <w:rPr>
                <w:rFonts w:ascii="Times New Roman" w:hAnsi="Times New Roman" w:cs="Times New Roman"/>
                <w:sz w:val="28"/>
                <w:szCs w:val="28"/>
                <w:lang w:val="en-US"/>
              </w:rPr>
              <w:t>AlmatyEnergoSbyt</w:t>
            </w:r>
            <w:proofErr w:type="spellEnd"/>
            <w:r w:rsidRPr="009A7B0F">
              <w:rPr>
                <w:rFonts w:ascii="Times New Roman" w:hAnsi="Times New Roman" w:cs="Times New Roman"/>
                <w:sz w:val="28"/>
                <w:szCs w:val="28"/>
                <w:lang w:val="en-US"/>
              </w:rPr>
              <w:t xml:space="preserve">" LLP tariff for Almaty city ultimate consumers </w:t>
            </w:r>
          </w:p>
        </w:tc>
      </w:tr>
      <w:tr w:rsidR="00EA4183" w:rsidRPr="00FA1B91" w:rsidTr="00730FD3">
        <w:trPr>
          <w:trHeight w:val="887"/>
        </w:trPr>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27</w:t>
            </w:r>
            <w:r w:rsidR="0002330A" w:rsidRPr="009A7B0F">
              <w:rPr>
                <w:rFonts w:ascii="Times New Roman" w:hAnsi="Times New Roman" w:cs="Times New Roman"/>
                <w:bCs/>
                <w:color w:val="000000"/>
                <w:sz w:val="28"/>
                <w:szCs w:val="28"/>
                <w:bdr w:val="none" w:sz="0" w:space="0" w:color="auto" w:frame="1"/>
                <w:lang w:val="en-US" w:eastAsia="ru-RU"/>
              </w:rPr>
              <w:t>April</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02330A"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The work of WEC’s Kazakhstan National Committee was highly evaluated by</w:t>
            </w:r>
            <w:r w:rsidR="00730FD3" w:rsidRPr="009A7B0F">
              <w:rPr>
                <w:rFonts w:ascii="Times New Roman" w:hAnsi="Times New Roman" w:cs="Times New Roman"/>
                <w:sz w:val="28"/>
                <w:szCs w:val="28"/>
                <w:lang w:val="en-US"/>
              </w:rPr>
              <w:t xml:space="preserve"> the</w:t>
            </w:r>
            <w:r w:rsidRPr="009A7B0F">
              <w:rPr>
                <w:rFonts w:ascii="Times New Roman" w:hAnsi="Times New Roman" w:cs="Times New Roman"/>
                <w:sz w:val="28"/>
                <w:szCs w:val="28"/>
                <w:lang w:val="en-US"/>
              </w:rPr>
              <w:t xml:space="preserve"> World Energy Council</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18 </w:t>
            </w:r>
            <w:r w:rsidR="00730FD3" w:rsidRPr="009A7B0F">
              <w:rPr>
                <w:rFonts w:ascii="Times New Roman" w:hAnsi="Times New Roman" w:cs="Times New Roman"/>
                <w:bCs/>
                <w:color w:val="000000"/>
                <w:sz w:val="28"/>
                <w:szCs w:val="28"/>
                <w:bdr w:val="none" w:sz="0" w:space="0" w:color="auto" w:frame="1"/>
                <w:lang w:val="en-US" w:eastAsia="ru-RU"/>
              </w:rPr>
              <w:t>May</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730FD3"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 xml:space="preserve">-Energy" JSC sold 50% of  "T.I. </w:t>
            </w:r>
            <w:proofErr w:type="spellStart"/>
            <w:r w:rsidRPr="009A7B0F">
              <w:rPr>
                <w:rFonts w:ascii="Times New Roman" w:hAnsi="Times New Roman" w:cs="Times New Roman"/>
                <w:sz w:val="28"/>
                <w:szCs w:val="28"/>
                <w:lang w:val="en-US"/>
              </w:rPr>
              <w:t>Baturov</w:t>
            </w:r>
            <w:proofErr w:type="spellEnd"/>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Zhambyl</w:t>
            </w:r>
            <w:proofErr w:type="spellEnd"/>
            <w:r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lastRenderedPageBreak/>
              <w:t>GRES " JSC shares</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lastRenderedPageBreak/>
              <w:t>19</w:t>
            </w:r>
            <w:r w:rsidR="00730FD3" w:rsidRPr="009A7B0F">
              <w:rPr>
                <w:rFonts w:ascii="Times New Roman" w:hAnsi="Times New Roman" w:cs="Times New Roman"/>
                <w:bCs/>
                <w:color w:val="000000"/>
                <w:sz w:val="28"/>
                <w:szCs w:val="28"/>
                <w:bdr w:val="none" w:sz="0" w:space="0" w:color="auto" w:frame="1"/>
                <w:lang w:val="en-US" w:eastAsia="ru-RU"/>
              </w:rPr>
              <w:t>May</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730FD3" w:rsidP="009A7B0F">
            <w:pPr>
              <w:widowControl w:val="0"/>
              <w:adjustRightInd w:val="0"/>
              <w:ind w:right="-143" w:firstLine="709"/>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val="en-US" w:eastAsia="ru-RU"/>
              </w:rPr>
              <w:t>Increase in the individual tariff of "</w:t>
            </w:r>
            <w:proofErr w:type="spellStart"/>
            <w:r w:rsidRPr="009A7B0F">
              <w:rPr>
                <w:rFonts w:ascii="Times New Roman" w:hAnsi="Times New Roman" w:cs="Times New Roman"/>
                <w:bCs/>
                <w:color w:val="000000"/>
                <w:sz w:val="28"/>
                <w:szCs w:val="28"/>
                <w:bdr w:val="none" w:sz="0" w:space="0" w:color="auto" w:frame="1"/>
                <w:lang w:val="en-US" w:eastAsia="ru-RU"/>
              </w:rPr>
              <w:t>Moynak</w:t>
            </w:r>
            <w:proofErr w:type="spellEnd"/>
            <w:r w:rsidRPr="009A7B0F">
              <w:rPr>
                <w:rFonts w:ascii="Times New Roman" w:hAnsi="Times New Roman" w:cs="Times New Roman"/>
                <w:bCs/>
                <w:color w:val="000000"/>
                <w:sz w:val="28"/>
                <w:szCs w:val="28"/>
                <w:bdr w:val="none" w:sz="0" w:space="0" w:color="auto" w:frame="1"/>
                <w:lang w:val="en-US" w:eastAsia="ru-RU"/>
              </w:rPr>
              <w:t xml:space="preserve"> HPP" JSC due </w:t>
            </w:r>
            <w:proofErr w:type="gramStart"/>
            <w:r w:rsidRPr="009A7B0F">
              <w:rPr>
                <w:rFonts w:ascii="Times New Roman" w:hAnsi="Times New Roman" w:cs="Times New Roman"/>
                <w:bCs/>
                <w:color w:val="000000"/>
                <w:sz w:val="28"/>
                <w:szCs w:val="28"/>
                <w:bdr w:val="none" w:sz="0" w:space="0" w:color="auto" w:frame="1"/>
                <w:lang w:val="en-US" w:eastAsia="ru-RU"/>
              </w:rPr>
              <w:t>to  appreciation</w:t>
            </w:r>
            <w:proofErr w:type="gramEnd"/>
            <w:r w:rsidRPr="009A7B0F">
              <w:rPr>
                <w:rFonts w:ascii="Times New Roman" w:hAnsi="Times New Roman" w:cs="Times New Roman"/>
                <w:bCs/>
                <w:color w:val="000000"/>
                <w:sz w:val="28"/>
                <w:szCs w:val="28"/>
                <w:bdr w:val="none" w:sz="0" w:space="0" w:color="auto" w:frame="1"/>
                <w:lang w:val="en-US" w:eastAsia="ru-RU"/>
              </w:rPr>
              <w:t xml:space="preserve"> of investment projects and expenses.</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22 </w:t>
            </w:r>
            <w:r w:rsidR="00730FD3" w:rsidRPr="009A7B0F">
              <w:rPr>
                <w:rFonts w:ascii="Times New Roman" w:hAnsi="Times New Roman" w:cs="Times New Roman"/>
                <w:bCs/>
                <w:color w:val="000000"/>
                <w:sz w:val="28"/>
                <w:szCs w:val="28"/>
                <w:bdr w:val="none" w:sz="0" w:space="0" w:color="auto" w:frame="1"/>
                <w:lang w:val="en-US" w:eastAsia="ru-RU"/>
              </w:rPr>
              <w:t>May</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A101DE" w:rsidP="009A7B0F">
            <w:pPr>
              <w:ind w:right="-143" w:firstLine="709"/>
              <w:rPr>
                <w:rFonts w:ascii="Times New Roman" w:hAnsi="Times New Roman" w:cs="Times New Roman"/>
                <w:sz w:val="28"/>
                <w:szCs w:val="28"/>
                <w:lang w:val="en-US"/>
              </w:rPr>
            </w:pPr>
            <w:r>
              <w:rPr>
                <w:rFonts w:ascii="Times New Roman" w:hAnsi="Times New Roman" w:cs="Times New Roman"/>
                <w:sz w:val="28"/>
                <w:szCs w:val="28"/>
                <w:lang w:val="en-US"/>
              </w:rPr>
              <w:t>A</w:t>
            </w:r>
            <w:r w:rsidR="00730FD3" w:rsidRPr="009A7B0F">
              <w:rPr>
                <w:rFonts w:ascii="Times New Roman" w:hAnsi="Times New Roman" w:cs="Times New Roman"/>
                <w:sz w:val="28"/>
                <w:szCs w:val="28"/>
                <w:lang w:val="en-US"/>
              </w:rPr>
              <w:t xml:space="preserve"> number of agreements on  development of innovative technologies by "</w:t>
            </w:r>
            <w:proofErr w:type="spellStart"/>
            <w:r w:rsidR="00730FD3" w:rsidRPr="009A7B0F">
              <w:rPr>
                <w:rFonts w:ascii="Times New Roman" w:hAnsi="Times New Roman" w:cs="Times New Roman"/>
                <w:sz w:val="28"/>
                <w:szCs w:val="28"/>
                <w:lang w:val="en-US"/>
              </w:rPr>
              <w:t>Samruk</w:t>
            </w:r>
            <w:proofErr w:type="spellEnd"/>
            <w:r w:rsidR="00730FD3" w:rsidRPr="009A7B0F">
              <w:rPr>
                <w:rFonts w:ascii="Times New Roman" w:hAnsi="Times New Roman" w:cs="Times New Roman"/>
                <w:sz w:val="28"/>
                <w:szCs w:val="28"/>
                <w:lang w:val="en-US"/>
              </w:rPr>
              <w:t>-Energy" JSC were signed in the framework of AEF</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20</w:t>
            </w:r>
            <w:r w:rsidR="00730FD3" w:rsidRPr="009A7B0F">
              <w:rPr>
                <w:rFonts w:ascii="Times New Roman" w:hAnsi="Times New Roman" w:cs="Times New Roman"/>
                <w:bCs/>
                <w:color w:val="000000"/>
                <w:sz w:val="28"/>
                <w:szCs w:val="28"/>
                <w:bdr w:val="none" w:sz="0" w:space="0" w:color="auto" w:frame="1"/>
                <w:lang w:val="en-US" w:eastAsia="ru-RU"/>
              </w:rPr>
              <w:t xml:space="preserve"> June</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730FD3"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Conducting briefing in CCS  "Eurasian Forum KAZENERGY: “ New Energy Horizons, cooperation and investments prospects "</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4 </w:t>
            </w:r>
            <w:r w:rsidR="009D5295" w:rsidRPr="009A7B0F">
              <w:rPr>
                <w:rFonts w:ascii="Times New Roman" w:hAnsi="Times New Roman" w:cs="Times New Roman"/>
                <w:bCs/>
                <w:color w:val="000000"/>
                <w:sz w:val="28"/>
                <w:szCs w:val="28"/>
                <w:bdr w:val="none" w:sz="0" w:space="0" w:color="auto" w:frame="1"/>
                <w:lang w:val="en-US" w:eastAsia="ru-RU"/>
              </w:rPr>
              <w:t>July</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9D5295"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The launch of the Company’s Transformation Program</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14 </w:t>
            </w:r>
            <w:r w:rsidR="009D5295" w:rsidRPr="009A7B0F">
              <w:rPr>
                <w:rFonts w:ascii="Times New Roman" w:hAnsi="Times New Roman" w:cs="Times New Roman"/>
                <w:bCs/>
                <w:color w:val="000000"/>
                <w:sz w:val="28"/>
                <w:szCs w:val="28"/>
                <w:bdr w:val="none" w:sz="0" w:space="0" w:color="auto" w:frame="1"/>
                <w:lang w:val="en-US" w:eastAsia="ru-RU"/>
              </w:rPr>
              <w:t>August</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9D5295"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Completion of construction / commissioning of wind power plant  - "The first wind power plant" LLP</w:t>
            </w:r>
          </w:p>
        </w:tc>
      </w:tr>
      <w:tr w:rsidR="00EA4183" w:rsidRPr="009A7B0F"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sz w:val="28"/>
                <w:szCs w:val="28"/>
                <w:bdr w:val="none" w:sz="0" w:space="0" w:color="auto" w:frame="1"/>
                <w:lang w:val="en-US" w:eastAsia="ru-RU"/>
              </w:rPr>
            </w:pPr>
            <w:r w:rsidRPr="009A7B0F">
              <w:rPr>
                <w:rFonts w:ascii="Times New Roman" w:hAnsi="Times New Roman" w:cs="Times New Roman"/>
                <w:bCs/>
                <w:sz w:val="28"/>
                <w:szCs w:val="28"/>
                <w:bdr w:val="none" w:sz="0" w:space="0" w:color="auto" w:frame="1"/>
                <w:lang w:eastAsia="ru-RU"/>
              </w:rPr>
              <w:t>17</w:t>
            </w:r>
            <w:r w:rsidR="00FE1EDC" w:rsidRPr="009A7B0F">
              <w:rPr>
                <w:rFonts w:ascii="Times New Roman" w:hAnsi="Times New Roman" w:cs="Times New Roman"/>
                <w:bCs/>
                <w:sz w:val="28"/>
                <w:szCs w:val="28"/>
                <w:bdr w:val="none" w:sz="0" w:space="0" w:color="auto" w:frame="1"/>
                <w:lang w:val="en-US" w:eastAsia="ru-RU"/>
              </w:rPr>
              <w:t xml:space="preserve"> September </w:t>
            </w:r>
          </w:p>
        </w:tc>
        <w:tc>
          <w:tcPr>
            <w:tcW w:w="7976" w:type="dxa"/>
            <w:tcBorders>
              <w:top w:val="single" w:sz="4" w:space="0" w:color="auto"/>
              <w:left w:val="single" w:sz="4" w:space="0" w:color="auto"/>
              <w:bottom w:val="single" w:sz="4" w:space="0" w:color="auto"/>
              <w:right w:val="single" w:sz="4" w:space="0" w:color="auto"/>
            </w:tcBorders>
            <w:vAlign w:val="center"/>
            <w:hideMark/>
          </w:tcPr>
          <w:p w:rsidR="00ED12E5" w:rsidRPr="009A7B0F" w:rsidRDefault="00FE1EDC" w:rsidP="00A101DE">
            <w:pPr>
              <w:spacing w:after="0" w:line="240" w:lineRule="auto"/>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The Company received a waiver (letter of consent) from the European Bank for Reconstruction and Development on financial covenants stipulated by the loan agreement on "Modernization of</w:t>
            </w:r>
            <w:r w:rsidR="00283907" w:rsidRPr="009A7B0F">
              <w:rPr>
                <w:rFonts w:ascii="Times New Roman" w:hAnsi="Times New Roman" w:cs="Times New Roman"/>
                <w:sz w:val="28"/>
                <w:szCs w:val="28"/>
                <w:lang w:val="en-US"/>
              </w:rPr>
              <w:t xml:space="preserve"> </w:t>
            </w:r>
          </w:p>
          <w:p w:rsidR="00EA4183" w:rsidRPr="009A7B0F" w:rsidRDefault="00FE1EDC" w:rsidP="00A101DE">
            <w:pPr>
              <w:spacing w:after="0" w:line="240" w:lineRule="auto"/>
              <w:ind w:right="-143"/>
              <w:rPr>
                <w:rFonts w:ascii="Times New Roman" w:hAnsi="Times New Roman" w:cs="Times New Roman"/>
                <w:sz w:val="28"/>
                <w:szCs w:val="28"/>
                <w:lang w:val="en-US"/>
              </w:rPr>
            </w:pPr>
            <w:proofErr w:type="spellStart"/>
            <w:r w:rsidRPr="009A7B0F">
              <w:rPr>
                <w:rFonts w:ascii="Times New Roman" w:hAnsi="Times New Roman" w:cs="Times New Roman"/>
                <w:sz w:val="28"/>
                <w:szCs w:val="28"/>
                <w:lang w:val="en-US"/>
              </w:rPr>
              <w:t>Shardar</w:t>
            </w:r>
            <w:r w:rsidR="00AA1E76" w:rsidRPr="009A7B0F">
              <w:rPr>
                <w:rFonts w:ascii="Times New Roman" w:hAnsi="Times New Roman" w:cs="Times New Roman"/>
                <w:sz w:val="28"/>
                <w:szCs w:val="28"/>
                <w:lang w:val="en-US"/>
              </w:rPr>
              <w:t>inskaya</w:t>
            </w:r>
            <w:proofErr w:type="spellEnd"/>
            <w:r w:rsidRPr="009A7B0F">
              <w:rPr>
                <w:rFonts w:ascii="Times New Roman" w:hAnsi="Times New Roman" w:cs="Times New Roman"/>
                <w:sz w:val="28"/>
                <w:szCs w:val="28"/>
                <w:lang w:val="en-US"/>
              </w:rPr>
              <w:t xml:space="preserve"> HPP"</w:t>
            </w:r>
            <w:r w:rsidR="00AA1E76" w:rsidRPr="009A7B0F">
              <w:rPr>
                <w:rFonts w:ascii="Times New Roman" w:hAnsi="Times New Roman" w:cs="Times New Roman"/>
                <w:sz w:val="28"/>
                <w:szCs w:val="28"/>
                <w:lang w:val="en-US"/>
              </w:rPr>
              <w:t xml:space="preserve"> project</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23 </w:t>
            </w:r>
            <w:r w:rsidR="00AA1E76" w:rsidRPr="009A7B0F">
              <w:rPr>
                <w:rFonts w:ascii="Times New Roman" w:hAnsi="Times New Roman" w:cs="Times New Roman"/>
                <w:bCs/>
                <w:color w:val="000000"/>
                <w:sz w:val="28"/>
                <w:szCs w:val="28"/>
                <w:bdr w:val="none" w:sz="0" w:space="0" w:color="auto" w:frame="1"/>
                <w:lang w:val="en-US" w:eastAsia="ru-RU"/>
              </w:rPr>
              <w:t>November</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AA1E76"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The Company paid off bonds in the amount of 3 bln.KZT</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2 </w:t>
            </w:r>
            <w:r w:rsidR="00AA1E76" w:rsidRPr="009A7B0F">
              <w:rPr>
                <w:rFonts w:ascii="Times New Roman" w:hAnsi="Times New Roman" w:cs="Times New Roman"/>
                <w:bCs/>
                <w:color w:val="000000"/>
                <w:sz w:val="28"/>
                <w:szCs w:val="28"/>
                <w:bdr w:val="none" w:sz="0" w:space="0" w:color="auto" w:frame="1"/>
                <w:lang w:val="en-US" w:eastAsia="ru-RU"/>
              </w:rPr>
              <w:t xml:space="preserve">December </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AA1E76"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An access to the EBRD loan proceeds was opened and first disbursement was effected within “Modernization of </w:t>
            </w:r>
            <w:proofErr w:type="spellStart"/>
            <w:r w:rsidRPr="009A7B0F">
              <w:rPr>
                <w:rFonts w:ascii="Times New Roman" w:hAnsi="Times New Roman" w:cs="Times New Roman"/>
                <w:sz w:val="28"/>
                <w:szCs w:val="28"/>
                <w:lang w:val="en-US"/>
              </w:rPr>
              <w:t>Shardarinskaya</w:t>
            </w:r>
            <w:proofErr w:type="spellEnd"/>
            <w:r w:rsidRPr="009A7B0F">
              <w:rPr>
                <w:rFonts w:ascii="Times New Roman" w:hAnsi="Times New Roman" w:cs="Times New Roman"/>
                <w:sz w:val="28"/>
                <w:szCs w:val="28"/>
                <w:lang w:val="en-US"/>
              </w:rPr>
              <w:t xml:space="preserve"> HPP” JSC implementation project.</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15 </w:t>
            </w:r>
            <w:r w:rsidR="00462FF6" w:rsidRPr="009A7B0F">
              <w:rPr>
                <w:rFonts w:ascii="Times New Roman" w:hAnsi="Times New Roman" w:cs="Times New Roman"/>
                <w:bCs/>
                <w:color w:val="000000"/>
                <w:sz w:val="28"/>
                <w:szCs w:val="28"/>
                <w:bdr w:val="none" w:sz="0" w:space="0" w:color="auto" w:frame="1"/>
                <w:lang w:val="en-US" w:eastAsia="ru-RU"/>
              </w:rPr>
              <w:t>December</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462FF6"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Affirmation of  “BB/B” and “</w:t>
            </w:r>
            <w:proofErr w:type="spellStart"/>
            <w:r w:rsidRPr="009A7B0F">
              <w:rPr>
                <w:rFonts w:ascii="Times New Roman" w:hAnsi="Times New Roman" w:cs="Times New Roman"/>
                <w:sz w:val="28"/>
                <w:szCs w:val="28"/>
                <w:lang w:val="en-US"/>
              </w:rPr>
              <w:t>kzA</w:t>
            </w:r>
            <w:proofErr w:type="spellEnd"/>
            <w:r w:rsidRPr="009A7B0F">
              <w:rPr>
                <w:rFonts w:ascii="Times New Roman" w:hAnsi="Times New Roman" w:cs="Times New Roman"/>
                <w:sz w:val="28"/>
                <w:szCs w:val="28"/>
                <w:lang w:val="en-US"/>
              </w:rPr>
              <w:t xml:space="preserve">+” ratings by </w:t>
            </w:r>
            <w:proofErr w:type="spellStart"/>
            <w:r w:rsidRPr="009A7B0F">
              <w:rPr>
                <w:rFonts w:ascii="Times New Roman" w:hAnsi="Times New Roman" w:cs="Times New Roman"/>
                <w:sz w:val="28"/>
                <w:szCs w:val="28"/>
                <w:lang w:val="en-US"/>
              </w:rPr>
              <w:t>Standard&amp;Poors</w:t>
            </w:r>
            <w:proofErr w:type="spellEnd"/>
          </w:p>
        </w:tc>
      </w:tr>
      <w:tr w:rsidR="00EA4183" w:rsidRPr="00FA1B91" w:rsidTr="006C2653">
        <w:trPr>
          <w:trHeight w:val="1033"/>
        </w:trPr>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462FF6" w:rsidP="009A7B0F">
            <w:pPr>
              <w:widowControl w:val="0"/>
              <w:autoSpaceDE w:val="0"/>
              <w:autoSpaceDN w:val="0"/>
              <w:adjustRightInd w:val="0"/>
              <w:ind w:right="-143"/>
              <w:rPr>
                <w:rFonts w:ascii="Times New Roman" w:hAnsi="Times New Roman" w:cs="Times New Roman"/>
                <w:bCs/>
                <w:color w:val="000000"/>
                <w:sz w:val="28"/>
                <w:szCs w:val="28"/>
                <w:bdr w:val="none" w:sz="0" w:space="0" w:color="auto" w:frame="1"/>
                <w:lang w:val="en-US" w:eastAsia="ru-RU"/>
              </w:rPr>
            </w:pPr>
            <w:r w:rsidRPr="009A7B0F">
              <w:rPr>
                <w:rFonts w:ascii="Times New Roman" w:hAnsi="Times New Roman" w:cs="Times New Roman"/>
                <w:bCs/>
                <w:color w:val="000000"/>
                <w:sz w:val="28"/>
                <w:szCs w:val="28"/>
                <w:bdr w:val="none" w:sz="0" w:space="0" w:color="auto" w:frame="1"/>
                <w:lang w:eastAsia="ru-RU"/>
              </w:rPr>
              <w:t xml:space="preserve">21 </w:t>
            </w:r>
            <w:r w:rsidRPr="009A7B0F">
              <w:rPr>
                <w:rFonts w:ascii="Times New Roman" w:hAnsi="Times New Roman" w:cs="Times New Roman"/>
                <w:bCs/>
                <w:color w:val="000000"/>
                <w:sz w:val="28"/>
                <w:szCs w:val="28"/>
                <w:bdr w:val="none" w:sz="0" w:space="0" w:color="auto" w:frame="1"/>
                <w:lang w:val="en-US" w:eastAsia="ru-RU"/>
              </w:rPr>
              <w:t>December</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462FF6" w:rsidP="00A101DE">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Approval of individual tariff of "</w:t>
            </w:r>
            <w:proofErr w:type="spellStart"/>
            <w:r w:rsidRPr="009A7B0F">
              <w:rPr>
                <w:rFonts w:ascii="Times New Roman" w:hAnsi="Times New Roman" w:cs="Times New Roman"/>
                <w:sz w:val="28"/>
                <w:szCs w:val="28"/>
                <w:lang w:val="en-US"/>
              </w:rPr>
              <w:t>Shardarinskaya</w:t>
            </w:r>
            <w:proofErr w:type="spellEnd"/>
            <w:r w:rsidRPr="009A7B0F">
              <w:rPr>
                <w:rFonts w:ascii="Times New Roman" w:hAnsi="Times New Roman" w:cs="Times New Roman"/>
                <w:sz w:val="28"/>
                <w:szCs w:val="28"/>
                <w:lang w:val="en-US"/>
              </w:rPr>
              <w:t xml:space="preserve"> HPP" JSC, due to increase in the cost of equipment for plant’s modernization in 2015 in the amount of 9</w:t>
            </w:r>
            <w:proofErr w:type="gramStart"/>
            <w:r w:rsidRPr="009A7B0F">
              <w:rPr>
                <w:rFonts w:ascii="Times New Roman" w:hAnsi="Times New Roman" w:cs="Times New Roman"/>
                <w:sz w:val="28"/>
                <w:szCs w:val="28"/>
                <w:lang w:val="en-US"/>
              </w:rPr>
              <w:t>,50</w:t>
            </w:r>
            <w:proofErr w:type="gramEnd"/>
            <w:r w:rsidRPr="009A7B0F">
              <w:rPr>
                <w:rFonts w:ascii="Times New Roman" w:hAnsi="Times New Roman" w:cs="Times New Roman"/>
                <w:sz w:val="28"/>
                <w:szCs w:val="28"/>
                <w:lang w:val="en-US"/>
              </w:rPr>
              <w:t xml:space="preserve"> KZT / kWh. (With an increase to current by 211%). The tariff was approved for the period from 2016 to 2022</w:t>
            </w:r>
          </w:p>
        </w:tc>
      </w:tr>
      <w:tr w:rsidR="00EA4183" w:rsidRPr="00FA1B91" w:rsidTr="006C2653">
        <w:tc>
          <w:tcPr>
            <w:tcW w:w="1595"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EA4183" w:rsidP="009A7B0F">
            <w:pPr>
              <w:widowControl w:val="0"/>
              <w:autoSpaceDE w:val="0"/>
              <w:autoSpaceDN w:val="0"/>
              <w:adjustRightInd w:val="0"/>
              <w:ind w:right="-143"/>
              <w:rPr>
                <w:rFonts w:ascii="Times New Roman" w:hAnsi="Times New Roman" w:cs="Times New Roman"/>
                <w:bCs/>
                <w:sz w:val="28"/>
                <w:szCs w:val="28"/>
                <w:highlight w:val="yellow"/>
                <w:bdr w:val="none" w:sz="0" w:space="0" w:color="auto" w:frame="1"/>
                <w:lang w:val="en-US" w:eastAsia="ru-RU"/>
              </w:rPr>
            </w:pPr>
            <w:r w:rsidRPr="009A7B0F">
              <w:rPr>
                <w:rFonts w:ascii="Times New Roman" w:hAnsi="Times New Roman" w:cs="Times New Roman"/>
                <w:bCs/>
                <w:sz w:val="28"/>
                <w:szCs w:val="28"/>
                <w:bdr w:val="none" w:sz="0" w:space="0" w:color="auto" w:frame="1"/>
                <w:lang w:eastAsia="ru-RU"/>
              </w:rPr>
              <w:t xml:space="preserve">23 </w:t>
            </w:r>
            <w:r w:rsidR="00462FF6" w:rsidRPr="009A7B0F">
              <w:rPr>
                <w:rFonts w:ascii="Times New Roman" w:hAnsi="Times New Roman" w:cs="Times New Roman"/>
                <w:bCs/>
                <w:sz w:val="28"/>
                <w:szCs w:val="28"/>
                <w:bdr w:val="none" w:sz="0" w:space="0" w:color="auto" w:frame="1"/>
                <w:lang w:val="en-US" w:eastAsia="ru-RU"/>
              </w:rPr>
              <w:t>December</w:t>
            </w:r>
          </w:p>
        </w:tc>
        <w:tc>
          <w:tcPr>
            <w:tcW w:w="7976" w:type="dxa"/>
            <w:tcBorders>
              <w:top w:val="single" w:sz="4" w:space="0" w:color="auto"/>
              <w:left w:val="single" w:sz="4" w:space="0" w:color="auto"/>
              <w:bottom w:val="single" w:sz="4" w:space="0" w:color="auto"/>
              <w:right w:val="single" w:sz="4" w:space="0" w:color="auto"/>
            </w:tcBorders>
            <w:vAlign w:val="center"/>
            <w:hideMark/>
          </w:tcPr>
          <w:p w:rsidR="00EA4183" w:rsidRPr="009A7B0F" w:rsidRDefault="00462FF6" w:rsidP="009A7B0F">
            <w:pPr>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Fitch Ratings agency confirmed the company’s ratings, forecast “Stable” </w:t>
            </w:r>
          </w:p>
        </w:tc>
      </w:tr>
    </w:tbl>
    <w:p w:rsidR="00EA4183" w:rsidRPr="009A7B0F" w:rsidRDefault="00EA4183" w:rsidP="009A7B0F">
      <w:pPr>
        <w:ind w:right="-143" w:firstLine="709"/>
        <w:rPr>
          <w:rFonts w:ascii="Times New Roman" w:hAnsi="Times New Roman" w:cs="Times New Roman"/>
          <w:b/>
          <w:sz w:val="28"/>
          <w:szCs w:val="28"/>
          <w:lang w:val="en-US"/>
        </w:rPr>
      </w:pPr>
    </w:p>
    <w:p w:rsidR="00ED12E5" w:rsidRPr="009A7B0F" w:rsidRDefault="00ED12E5" w:rsidP="009A7B0F">
      <w:pPr>
        <w:ind w:right="-143" w:firstLine="709"/>
        <w:rPr>
          <w:rFonts w:ascii="Times New Roman" w:hAnsi="Times New Roman" w:cs="Times New Roman"/>
          <w:b/>
          <w:sz w:val="28"/>
          <w:szCs w:val="28"/>
          <w:lang w:val="en-US"/>
        </w:rPr>
      </w:pPr>
      <w:r w:rsidRPr="009A7B0F">
        <w:rPr>
          <w:rFonts w:ascii="Times New Roman" w:hAnsi="Times New Roman" w:cs="Times New Roman"/>
          <w:b/>
          <w:sz w:val="28"/>
          <w:szCs w:val="28"/>
          <w:lang w:val="en-US"/>
        </w:rPr>
        <w:t>Main development directions of the company</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In order to optimize the structure of the company's assets and sale of assets that produces low return, as well as in accordance with the </w:t>
      </w:r>
      <w:r w:rsidR="00CC35B6" w:rsidRPr="009A7B0F">
        <w:rPr>
          <w:rFonts w:ascii="Times New Roman" w:hAnsi="Times New Roman" w:cs="Times New Roman"/>
          <w:sz w:val="28"/>
          <w:szCs w:val="28"/>
          <w:lang w:val="en-US"/>
        </w:rPr>
        <w:t>Dec</w:t>
      </w:r>
      <w:r w:rsidRPr="009A7B0F">
        <w:rPr>
          <w:rFonts w:ascii="Times New Roman" w:hAnsi="Times New Roman" w:cs="Times New Roman"/>
          <w:sz w:val="28"/>
          <w:szCs w:val="28"/>
          <w:lang w:val="en-US"/>
        </w:rPr>
        <w:t xml:space="preserve">ree of the Government of the </w:t>
      </w:r>
      <w:r w:rsidRPr="009A7B0F">
        <w:rPr>
          <w:rFonts w:ascii="Times New Roman" w:hAnsi="Times New Roman" w:cs="Times New Roman"/>
          <w:sz w:val="28"/>
          <w:szCs w:val="28"/>
          <w:lang w:val="en-US"/>
        </w:rPr>
        <w:lastRenderedPageBreak/>
        <w:t xml:space="preserve">Republic of Kazakhstan </w:t>
      </w:r>
      <w:r w:rsidR="00CC35B6" w:rsidRPr="009A7B0F">
        <w:rPr>
          <w:rFonts w:ascii="Times New Roman" w:hAnsi="Times New Roman" w:cs="Times New Roman"/>
          <w:sz w:val="28"/>
          <w:szCs w:val="28"/>
          <w:lang w:val="en-US"/>
        </w:rPr>
        <w:t>dated</w:t>
      </w:r>
      <w:r w:rsidRPr="009A7B0F">
        <w:rPr>
          <w:rFonts w:ascii="Times New Roman" w:hAnsi="Times New Roman" w:cs="Times New Roman"/>
          <w:sz w:val="28"/>
          <w:szCs w:val="28"/>
          <w:lang w:val="en-US"/>
        </w:rPr>
        <w:t xml:space="preserve"> December 30, 2015 </w:t>
      </w:r>
      <w:r w:rsidR="00CC35B6" w:rsidRPr="009A7B0F">
        <w:rPr>
          <w:rFonts w:ascii="Times New Roman" w:hAnsi="Times New Roman" w:cs="Times New Roman"/>
          <w:sz w:val="28"/>
          <w:szCs w:val="28"/>
          <w:lang w:val="en-US"/>
        </w:rPr>
        <w:t>No.</w:t>
      </w:r>
      <w:r w:rsidRPr="009A7B0F">
        <w:rPr>
          <w:rFonts w:ascii="Times New Roman" w:hAnsi="Times New Roman" w:cs="Times New Roman"/>
          <w:sz w:val="28"/>
          <w:szCs w:val="28"/>
          <w:lang w:val="en-US"/>
        </w:rPr>
        <w:t xml:space="preserve"> 1141 "On some </w:t>
      </w:r>
      <w:r w:rsidR="00CC35B6" w:rsidRPr="009A7B0F">
        <w:rPr>
          <w:rFonts w:ascii="Times New Roman" w:hAnsi="Times New Roman" w:cs="Times New Roman"/>
          <w:sz w:val="28"/>
          <w:szCs w:val="28"/>
          <w:lang w:val="en-US"/>
        </w:rPr>
        <w:t>matters</w:t>
      </w:r>
      <w:r w:rsidRPr="009A7B0F">
        <w:rPr>
          <w:rFonts w:ascii="Times New Roman" w:hAnsi="Times New Roman" w:cs="Times New Roman"/>
          <w:sz w:val="28"/>
          <w:szCs w:val="28"/>
          <w:lang w:val="en-US"/>
        </w:rPr>
        <w:t xml:space="preserve"> of privatization</w:t>
      </w:r>
      <w:r w:rsidR="00CC35B6" w:rsidRPr="009A7B0F">
        <w:rPr>
          <w:rFonts w:ascii="Times New Roman" w:hAnsi="Times New Roman" w:cs="Times New Roman"/>
          <w:sz w:val="28"/>
          <w:szCs w:val="28"/>
          <w:lang w:val="en-US"/>
        </w:rPr>
        <w:t xml:space="preserve"> for</w:t>
      </w:r>
      <w:r w:rsidRPr="009A7B0F">
        <w:rPr>
          <w:rFonts w:ascii="Times New Roman" w:hAnsi="Times New Roman" w:cs="Times New Roman"/>
          <w:sz w:val="28"/>
          <w:szCs w:val="28"/>
          <w:lang w:val="en-US"/>
        </w:rPr>
        <w:t xml:space="preserve"> 2016-2020", a list of organizations and facilities </w:t>
      </w:r>
      <w:r w:rsidR="00CC35B6" w:rsidRPr="009A7B0F">
        <w:rPr>
          <w:rFonts w:ascii="Times New Roman" w:hAnsi="Times New Roman" w:cs="Times New Roman"/>
          <w:sz w:val="28"/>
          <w:szCs w:val="28"/>
          <w:lang w:val="en-US"/>
        </w:rPr>
        <w:t xml:space="preserve">of </w:t>
      </w:r>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Samruk-Kazyna</w:t>
      </w:r>
      <w:proofErr w:type="spellEnd"/>
      <w:r w:rsidRPr="009A7B0F">
        <w:rPr>
          <w:rFonts w:ascii="Times New Roman" w:hAnsi="Times New Roman" w:cs="Times New Roman"/>
          <w:sz w:val="28"/>
          <w:szCs w:val="28"/>
          <w:lang w:val="en-US"/>
        </w:rPr>
        <w:t>"</w:t>
      </w:r>
      <w:r w:rsidR="00CC35B6" w:rsidRPr="009A7B0F">
        <w:rPr>
          <w:rFonts w:ascii="Times New Roman" w:hAnsi="Times New Roman" w:cs="Times New Roman"/>
          <w:sz w:val="28"/>
          <w:szCs w:val="28"/>
          <w:lang w:val="en-US"/>
        </w:rPr>
        <w:t xml:space="preserve"> JSC</w:t>
      </w:r>
      <w:r w:rsidRPr="009A7B0F">
        <w:rPr>
          <w:rFonts w:ascii="Times New Roman" w:hAnsi="Times New Roman" w:cs="Times New Roman"/>
          <w:sz w:val="28"/>
          <w:szCs w:val="28"/>
          <w:lang w:val="en-US"/>
        </w:rPr>
        <w:t xml:space="preserve"> </w:t>
      </w:r>
      <w:r w:rsidR="00CC35B6" w:rsidRPr="009A7B0F">
        <w:rPr>
          <w:rFonts w:ascii="Times New Roman" w:hAnsi="Times New Roman" w:cs="Times New Roman"/>
          <w:sz w:val="28"/>
          <w:szCs w:val="28"/>
          <w:lang w:val="en-US"/>
        </w:rPr>
        <w:t xml:space="preserve">group of companies that are subject to sale in the open market has been determined. </w:t>
      </w:r>
    </w:p>
    <w:p w:rsidR="00ED12E5" w:rsidRPr="009A7B0F" w:rsidRDefault="00CC35B6"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 mentioned Decree</w:t>
      </w:r>
      <w:r w:rsidR="00ED12E5" w:rsidRPr="009A7B0F">
        <w:rPr>
          <w:rFonts w:ascii="Times New Roman" w:hAnsi="Times New Roman" w:cs="Times New Roman"/>
          <w:sz w:val="28"/>
          <w:szCs w:val="28"/>
          <w:lang w:val="en-US"/>
        </w:rPr>
        <w:t xml:space="preserve"> provides for the </w:t>
      </w:r>
      <w:r w:rsidRPr="009A7B0F">
        <w:rPr>
          <w:rFonts w:ascii="Times New Roman" w:hAnsi="Times New Roman" w:cs="Times New Roman"/>
          <w:sz w:val="28"/>
          <w:szCs w:val="28"/>
          <w:lang w:val="en-US"/>
        </w:rPr>
        <w:t>sale</w:t>
      </w:r>
      <w:r w:rsidR="00ED12E5" w:rsidRPr="009A7B0F">
        <w:rPr>
          <w:rFonts w:ascii="Times New Roman" w:hAnsi="Times New Roman" w:cs="Times New Roman"/>
          <w:sz w:val="28"/>
          <w:szCs w:val="28"/>
          <w:lang w:val="en-US"/>
        </w:rPr>
        <w:t xml:space="preserve"> of stakes in</w:t>
      </w:r>
      <w:r w:rsidRPr="009A7B0F">
        <w:rPr>
          <w:rFonts w:ascii="Times New Roman" w:hAnsi="Times New Roman" w:cs="Times New Roman"/>
          <w:sz w:val="28"/>
          <w:szCs w:val="28"/>
          <w:lang w:val="en-US"/>
        </w:rPr>
        <w:t xml:space="preserve"> the following</w:t>
      </w:r>
      <w:r w:rsidR="00ED12E5" w:rsidRPr="009A7B0F">
        <w:rPr>
          <w:rFonts w:ascii="Times New Roman" w:hAnsi="Times New Roman" w:cs="Times New Roman"/>
          <w:sz w:val="28"/>
          <w:szCs w:val="28"/>
          <w:lang w:val="en-US"/>
        </w:rPr>
        <w:t xml:space="preserve"> companies of "</w:t>
      </w:r>
      <w:proofErr w:type="spellStart"/>
      <w:r w:rsidR="00ED12E5" w:rsidRPr="009A7B0F">
        <w:rPr>
          <w:rFonts w:ascii="Times New Roman" w:hAnsi="Times New Roman" w:cs="Times New Roman"/>
          <w:sz w:val="28"/>
          <w:szCs w:val="28"/>
          <w:lang w:val="en-US"/>
        </w:rPr>
        <w:t>Samruk</w:t>
      </w:r>
      <w:proofErr w:type="spellEnd"/>
      <w:r w:rsidR="00ED12E5" w:rsidRPr="009A7B0F">
        <w:rPr>
          <w:rFonts w:ascii="Times New Roman" w:hAnsi="Times New Roman" w:cs="Times New Roman"/>
          <w:sz w:val="28"/>
          <w:szCs w:val="28"/>
          <w:lang w:val="en-US"/>
        </w:rPr>
        <w:t>-Energ</w:t>
      </w:r>
      <w:r w:rsidRPr="009A7B0F">
        <w:rPr>
          <w:rFonts w:ascii="Times New Roman" w:hAnsi="Times New Roman" w:cs="Times New Roman"/>
          <w:sz w:val="28"/>
          <w:szCs w:val="28"/>
          <w:lang w:val="en-US"/>
        </w:rPr>
        <w:t>y</w:t>
      </w:r>
      <w:r w:rsidR="00ED12E5"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JSC group</w:t>
      </w:r>
      <w:r w:rsidR="00ED12E5" w:rsidRPr="009A7B0F">
        <w:rPr>
          <w:rFonts w:ascii="Times New Roman" w:hAnsi="Times New Roman" w:cs="Times New Roman"/>
          <w:sz w:val="28"/>
          <w:szCs w:val="28"/>
          <w:lang w:val="en-US"/>
        </w:rPr>
        <w:t xml:space="preserve"> (hereinafter - assets)</w:t>
      </w:r>
      <w:r w:rsidRPr="009A7B0F">
        <w:rPr>
          <w:rFonts w:ascii="Times New Roman" w:hAnsi="Times New Roman" w:cs="Times New Roman"/>
          <w:sz w:val="28"/>
          <w:szCs w:val="28"/>
          <w:lang w:val="en-US"/>
        </w:rPr>
        <w:t xml:space="preserve"> in 2016-2017</w:t>
      </w:r>
      <w:r w:rsidR="00ED12E5"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100% of shares of "</w:t>
      </w:r>
      <w:proofErr w:type="spellStart"/>
      <w:r w:rsidRPr="009A7B0F">
        <w:rPr>
          <w:rFonts w:ascii="Times New Roman" w:hAnsi="Times New Roman" w:cs="Times New Roman"/>
          <w:sz w:val="28"/>
          <w:szCs w:val="28"/>
          <w:lang w:val="en-US"/>
        </w:rPr>
        <w:t>Aktobe</w:t>
      </w:r>
      <w:proofErr w:type="spellEnd"/>
      <w:r w:rsidRPr="009A7B0F">
        <w:rPr>
          <w:rFonts w:ascii="Times New Roman" w:hAnsi="Times New Roman" w:cs="Times New Roman"/>
          <w:sz w:val="28"/>
          <w:szCs w:val="28"/>
          <w:lang w:val="en-US"/>
        </w:rPr>
        <w:t xml:space="preserve"> CHP"</w:t>
      </w:r>
      <w:r w:rsidR="00CC35B6" w:rsidRPr="009A7B0F">
        <w:rPr>
          <w:rFonts w:ascii="Times New Roman" w:hAnsi="Times New Roman" w:cs="Times New Roman"/>
          <w:sz w:val="28"/>
          <w:szCs w:val="28"/>
          <w:lang w:val="en-US"/>
        </w:rPr>
        <w:t xml:space="preserve"> JSC</w:t>
      </w:r>
      <w:r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100% of shares of "EK REC"</w:t>
      </w:r>
      <w:r w:rsidR="00CC35B6" w:rsidRPr="009A7B0F">
        <w:rPr>
          <w:rFonts w:ascii="Times New Roman" w:hAnsi="Times New Roman" w:cs="Times New Roman"/>
          <w:sz w:val="28"/>
          <w:szCs w:val="28"/>
          <w:lang w:val="en-US"/>
        </w:rPr>
        <w:t xml:space="preserve"> JSC</w:t>
      </w:r>
      <w:r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100%</w:t>
      </w:r>
      <w:r w:rsidR="00CC35B6"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 interest in "</w:t>
      </w:r>
      <w:proofErr w:type="spellStart"/>
      <w:r w:rsidRPr="009A7B0F">
        <w:rPr>
          <w:rFonts w:ascii="Times New Roman" w:hAnsi="Times New Roman" w:cs="Times New Roman"/>
          <w:sz w:val="28"/>
          <w:szCs w:val="28"/>
          <w:lang w:val="en-US"/>
        </w:rPr>
        <w:t>Shygysenergotrade"</w:t>
      </w:r>
      <w:r w:rsidR="00CC35B6" w:rsidRPr="009A7B0F">
        <w:rPr>
          <w:rFonts w:ascii="Times New Roman" w:hAnsi="Times New Roman" w:cs="Times New Roman"/>
          <w:sz w:val="28"/>
          <w:szCs w:val="28"/>
          <w:lang w:val="en-US"/>
        </w:rPr>
        <w:t>LLP</w:t>
      </w:r>
      <w:proofErr w:type="spellEnd"/>
      <w:r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75% + 1 share of  "MD</w:t>
      </w:r>
      <w:r w:rsidR="00CC35B6" w:rsidRPr="009A7B0F">
        <w:rPr>
          <w:rFonts w:ascii="Times New Roman" w:hAnsi="Times New Roman" w:cs="Times New Roman"/>
          <w:sz w:val="28"/>
          <w:szCs w:val="28"/>
          <w:lang w:val="en-US"/>
        </w:rPr>
        <w:t>PGC</w:t>
      </w:r>
      <w:r w:rsidRPr="009A7B0F">
        <w:rPr>
          <w:rFonts w:ascii="Times New Roman" w:hAnsi="Times New Roman" w:cs="Times New Roman"/>
          <w:sz w:val="28"/>
          <w:szCs w:val="28"/>
          <w:lang w:val="en-US"/>
        </w:rPr>
        <w:t>"</w:t>
      </w:r>
      <w:r w:rsidR="00CC35B6" w:rsidRPr="009A7B0F">
        <w:rPr>
          <w:rFonts w:ascii="Times New Roman" w:hAnsi="Times New Roman" w:cs="Times New Roman"/>
          <w:sz w:val="28"/>
          <w:szCs w:val="28"/>
          <w:lang w:val="en-US"/>
        </w:rPr>
        <w:t xml:space="preserve"> JSC</w:t>
      </w:r>
      <w:r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100% of shares of "</w:t>
      </w:r>
      <w:proofErr w:type="spellStart"/>
      <w:r w:rsidRPr="009A7B0F">
        <w:rPr>
          <w:rFonts w:ascii="Times New Roman" w:hAnsi="Times New Roman" w:cs="Times New Roman"/>
          <w:sz w:val="28"/>
          <w:szCs w:val="28"/>
          <w:lang w:val="en-US"/>
        </w:rPr>
        <w:t>AZh</w:t>
      </w:r>
      <w:r w:rsidR="00CC35B6" w:rsidRPr="009A7B0F">
        <w:rPr>
          <w:rFonts w:ascii="Times New Roman" w:hAnsi="Times New Roman" w:cs="Times New Roman"/>
          <w:sz w:val="28"/>
          <w:szCs w:val="28"/>
          <w:lang w:val="en-US"/>
        </w:rPr>
        <w:t>C</w:t>
      </w:r>
      <w:r w:rsidRPr="009A7B0F">
        <w:rPr>
          <w:rFonts w:ascii="Times New Roman" w:hAnsi="Times New Roman" w:cs="Times New Roman"/>
          <w:sz w:val="28"/>
          <w:szCs w:val="28"/>
          <w:lang w:val="en-US"/>
        </w:rPr>
        <w:t>"</w:t>
      </w:r>
      <w:r w:rsidR="00CC35B6" w:rsidRPr="009A7B0F">
        <w:rPr>
          <w:rFonts w:ascii="Times New Roman" w:hAnsi="Times New Roman" w:cs="Times New Roman"/>
          <w:sz w:val="28"/>
          <w:szCs w:val="28"/>
          <w:lang w:val="en-US"/>
        </w:rPr>
        <w:t>JSC</w:t>
      </w:r>
      <w:proofErr w:type="spellEnd"/>
      <w:r w:rsidR="00CC35B6"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100% of shares of  "A</w:t>
      </w:r>
      <w:r w:rsidR="00CC35B6" w:rsidRPr="009A7B0F">
        <w:rPr>
          <w:rFonts w:ascii="Times New Roman" w:hAnsi="Times New Roman" w:cs="Times New Roman"/>
          <w:sz w:val="28"/>
          <w:szCs w:val="28"/>
          <w:lang w:val="en-US"/>
        </w:rPr>
        <w:t>PP</w:t>
      </w:r>
      <w:r w:rsidRPr="009A7B0F">
        <w:rPr>
          <w:rFonts w:ascii="Times New Roman" w:hAnsi="Times New Roman" w:cs="Times New Roman"/>
          <w:sz w:val="28"/>
          <w:szCs w:val="28"/>
          <w:lang w:val="en-US"/>
        </w:rPr>
        <w:t>"</w:t>
      </w:r>
      <w:r w:rsidR="00CC35B6" w:rsidRPr="009A7B0F">
        <w:rPr>
          <w:rFonts w:ascii="Times New Roman" w:hAnsi="Times New Roman" w:cs="Times New Roman"/>
          <w:sz w:val="28"/>
          <w:szCs w:val="28"/>
          <w:lang w:val="en-US"/>
        </w:rPr>
        <w:t xml:space="preserve"> JSC</w:t>
      </w:r>
      <w:r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100% interest in "</w:t>
      </w:r>
      <w:proofErr w:type="spellStart"/>
      <w:r w:rsidRPr="009A7B0F">
        <w:rPr>
          <w:rFonts w:ascii="Times New Roman" w:hAnsi="Times New Roman" w:cs="Times New Roman"/>
          <w:sz w:val="28"/>
          <w:szCs w:val="28"/>
          <w:lang w:val="en-US"/>
        </w:rPr>
        <w:t>AlmatyEnergoSbyt</w:t>
      </w:r>
      <w:proofErr w:type="spellEnd"/>
      <w:r w:rsidRPr="009A7B0F">
        <w:rPr>
          <w:rFonts w:ascii="Times New Roman" w:hAnsi="Times New Roman" w:cs="Times New Roman"/>
          <w:sz w:val="28"/>
          <w:szCs w:val="28"/>
          <w:lang w:val="en-US"/>
        </w:rPr>
        <w:t>"</w:t>
      </w:r>
      <w:r w:rsidR="00CC35B6" w:rsidRPr="009A7B0F">
        <w:rPr>
          <w:rFonts w:ascii="Times New Roman" w:hAnsi="Times New Roman" w:cs="Times New Roman"/>
          <w:sz w:val="28"/>
          <w:szCs w:val="28"/>
          <w:lang w:val="en-US"/>
        </w:rPr>
        <w:t xml:space="preserve"> LLP</w:t>
      </w:r>
      <w:r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100% interest in "</w:t>
      </w:r>
      <w:proofErr w:type="spellStart"/>
      <w:r w:rsidRPr="009A7B0F">
        <w:rPr>
          <w:rFonts w:ascii="Times New Roman" w:hAnsi="Times New Roman" w:cs="Times New Roman"/>
          <w:sz w:val="28"/>
          <w:szCs w:val="28"/>
          <w:lang w:val="en-US"/>
        </w:rPr>
        <w:t>Teg</w:t>
      </w:r>
      <w:r w:rsidR="00CC35B6" w:rsidRPr="009A7B0F">
        <w:rPr>
          <w:rFonts w:ascii="Times New Roman" w:hAnsi="Times New Roman" w:cs="Times New Roman"/>
          <w:sz w:val="28"/>
          <w:szCs w:val="28"/>
          <w:lang w:val="en-US"/>
        </w:rPr>
        <w:t>is</w:t>
      </w:r>
      <w:proofErr w:type="spellEnd"/>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Muna</w:t>
      </w:r>
      <w:r w:rsidR="00CC35B6" w:rsidRPr="009A7B0F">
        <w:rPr>
          <w:rFonts w:ascii="Times New Roman" w:hAnsi="Times New Roman" w:cs="Times New Roman"/>
          <w:sz w:val="28"/>
          <w:szCs w:val="28"/>
          <w:lang w:val="en-US"/>
        </w:rPr>
        <w:t>y</w:t>
      </w:r>
      <w:r w:rsidRPr="009A7B0F">
        <w:rPr>
          <w:rFonts w:ascii="Times New Roman" w:hAnsi="Times New Roman" w:cs="Times New Roman"/>
          <w:sz w:val="28"/>
          <w:szCs w:val="28"/>
          <w:lang w:val="en-US"/>
        </w:rPr>
        <w:t>"</w:t>
      </w:r>
      <w:r w:rsidR="00CC35B6" w:rsidRPr="009A7B0F">
        <w:rPr>
          <w:rFonts w:ascii="Times New Roman" w:hAnsi="Times New Roman" w:cs="Times New Roman"/>
          <w:sz w:val="28"/>
          <w:szCs w:val="28"/>
          <w:lang w:val="en-US"/>
        </w:rPr>
        <w:t>LLP</w:t>
      </w:r>
      <w:proofErr w:type="spellEnd"/>
      <w:r w:rsidRPr="009A7B0F">
        <w:rPr>
          <w:rFonts w:ascii="Times New Roman" w:hAnsi="Times New Roman" w:cs="Times New Roman"/>
          <w:sz w:val="28"/>
          <w:szCs w:val="28"/>
          <w:lang w:val="en-US"/>
        </w:rPr>
        <w:t>.</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100% interest in "</w:t>
      </w:r>
      <w:proofErr w:type="spellStart"/>
      <w:r w:rsidRPr="009A7B0F">
        <w:rPr>
          <w:rFonts w:ascii="Times New Roman" w:hAnsi="Times New Roman" w:cs="Times New Roman"/>
          <w:sz w:val="28"/>
          <w:szCs w:val="28"/>
          <w:lang w:val="en-US"/>
        </w:rPr>
        <w:t>Mangyshlak</w:t>
      </w:r>
      <w:proofErr w:type="spellEnd"/>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Muna</w:t>
      </w:r>
      <w:r w:rsidR="00CC35B6" w:rsidRPr="009A7B0F">
        <w:rPr>
          <w:rFonts w:ascii="Times New Roman" w:hAnsi="Times New Roman" w:cs="Times New Roman"/>
          <w:sz w:val="28"/>
          <w:szCs w:val="28"/>
          <w:lang w:val="en-US"/>
        </w:rPr>
        <w:t>y</w:t>
      </w:r>
      <w:proofErr w:type="spellEnd"/>
      <w:r w:rsidRPr="009A7B0F">
        <w:rPr>
          <w:rFonts w:ascii="Times New Roman" w:hAnsi="Times New Roman" w:cs="Times New Roman"/>
          <w:sz w:val="28"/>
          <w:szCs w:val="28"/>
          <w:lang w:val="en-US"/>
        </w:rPr>
        <w:t>"</w:t>
      </w:r>
      <w:r w:rsidR="00CC35B6" w:rsidRPr="009A7B0F">
        <w:rPr>
          <w:rFonts w:ascii="Times New Roman" w:hAnsi="Times New Roman" w:cs="Times New Roman"/>
          <w:sz w:val="28"/>
          <w:szCs w:val="28"/>
          <w:lang w:val="en-US"/>
        </w:rPr>
        <w:t xml:space="preserve"> LLP</w:t>
      </w:r>
    </w:p>
    <w:p w:rsidR="00CC35B6"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70% stake in "Shelek-28"</w:t>
      </w:r>
      <w:r w:rsidR="00CC35B6" w:rsidRPr="009A7B0F">
        <w:rPr>
          <w:rFonts w:ascii="Times New Roman" w:hAnsi="Times New Roman" w:cs="Times New Roman"/>
          <w:sz w:val="28"/>
          <w:szCs w:val="28"/>
          <w:lang w:val="en-US"/>
        </w:rPr>
        <w:t xml:space="preserve"> LLP</w:t>
      </w:r>
    </w:p>
    <w:p w:rsidR="00ED12E5" w:rsidRPr="009A7B0F" w:rsidRDefault="00ED12E5" w:rsidP="009A7B0F">
      <w:pPr>
        <w:pStyle w:val="a3"/>
        <w:numPr>
          <w:ilvl w:val="0"/>
          <w:numId w:val="2"/>
        </w:numPr>
        <w:ind w:left="0"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90,004% stake in </w:t>
      </w:r>
      <w:r w:rsidR="00CC35B6" w:rsidRPr="009A7B0F">
        <w:rPr>
          <w:rFonts w:ascii="Times New Roman" w:hAnsi="Times New Roman" w:cs="Times New Roman"/>
          <w:sz w:val="28"/>
          <w:szCs w:val="28"/>
          <w:lang w:val="en-US"/>
        </w:rPr>
        <w:t>"</w:t>
      </w:r>
      <w:proofErr w:type="spellStart"/>
      <w:r w:rsidR="00CC35B6" w:rsidRPr="009A7B0F">
        <w:rPr>
          <w:rFonts w:ascii="Times New Roman" w:hAnsi="Times New Roman" w:cs="Times New Roman"/>
          <w:sz w:val="28"/>
          <w:szCs w:val="28"/>
          <w:lang w:val="en-US"/>
        </w:rPr>
        <w:t>Karagandagiproshakh</w:t>
      </w:r>
      <w:r w:rsidRPr="009A7B0F">
        <w:rPr>
          <w:rFonts w:ascii="Times New Roman" w:hAnsi="Times New Roman" w:cs="Times New Roman"/>
          <w:sz w:val="28"/>
          <w:szCs w:val="28"/>
          <w:lang w:val="en-US"/>
        </w:rPr>
        <w:t>t</w:t>
      </w:r>
      <w:proofErr w:type="spellEnd"/>
      <w:r w:rsidRPr="009A7B0F">
        <w:rPr>
          <w:rFonts w:ascii="Times New Roman" w:hAnsi="Times New Roman" w:cs="Times New Roman"/>
          <w:sz w:val="28"/>
          <w:szCs w:val="28"/>
          <w:lang w:val="en-US"/>
        </w:rPr>
        <w:t xml:space="preserve"> and K"</w:t>
      </w:r>
      <w:r w:rsidR="00CC35B6" w:rsidRPr="009A7B0F">
        <w:rPr>
          <w:rFonts w:ascii="Times New Roman" w:hAnsi="Times New Roman" w:cs="Times New Roman"/>
          <w:sz w:val="28"/>
          <w:szCs w:val="28"/>
          <w:lang w:val="en-US"/>
        </w:rPr>
        <w:t xml:space="preserve"> LLP </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One of the priority directions of the Company's development in the coming years is to implement </w:t>
      </w:r>
      <w:r w:rsidR="00B72818" w:rsidRPr="009A7B0F">
        <w:rPr>
          <w:rFonts w:ascii="Times New Roman" w:hAnsi="Times New Roman" w:cs="Times New Roman"/>
          <w:sz w:val="28"/>
          <w:szCs w:val="28"/>
          <w:lang w:val="en-US"/>
        </w:rPr>
        <w:t>business transformation program o</w:t>
      </w:r>
      <w:r w:rsidRPr="009A7B0F">
        <w:rPr>
          <w:rFonts w:ascii="Times New Roman" w:hAnsi="Times New Roman" w:cs="Times New Roman"/>
          <w:sz w:val="28"/>
          <w:szCs w:val="28"/>
          <w:lang w:val="en-US"/>
        </w:rPr>
        <w:t>f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-Energ</w:t>
      </w:r>
      <w:r w:rsidR="00B72818" w:rsidRPr="009A7B0F">
        <w:rPr>
          <w:rFonts w:ascii="Times New Roman" w:hAnsi="Times New Roman" w:cs="Times New Roman"/>
          <w:sz w:val="28"/>
          <w:szCs w:val="28"/>
          <w:lang w:val="en-US"/>
        </w:rPr>
        <w:t>y</w:t>
      </w:r>
      <w:r w:rsidRPr="009A7B0F">
        <w:rPr>
          <w:rFonts w:ascii="Times New Roman" w:hAnsi="Times New Roman" w:cs="Times New Roman"/>
          <w:sz w:val="28"/>
          <w:szCs w:val="28"/>
          <w:lang w:val="en-US"/>
        </w:rPr>
        <w:t>"</w:t>
      </w:r>
      <w:r w:rsidR="00B72818" w:rsidRPr="009A7B0F">
        <w:rPr>
          <w:rFonts w:ascii="Times New Roman" w:hAnsi="Times New Roman" w:cs="Times New Roman"/>
          <w:sz w:val="28"/>
          <w:szCs w:val="28"/>
          <w:lang w:val="en-US"/>
        </w:rPr>
        <w:t xml:space="preserve"> JSC. “</w:t>
      </w:r>
      <w:proofErr w:type="spellStart"/>
      <w:r w:rsidR="00B72818" w:rsidRPr="009A7B0F">
        <w:rPr>
          <w:rFonts w:ascii="Times New Roman" w:hAnsi="Times New Roman" w:cs="Times New Roman"/>
          <w:sz w:val="28"/>
          <w:szCs w:val="28"/>
          <w:lang w:val="en-US"/>
        </w:rPr>
        <w:t>Samruk</w:t>
      </w:r>
      <w:proofErr w:type="spellEnd"/>
      <w:r w:rsidR="00B72818" w:rsidRPr="009A7B0F">
        <w:rPr>
          <w:rFonts w:ascii="Times New Roman" w:hAnsi="Times New Roman" w:cs="Times New Roman"/>
          <w:sz w:val="28"/>
          <w:szCs w:val="28"/>
          <w:lang w:val="en-US"/>
        </w:rPr>
        <w:t>-Energy” JSC Business transformation program allows</w:t>
      </w:r>
      <w:r w:rsidRPr="009A7B0F">
        <w:rPr>
          <w:rFonts w:ascii="Times New Roman" w:hAnsi="Times New Roman" w:cs="Times New Roman"/>
          <w:sz w:val="28"/>
          <w:szCs w:val="28"/>
          <w:lang w:val="en-US"/>
        </w:rPr>
        <w:t xml:space="preserve"> </w:t>
      </w:r>
      <w:r w:rsidR="00B72818" w:rsidRPr="009A7B0F">
        <w:rPr>
          <w:rFonts w:ascii="Times New Roman" w:hAnsi="Times New Roman" w:cs="Times New Roman"/>
          <w:sz w:val="28"/>
          <w:szCs w:val="28"/>
          <w:lang w:val="en-US"/>
        </w:rPr>
        <w:t xml:space="preserve">identifying </w:t>
      </w:r>
      <w:r w:rsidRPr="009A7B0F">
        <w:rPr>
          <w:rFonts w:ascii="Times New Roman" w:hAnsi="Times New Roman" w:cs="Times New Roman"/>
          <w:sz w:val="28"/>
          <w:szCs w:val="28"/>
          <w:lang w:val="en-US"/>
        </w:rPr>
        <w:t>business model</w:t>
      </w:r>
      <w:r w:rsidR="00B72818" w:rsidRPr="009A7B0F">
        <w:rPr>
          <w:rFonts w:ascii="Times New Roman" w:hAnsi="Times New Roman" w:cs="Times New Roman"/>
          <w:sz w:val="28"/>
          <w:szCs w:val="28"/>
          <w:lang w:val="en-US"/>
        </w:rPr>
        <w:t>s</w:t>
      </w:r>
      <w:r w:rsidRPr="009A7B0F">
        <w:rPr>
          <w:rFonts w:ascii="Times New Roman" w:hAnsi="Times New Roman" w:cs="Times New Roman"/>
          <w:sz w:val="28"/>
          <w:szCs w:val="28"/>
          <w:lang w:val="en-US"/>
        </w:rPr>
        <w:t xml:space="preserve"> of </w:t>
      </w:r>
      <w:r w:rsidR="00B72818" w:rsidRPr="009A7B0F">
        <w:rPr>
          <w:rFonts w:ascii="Times New Roman" w:hAnsi="Times New Roman" w:cs="Times New Roman"/>
          <w:sz w:val="28"/>
          <w:szCs w:val="28"/>
          <w:lang w:val="en-US"/>
        </w:rPr>
        <w:t xml:space="preserve"> the Company’s </w:t>
      </w:r>
      <w:r w:rsidRPr="009A7B0F">
        <w:rPr>
          <w:rFonts w:ascii="Times New Roman" w:hAnsi="Times New Roman" w:cs="Times New Roman"/>
          <w:sz w:val="28"/>
          <w:szCs w:val="28"/>
          <w:lang w:val="en-US"/>
        </w:rPr>
        <w:t>strategic development and creates a solid platform for achieving the Company's strategic development objectives set out in the Long-Term Development Strategy of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-Energ</w:t>
      </w:r>
      <w:r w:rsidR="00B72818" w:rsidRPr="009A7B0F">
        <w:rPr>
          <w:rFonts w:ascii="Times New Roman" w:hAnsi="Times New Roman" w:cs="Times New Roman"/>
          <w:sz w:val="28"/>
          <w:szCs w:val="28"/>
          <w:lang w:val="en-US"/>
        </w:rPr>
        <w:t>y</w:t>
      </w:r>
      <w:r w:rsidRPr="009A7B0F">
        <w:rPr>
          <w:rFonts w:ascii="Times New Roman" w:hAnsi="Times New Roman" w:cs="Times New Roman"/>
          <w:sz w:val="28"/>
          <w:szCs w:val="28"/>
          <w:lang w:val="en-US"/>
        </w:rPr>
        <w:t>"</w:t>
      </w:r>
      <w:r w:rsidR="00B72818" w:rsidRPr="009A7B0F">
        <w:rPr>
          <w:rFonts w:ascii="Times New Roman" w:hAnsi="Times New Roman" w:cs="Times New Roman"/>
          <w:sz w:val="28"/>
          <w:szCs w:val="28"/>
          <w:lang w:val="en-US"/>
        </w:rPr>
        <w:t xml:space="preserve"> JSC</w:t>
      </w:r>
      <w:r w:rsidRPr="009A7B0F">
        <w:rPr>
          <w:rFonts w:ascii="Times New Roman" w:hAnsi="Times New Roman" w:cs="Times New Roman"/>
          <w:sz w:val="28"/>
          <w:szCs w:val="28"/>
          <w:lang w:val="en-US"/>
        </w:rPr>
        <w:t xml:space="preserve"> </w:t>
      </w:r>
      <w:r w:rsidR="00B72818" w:rsidRPr="009A7B0F">
        <w:rPr>
          <w:rFonts w:ascii="Times New Roman" w:hAnsi="Times New Roman" w:cs="Times New Roman"/>
          <w:sz w:val="28"/>
          <w:szCs w:val="28"/>
          <w:lang w:val="en-US"/>
        </w:rPr>
        <w:t>for 2012-2022</w:t>
      </w:r>
      <w:r w:rsidRPr="009A7B0F">
        <w:rPr>
          <w:rFonts w:ascii="Times New Roman" w:hAnsi="Times New Roman" w:cs="Times New Roman"/>
          <w:sz w:val="28"/>
          <w:szCs w:val="28"/>
          <w:lang w:val="en-US"/>
        </w:rPr>
        <w:t>.</w:t>
      </w:r>
    </w:p>
    <w:p w:rsidR="00ED12E5" w:rsidRPr="009A7B0F" w:rsidRDefault="00B72818"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The transformation program </w:t>
      </w:r>
      <w:r w:rsidR="001C05CD" w:rsidRPr="009A7B0F">
        <w:rPr>
          <w:rFonts w:ascii="Times New Roman" w:hAnsi="Times New Roman" w:cs="Times New Roman"/>
          <w:sz w:val="28"/>
          <w:szCs w:val="28"/>
          <w:lang w:val="en-US"/>
        </w:rPr>
        <w:t xml:space="preserve">is based on </w:t>
      </w:r>
      <w:r w:rsidR="00ED12E5" w:rsidRPr="009A7B0F">
        <w:rPr>
          <w:rFonts w:ascii="Times New Roman" w:hAnsi="Times New Roman" w:cs="Times New Roman"/>
          <w:sz w:val="28"/>
          <w:szCs w:val="28"/>
          <w:lang w:val="en-US"/>
        </w:rPr>
        <w:t>parallel work in three key areas:</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Processes - formation of uniform, transparent, standardized process model, which describes the company's activit</w:t>
      </w:r>
      <w:r w:rsidR="001C05CD" w:rsidRPr="009A7B0F">
        <w:rPr>
          <w:rFonts w:ascii="Times New Roman" w:hAnsi="Times New Roman" w:cs="Times New Roman"/>
          <w:sz w:val="28"/>
          <w:szCs w:val="28"/>
          <w:lang w:val="en-US"/>
        </w:rPr>
        <w:t>y</w:t>
      </w:r>
      <w:r w:rsidRPr="009A7B0F">
        <w:rPr>
          <w:rFonts w:ascii="Times New Roman" w:hAnsi="Times New Roman" w:cs="Times New Roman"/>
          <w:sz w:val="28"/>
          <w:szCs w:val="28"/>
          <w:lang w:val="en-US"/>
        </w:rPr>
        <w:t>.</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Technology </w:t>
      </w:r>
      <w:r w:rsidR="001C05CD"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w:t>
      </w:r>
      <w:r w:rsidR="001C05CD" w:rsidRPr="009A7B0F">
        <w:rPr>
          <w:rFonts w:ascii="Times New Roman" w:hAnsi="Times New Roman" w:cs="Times New Roman"/>
          <w:sz w:val="28"/>
          <w:szCs w:val="28"/>
          <w:lang w:val="en-US"/>
        </w:rPr>
        <w:t>determination of</w:t>
      </w:r>
      <w:r w:rsidRPr="009A7B0F">
        <w:rPr>
          <w:rFonts w:ascii="Times New Roman" w:hAnsi="Times New Roman" w:cs="Times New Roman"/>
          <w:sz w:val="28"/>
          <w:szCs w:val="28"/>
          <w:lang w:val="en-US"/>
        </w:rPr>
        <w:t xml:space="preserve"> </w:t>
      </w:r>
      <w:r w:rsidR="001C05CD" w:rsidRPr="009A7B0F">
        <w:rPr>
          <w:rFonts w:ascii="Times New Roman" w:hAnsi="Times New Roman" w:cs="Times New Roman"/>
          <w:sz w:val="28"/>
          <w:szCs w:val="28"/>
          <w:lang w:val="en-US"/>
        </w:rPr>
        <w:t>activities ‘processes that are subject to</w:t>
      </w:r>
      <w:r w:rsidRPr="009A7B0F">
        <w:rPr>
          <w:rFonts w:ascii="Times New Roman" w:hAnsi="Times New Roman" w:cs="Times New Roman"/>
          <w:sz w:val="28"/>
          <w:szCs w:val="28"/>
          <w:lang w:val="en-US"/>
        </w:rPr>
        <w:t xml:space="preserve"> automat</w:t>
      </w:r>
      <w:r w:rsidR="001C05CD" w:rsidRPr="009A7B0F">
        <w:rPr>
          <w:rFonts w:ascii="Times New Roman" w:hAnsi="Times New Roman" w:cs="Times New Roman"/>
          <w:sz w:val="28"/>
          <w:szCs w:val="28"/>
          <w:lang w:val="en-US"/>
        </w:rPr>
        <w:t>ion</w:t>
      </w:r>
      <w:r w:rsidRPr="009A7B0F">
        <w:rPr>
          <w:rFonts w:ascii="Times New Roman" w:hAnsi="Times New Roman" w:cs="Times New Roman"/>
          <w:sz w:val="28"/>
          <w:szCs w:val="28"/>
          <w:lang w:val="en-US"/>
        </w:rPr>
        <w:t>.</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People - Analysis of skills and competencies of people needed to perform new tasks and increasing their level.</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One of </w:t>
      </w:r>
      <w:r w:rsidR="001C05CD" w:rsidRPr="009A7B0F">
        <w:rPr>
          <w:rFonts w:ascii="Times New Roman" w:hAnsi="Times New Roman" w:cs="Times New Roman"/>
          <w:sz w:val="28"/>
          <w:szCs w:val="28"/>
          <w:lang w:val="en-US"/>
        </w:rPr>
        <w:t>important</w:t>
      </w:r>
      <w:r w:rsidRPr="009A7B0F">
        <w:rPr>
          <w:rFonts w:ascii="Times New Roman" w:hAnsi="Times New Roman" w:cs="Times New Roman"/>
          <w:sz w:val="28"/>
          <w:szCs w:val="28"/>
          <w:lang w:val="en-US"/>
        </w:rPr>
        <w:t xml:space="preserve"> business </w:t>
      </w:r>
      <w:r w:rsidR="001C05CD" w:rsidRPr="009A7B0F">
        <w:rPr>
          <w:rFonts w:ascii="Times New Roman" w:hAnsi="Times New Roman" w:cs="Times New Roman"/>
          <w:sz w:val="28"/>
          <w:szCs w:val="28"/>
          <w:lang w:val="en-US"/>
        </w:rPr>
        <w:t>directions</w:t>
      </w:r>
      <w:r w:rsidRPr="009A7B0F">
        <w:rPr>
          <w:rFonts w:ascii="Times New Roman" w:hAnsi="Times New Roman" w:cs="Times New Roman"/>
          <w:sz w:val="28"/>
          <w:szCs w:val="28"/>
          <w:lang w:val="en-US"/>
        </w:rPr>
        <w:t xml:space="preserve"> of the Company is </w:t>
      </w:r>
      <w:r w:rsidR="001C05CD" w:rsidRPr="009A7B0F">
        <w:rPr>
          <w:rFonts w:ascii="Times New Roman" w:hAnsi="Times New Roman" w:cs="Times New Roman"/>
          <w:sz w:val="28"/>
          <w:szCs w:val="28"/>
          <w:lang w:val="en-US"/>
        </w:rPr>
        <w:t>implementation</w:t>
      </w:r>
      <w:r w:rsidRPr="009A7B0F">
        <w:rPr>
          <w:rFonts w:ascii="Times New Roman" w:hAnsi="Times New Roman" w:cs="Times New Roman"/>
          <w:sz w:val="28"/>
          <w:szCs w:val="28"/>
          <w:lang w:val="en-US"/>
        </w:rPr>
        <w:t xml:space="preserve"> of export potential.</w:t>
      </w:r>
      <w:r w:rsidR="00833E12" w:rsidRPr="009A7B0F">
        <w:rPr>
          <w:rFonts w:ascii="Times New Roman" w:hAnsi="Times New Roman" w:cs="Times New Roman"/>
          <w:sz w:val="28"/>
          <w:szCs w:val="28"/>
          <w:lang w:val="en-US"/>
        </w:rPr>
        <w:t xml:space="preserve"> Appropriate implementation of this Company’s activity requires the obtaining of National operator status. The obtaining of this</w:t>
      </w:r>
      <w:r w:rsidRPr="009A7B0F">
        <w:rPr>
          <w:rFonts w:ascii="Times New Roman" w:hAnsi="Times New Roman" w:cs="Times New Roman"/>
          <w:sz w:val="28"/>
          <w:szCs w:val="28"/>
          <w:lang w:val="en-US"/>
        </w:rPr>
        <w:t xml:space="preserve"> status</w:t>
      </w:r>
      <w:r w:rsidR="00833E12" w:rsidRPr="009A7B0F">
        <w:rPr>
          <w:rFonts w:ascii="Times New Roman" w:hAnsi="Times New Roman" w:cs="Times New Roman"/>
          <w:sz w:val="28"/>
          <w:szCs w:val="28"/>
          <w:lang w:val="en-US"/>
        </w:rPr>
        <w:t xml:space="preserve"> by </w:t>
      </w:r>
      <w:proofErr w:type="spellStart"/>
      <w:r w:rsidR="00833E12" w:rsidRPr="009A7B0F">
        <w:rPr>
          <w:rFonts w:ascii="Times New Roman" w:hAnsi="Times New Roman" w:cs="Times New Roman"/>
          <w:sz w:val="28"/>
          <w:szCs w:val="28"/>
          <w:lang w:val="en-US"/>
        </w:rPr>
        <w:t>Samruk</w:t>
      </w:r>
      <w:proofErr w:type="spellEnd"/>
      <w:r w:rsidR="00833E12" w:rsidRPr="009A7B0F">
        <w:rPr>
          <w:rFonts w:ascii="Times New Roman" w:hAnsi="Times New Roman" w:cs="Times New Roman"/>
          <w:sz w:val="28"/>
          <w:szCs w:val="28"/>
          <w:lang w:val="en-US"/>
        </w:rPr>
        <w:t>-Energy</w:t>
      </w:r>
      <w:r w:rsidRPr="009A7B0F">
        <w:rPr>
          <w:rFonts w:ascii="Times New Roman" w:hAnsi="Times New Roman" w:cs="Times New Roman"/>
          <w:sz w:val="28"/>
          <w:szCs w:val="28"/>
          <w:lang w:val="en-US"/>
        </w:rPr>
        <w:t xml:space="preserve"> substantiates the purpose of </w:t>
      </w:r>
      <w:r w:rsidR="00833E12" w:rsidRPr="009A7B0F">
        <w:rPr>
          <w:rFonts w:ascii="Times New Roman" w:hAnsi="Times New Roman" w:cs="Times New Roman"/>
          <w:sz w:val="28"/>
          <w:szCs w:val="28"/>
          <w:lang w:val="en-US"/>
        </w:rPr>
        <w:t>r</w:t>
      </w:r>
      <w:r w:rsidRPr="009A7B0F">
        <w:rPr>
          <w:rFonts w:ascii="Times New Roman" w:hAnsi="Times New Roman" w:cs="Times New Roman"/>
          <w:sz w:val="28"/>
          <w:szCs w:val="28"/>
          <w:lang w:val="en-US"/>
        </w:rPr>
        <w:t>eliable electricity</w:t>
      </w:r>
      <w:r w:rsidR="00833E12" w:rsidRPr="009A7B0F">
        <w:rPr>
          <w:rFonts w:ascii="Times New Roman" w:hAnsi="Times New Roman" w:cs="Times New Roman"/>
          <w:sz w:val="28"/>
          <w:szCs w:val="28"/>
          <w:lang w:val="en-US"/>
        </w:rPr>
        <w:t xml:space="preserve"> supply</w:t>
      </w:r>
      <w:r w:rsidRPr="009A7B0F">
        <w:rPr>
          <w:rFonts w:ascii="Times New Roman" w:hAnsi="Times New Roman" w:cs="Times New Roman"/>
          <w:sz w:val="28"/>
          <w:szCs w:val="28"/>
          <w:lang w:val="en-US"/>
        </w:rPr>
        <w:t xml:space="preserve"> to consumers of the Republic of Kazakhstan, as well as performing the role of </w:t>
      </w:r>
      <w:r w:rsidR="006C2653" w:rsidRPr="009A7B0F">
        <w:rPr>
          <w:rFonts w:ascii="Times New Roman" w:hAnsi="Times New Roman" w:cs="Times New Roman"/>
          <w:sz w:val="28"/>
          <w:szCs w:val="28"/>
          <w:lang w:val="en-US"/>
        </w:rPr>
        <w:t>a guide</w:t>
      </w:r>
      <w:r w:rsidRPr="009A7B0F">
        <w:rPr>
          <w:rFonts w:ascii="Times New Roman" w:hAnsi="Times New Roman" w:cs="Times New Roman"/>
          <w:sz w:val="28"/>
          <w:szCs w:val="28"/>
          <w:lang w:val="en-US"/>
        </w:rPr>
        <w:t xml:space="preserve"> of state interests in the international market.</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lastRenderedPageBreak/>
        <w:t xml:space="preserve">- </w:t>
      </w:r>
      <w:r w:rsidR="006C2653" w:rsidRPr="009A7B0F">
        <w:rPr>
          <w:rFonts w:ascii="Times New Roman" w:hAnsi="Times New Roman" w:cs="Times New Roman"/>
          <w:sz w:val="28"/>
          <w:szCs w:val="28"/>
          <w:lang w:val="en-US"/>
        </w:rPr>
        <w:t>In the framework of implementation of the company’s s</w:t>
      </w:r>
      <w:r w:rsidRPr="009A7B0F">
        <w:rPr>
          <w:rFonts w:ascii="Times New Roman" w:hAnsi="Times New Roman" w:cs="Times New Roman"/>
          <w:sz w:val="28"/>
          <w:szCs w:val="28"/>
          <w:lang w:val="en-US"/>
        </w:rPr>
        <w:t>trategic goal</w:t>
      </w:r>
      <w:r w:rsidR="006C2653" w:rsidRPr="009A7B0F">
        <w:rPr>
          <w:rFonts w:ascii="Times New Roman" w:hAnsi="Times New Roman" w:cs="Times New Roman"/>
          <w:sz w:val="28"/>
          <w:szCs w:val="28"/>
          <w:lang w:val="en-US"/>
        </w:rPr>
        <w:t xml:space="preserve">s such </w:t>
      </w:r>
      <w:proofErr w:type="gramStart"/>
      <w:r w:rsidR="006C2653" w:rsidRPr="009A7B0F">
        <w:rPr>
          <w:rFonts w:ascii="Times New Roman" w:hAnsi="Times New Roman" w:cs="Times New Roman"/>
          <w:sz w:val="28"/>
          <w:szCs w:val="28"/>
          <w:lang w:val="en-US"/>
        </w:rPr>
        <w:t xml:space="preserve">as </w:t>
      </w:r>
      <w:r w:rsidRPr="009A7B0F">
        <w:rPr>
          <w:rFonts w:ascii="Times New Roman" w:hAnsi="Times New Roman" w:cs="Times New Roman"/>
          <w:sz w:val="28"/>
          <w:szCs w:val="28"/>
          <w:lang w:val="en-US"/>
        </w:rPr>
        <w:t xml:space="preserve"> a</w:t>
      </w:r>
      <w:proofErr w:type="gramEnd"/>
      <w:r w:rsidRPr="009A7B0F">
        <w:rPr>
          <w:rFonts w:ascii="Times New Roman" w:hAnsi="Times New Roman" w:cs="Times New Roman"/>
          <w:sz w:val="28"/>
          <w:szCs w:val="28"/>
          <w:lang w:val="en-US"/>
        </w:rPr>
        <w:t xml:space="preserve"> high-tech development, leadership in the Republic of Kazakhstan and the effective monetization of excess capacity </w:t>
      </w:r>
      <w:r w:rsidR="006C2653" w:rsidRPr="009A7B0F">
        <w:rPr>
          <w:rFonts w:ascii="Times New Roman" w:hAnsi="Times New Roman" w:cs="Times New Roman"/>
          <w:sz w:val="28"/>
          <w:szCs w:val="28"/>
          <w:lang w:val="en-US"/>
        </w:rPr>
        <w:t>for</w:t>
      </w:r>
      <w:r w:rsidRPr="009A7B0F">
        <w:rPr>
          <w:rFonts w:ascii="Times New Roman" w:hAnsi="Times New Roman" w:cs="Times New Roman"/>
          <w:sz w:val="28"/>
          <w:szCs w:val="28"/>
          <w:lang w:val="en-US"/>
        </w:rPr>
        <w:t xml:space="preserve"> export</w:t>
      </w:r>
      <w:r w:rsidR="006C2653" w:rsidRPr="009A7B0F">
        <w:rPr>
          <w:rFonts w:ascii="Times New Roman" w:hAnsi="Times New Roman" w:cs="Times New Roman"/>
          <w:sz w:val="28"/>
          <w:szCs w:val="28"/>
          <w:lang w:val="en-US"/>
        </w:rPr>
        <w:t xml:space="preserve">, the </w:t>
      </w:r>
      <w:r w:rsidRPr="009A7B0F">
        <w:rPr>
          <w:rFonts w:ascii="Times New Roman" w:hAnsi="Times New Roman" w:cs="Times New Roman"/>
          <w:sz w:val="28"/>
          <w:szCs w:val="28"/>
          <w:lang w:val="en-US"/>
        </w:rPr>
        <w:t>Company plan</w:t>
      </w:r>
      <w:r w:rsidR="006C2653" w:rsidRPr="009A7B0F">
        <w:rPr>
          <w:rFonts w:ascii="Times New Roman" w:hAnsi="Times New Roman" w:cs="Times New Roman"/>
          <w:sz w:val="28"/>
          <w:szCs w:val="28"/>
          <w:lang w:val="en-US"/>
        </w:rPr>
        <w:t>s</w:t>
      </w:r>
      <w:r w:rsidRPr="009A7B0F">
        <w:rPr>
          <w:rFonts w:ascii="Times New Roman" w:hAnsi="Times New Roman" w:cs="Times New Roman"/>
          <w:sz w:val="28"/>
          <w:szCs w:val="28"/>
          <w:lang w:val="en-US"/>
        </w:rPr>
        <w:t xml:space="preserve"> to implement a number of investment projects:</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Modernization of "</w:t>
      </w:r>
      <w:proofErr w:type="spellStart"/>
      <w:r w:rsidRPr="009A7B0F">
        <w:rPr>
          <w:rFonts w:ascii="Times New Roman" w:hAnsi="Times New Roman" w:cs="Times New Roman"/>
          <w:sz w:val="28"/>
          <w:szCs w:val="28"/>
          <w:lang w:val="en-US"/>
        </w:rPr>
        <w:t>Shardar</w:t>
      </w:r>
      <w:r w:rsidR="006C2653" w:rsidRPr="009A7B0F">
        <w:rPr>
          <w:rFonts w:ascii="Times New Roman" w:hAnsi="Times New Roman" w:cs="Times New Roman"/>
          <w:sz w:val="28"/>
          <w:szCs w:val="28"/>
          <w:lang w:val="en-US"/>
        </w:rPr>
        <w:t>inskaya</w:t>
      </w:r>
      <w:proofErr w:type="spellEnd"/>
      <w:r w:rsidRPr="009A7B0F">
        <w:rPr>
          <w:rFonts w:ascii="Times New Roman" w:hAnsi="Times New Roman" w:cs="Times New Roman"/>
          <w:sz w:val="28"/>
          <w:szCs w:val="28"/>
          <w:lang w:val="en-US"/>
        </w:rPr>
        <w:t xml:space="preserve"> HPP"</w:t>
      </w:r>
      <w:r w:rsidR="006C2653" w:rsidRPr="009A7B0F">
        <w:rPr>
          <w:rFonts w:ascii="Times New Roman" w:hAnsi="Times New Roman" w:cs="Times New Roman"/>
          <w:sz w:val="28"/>
          <w:szCs w:val="28"/>
          <w:lang w:val="en-US"/>
        </w:rPr>
        <w:t xml:space="preserve"> JSC, </w:t>
      </w:r>
      <w:r w:rsidRPr="009A7B0F">
        <w:rPr>
          <w:rFonts w:ascii="Times New Roman" w:hAnsi="Times New Roman" w:cs="Times New Roman"/>
          <w:sz w:val="28"/>
          <w:szCs w:val="28"/>
          <w:lang w:val="en-US"/>
        </w:rPr>
        <w:t xml:space="preserve">commissioning </w:t>
      </w:r>
      <w:r w:rsidR="006C2653" w:rsidRPr="009A7B0F">
        <w:rPr>
          <w:rFonts w:ascii="Times New Roman" w:hAnsi="Times New Roman" w:cs="Times New Roman"/>
          <w:sz w:val="28"/>
          <w:szCs w:val="28"/>
          <w:lang w:val="en-US"/>
        </w:rPr>
        <w:t>date -</w:t>
      </w:r>
      <w:r w:rsidRPr="009A7B0F">
        <w:rPr>
          <w:rFonts w:ascii="Times New Roman" w:hAnsi="Times New Roman" w:cs="Times New Roman"/>
          <w:sz w:val="28"/>
          <w:szCs w:val="28"/>
          <w:lang w:val="en-US"/>
        </w:rPr>
        <w:t xml:space="preserve"> 2018. The</w:t>
      </w:r>
      <w:r w:rsidR="006C2653" w:rsidRPr="009A7B0F">
        <w:rPr>
          <w:rFonts w:ascii="Times New Roman" w:hAnsi="Times New Roman" w:cs="Times New Roman"/>
          <w:sz w:val="28"/>
          <w:szCs w:val="28"/>
          <w:lang w:val="en-US"/>
        </w:rPr>
        <w:t xml:space="preserve"> implementation of the</w:t>
      </w:r>
      <w:r w:rsidRPr="009A7B0F">
        <w:rPr>
          <w:rFonts w:ascii="Times New Roman" w:hAnsi="Times New Roman" w:cs="Times New Roman"/>
          <w:sz w:val="28"/>
          <w:szCs w:val="28"/>
          <w:lang w:val="en-US"/>
        </w:rPr>
        <w:t xml:space="preserve"> project </w:t>
      </w:r>
      <w:r w:rsidR="006C2653" w:rsidRPr="009A7B0F">
        <w:rPr>
          <w:rFonts w:ascii="Times New Roman" w:hAnsi="Times New Roman" w:cs="Times New Roman"/>
          <w:sz w:val="28"/>
          <w:szCs w:val="28"/>
          <w:lang w:val="en-US"/>
        </w:rPr>
        <w:t xml:space="preserve">will enable to </w:t>
      </w:r>
      <w:r w:rsidRPr="009A7B0F">
        <w:rPr>
          <w:rFonts w:ascii="Times New Roman" w:hAnsi="Times New Roman" w:cs="Times New Roman"/>
          <w:sz w:val="28"/>
          <w:szCs w:val="28"/>
          <w:lang w:val="en-US"/>
        </w:rPr>
        <w:t xml:space="preserve">increase the capacity of </w:t>
      </w:r>
      <w:proofErr w:type="spellStart"/>
      <w:r w:rsidRPr="009A7B0F">
        <w:rPr>
          <w:rFonts w:ascii="Times New Roman" w:hAnsi="Times New Roman" w:cs="Times New Roman"/>
          <w:sz w:val="28"/>
          <w:szCs w:val="28"/>
          <w:lang w:val="en-US"/>
        </w:rPr>
        <w:t>Shardar</w:t>
      </w:r>
      <w:r w:rsidR="006C2653" w:rsidRPr="009A7B0F">
        <w:rPr>
          <w:rFonts w:ascii="Times New Roman" w:hAnsi="Times New Roman" w:cs="Times New Roman"/>
          <w:sz w:val="28"/>
          <w:szCs w:val="28"/>
          <w:lang w:val="en-US"/>
        </w:rPr>
        <w:t>inskaya</w:t>
      </w:r>
      <w:proofErr w:type="spellEnd"/>
      <w:r w:rsidRPr="009A7B0F">
        <w:rPr>
          <w:rFonts w:ascii="Times New Roman" w:hAnsi="Times New Roman" w:cs="Times New Roman"/>
          <w:sz w:val="28"/>
          <w:szCs w:val="28"/>
          <w:lang w:val="en-US"/>
        </w:rPr>
        <w:t xml:space="preserve"> HPP by 26%</w:t>
      </w:r>
      <w:r w:rsidR="006C2653" w:rsidRPr="009A7B0F">
        <w:rPr>
          <w:rFonts w:ascii="Times New Roman" w:hAnsi="Times New Roman" w:cs="Times New Roman"/>
          <w:sz w:val="28"/>
          <w:szCs w:val="28"/>
          <w:lang w:val="en-US"/>
        </w:rPr>
        <w:t xml:space="preserve"> up</w:t>
      </w:r>
      <w:r w:rsidRPr="009A7B0F">
        <w:rPr>
          <w:rFonts w:ascii="Times New Roman" w:hAnsi="Times New Roman" w:cs="Times New Roman"/>
          <w:sz w:val="28"/>
          <w:szCs w:val="28"/>
          <w:lang w:val="en-US"/>
        </w:rPr>
        <w:t xml:space="preserve"> to 126 MW, and will extend the power </w:t>
      </w:r>
      <w:r w:rsidR="006C2653" w:rsidRPr="009A7B0F">
        <w:rPr>
          <w:rFonts w:ascii="Times New Roman" w:hAnsi="Times New Roman" w:cs="Times New Roman"/>
          <w:sz w:val="28"/>
          <w:szCs w:val="28"/>
          <w:lang w:val="en-US"/>
        </w:rPr>
        <w:t>plant’s</w:t>
      </w:r>
      <w:r w:rsidRPr="009A7B0F">
        <w:rPr>
          <w:rFonts w:ascii="Times New Roman" w:hAnsi="Times New Roman" w:cs="Times New Roman"/>
          <w:sz w:val="28"/>
          <w:szCs w:val="28"/>
          <w:lang w:val="en-US"/>
        </w:rPr>
        <w:t xml:space="preserve"> service for 35-40 years.</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The company plans an ambitious development in the field of alternative energy sources. The Company's plans involve </w:t>
      </w:r>
      <w:r w:rsidR="006C2653" w:rsidRPr="009A7B0F">
        <w:rPr>
          <w:rFonts w:ascii="Times New Roman" w:hAnsi="Times New Roman" w:cs="Times New Roman"/>
          <w:sz w:val="28"/>
          <w:szCs w:val="28"/>
          <w:lang w:val="en-US"/>
        </w:rPr>
        <w:t>introduction of up to 10% of RES</w:t>
      </w:r>
      <w:r w:rsidRPr="009A7B0F">
        <w:rPr>
          <w:rFonts w:ascii="Times New Roman" w:hAnsi="Times New Roman" w:cs="Times New Roman"/>
          <w:sz w:val="28"/>
          <w:szCs w:val="28"/>
          <w:lang w:val="en-US"/>
        </w:rPr>
        <w:t xml:space="preserve">: </w:t>
      </w:r>
      <w:r w:rsidR="006C2653" w:rsidRPr="009A7B0F">
        <w:rPr>
          <w:rFonts w:ascii="Times New Roman" w:hAnsi="Times New Roman" w:cs="Times New Roman"/>
          <w:sz w:val="28"/>
          <w:szCs w:val="28"/>
          <w:lang w:val="en-US"/>
        </w:rPr>
        <w:t>WPP, SPP and small hydro using its own installed capacities</w:t>
      </w:r>
      <w:r w:rsidRPr="009A7B0F">
        <w:rPr>
          <w:rFonts w:ascii="Times New Roman" w:hAnsi="Times New Roman" w:cs="Times New Roman"/>
          <w:sz w:val="28"/>
          <w:szCs w:val="28"/>
          <w:lang w:val="en-US"/>
        </w:rPr>
        <w:t>. This will</w:t>
      </w:r>
      <w:r w:rsidR="00AA220B" w:rsidRPr="009A7B0F">
        <w:rPr>
          <w:rFonts w:ascii="Times New Roman" w:hAnsi="Times New Roman" w:cs="Times New Roman"/>
          <w:sz w:val="28"/>
          <w:szCs w:val="28"/>
          <w:lang w:val="en-US"/>
        </w:rPr>
        <w:t xml:space="preserve"> allow</w:t>
      </w:r>
      <w:r w:rsidRPr="009A7B0F">
        <w:rPr>
          <w:rFonts w:ascii="Times New Roman" w:hAnsi="Times New Roman" w:cs="Times New Roman"/>
          <w:sz w:val="28"/>
          <w:szCs w:val="28"/>
          <w:lang w:val="en-US"/>
        </w:rPr>
        <w:t xml:space="preserve"> becom</w:t>
      </w:r>
      <w:r w:rsidR="00AA220B" w:rsidRPr="009A7B0F">
        <w:rPr>
          <w:rFonts w:ascii="Times New Roman" w:hAnsi="Times New Roman" w:cs="Times New Roman"/>
          <w:sz w:val="28"/>
          <w:szCs w:val="28"/>
          <w:lang w:val="en-US"/>
        </w:rPr>
        <w:t>ing</w:t>
      </w:r>
      <w:r w:rsidRPr="009A7B0F">
        <w:rPr>
          <w:rFonts w:ascii="Times New Roman" w:hAnsi="Times New Roman" w:cs="Times New Roman"/>
          <w:sz w:val="28"/>
          <w:szCs w:val="28"/>
          <w:lang w:val="en-US"/>
        </w:rPr>
        <w:t xml:space="preserve"> a sustainable leader in green </w:t>
      </w:r>
      <w:r w:rsidR="00AA220B" w:rsidRPr="009A7B0F">
        <w:rPr>
          <w:rFonts w:ascii="Times New Roman" w:hAnsi="Times New Roman" w:cs="Times New Roman"/>
          <w:sz w:val="28"/>
          <w:szCs w:val="28"/>
          <w:lang w:val="en-US"/>
        </w:rPr>
        <w:t>power industry</w:t>
      </w:r>
      <w:r w:rsidRPr="009A7B0F">
        <w:rPr>
          <w:rFonts w:ascii="Times New Roman" w:hAnsi="Times New Roman" w:cs="Times New Roman"/>
          <w:sz w:val="28"/>
          <w:szCs w:val="28"/>
          <w:lang w:val="en-US"/>
        </w:rPr>
        <w:t xml:space="preserve"> in Central Asia</w:t>
      </w:r>
      <w:r w:rsidR="00AA220B" w:rsidRPr="009A7B0F">
        <w:rPr>
          <w:rFonts w:ascii="Times New Roman" w:hAnsi="Times New Roman" w:cs="Times New Roman"/>
          <w:sz w:val="28"/>
          <w:szCs w:val="28"/>
          <w:lang w:val="en-US"/>
        </w:rPr>
        <w:t xml:space="preserve"> region</w:t>
      </w:r>
      <w:r w:rsidRPr="009A7B0F">
        <w:rPr>
          <w:rFonts w:ascii="Times New Roman" w:hAnsi="Times New Roman" w:cs="Times New Roman"/>
          <w:sz w:val="28"/>
          <w:szCs w:val="28"/>
          <w:lang w:val="en-US"/>
        </w:rPr>
        <w:t>.</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Currently</w:t>
      </w:r>
      <w:r w:rsidR="00AA220B" w:rsidRPr="009A7B0F">
        <w:rPr>
          <w:rFonts w:ascii="Times New Roman" w:hAnsi="Times New Roman" w:cs="Times New Roman"/>
          <w:sz w:val="28"/>
          <w:szCs w:val="28"/>
          <w:lang w:val="en-US"/>
        </w:rPr>
        <w:t>, the construction of</w:t>
      </w:r>
      <w:r w:rsidRPr="009A7B0F">
        <w:rPr>
          <w:rFonts w:ascii="Times New Roman" w:hAnsi="Times New Roman" w:cs="Times New Roman"/>
          <w:sz w:val="28"/>
          <w:szCs w:val="28"/>
          <w:lang w:val="en-US"/>
        </w:rPr>
        <w:t xml:space="preserve"> several power plants with total capacity of more than 0</w:t>
      </w:r>
      <w:proofErr w:type="gramStart"/>
      <w:r w:rsidR="00AA220B"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85</w:t>
      </w:r>
      <w:proofErr w:type="gramEnd"/>
      <w:r w:rsidRPr="009A7B0F">
        <w:rPr>
          <w:rFonts w:ascii="Times New Roman" w:hAnsi="Times New Roman" w:cs="Times New Roman"/>
          <w:sz w:val="28"/>
          <w:szCs w:val="28"/>
          <w:lang w:val="en-US"/>
        </w:rPr>
        <w:t xml:space="preserve"> GW</w:t>
      </w:r>
      <w:r w:rsidR="00AA220B" w:rsidRPr="009A7B0F">
        <w:rPr>
          <w:rFonts w:ascii="Times New Roman" w:hAnsi="Times New Roman" w:cs="Times New Roman"/>
          <w:sz w:val="28"/>
          <w:szCs w:val="28"/>
          <w:lang w:val="en-US"/>
        </w:rPr>
        <w:t xml:space="preserve"> has been scheduled or under study</w:t>
      </w:r>
      <w:r w:rsidRPr="009A7B0F">
        <w:rPr>
          <w:rFonts w:ascii="Times New Roman" w:hAnsi="Times New Roman" w:cs="Times New Roman"/>
          <w:sz w:val="28"/>
          <w:szCs w:val="28"/>
          <w:lang w:val="en-US"/>
        </w:rPr>
        <w:t>,</w:t>
      </w:r>
      <w:r w:rsidR="00AA220B" w:rsidRPr="009A7B0F">
        <w:rPr>
          <w:rFonts w:ascii="Times New Roman" w:hAnsi="Times New Roman" w:cs="Times New Roman"/>
          <w:sz w:val="28"/>
          <w:szCs w:val="28"/>
          <w:lang w:val="en-US"/>
        </w:rPr>
        <w:t xml:space="preserve"> those are</w:t>
      </w:r>
      <w:r w:rsidRPr="009A7B0F">
        <w:rPr>
          <w:rFonts w:ascii="Times New Roman" w:hAnsi="Times New Roman" w:cs="Times New Roman"/>
          <w:sz w:val="28"/>
          <w:szCs w:val="28"/>
          <w:lang w:val="en-US"/>
        </w:rPr>
        <w:t>:</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r w:rsidR="00AA220B" w:rsidRPr="009A7B0F">
        <w:rPr>
          <w:rFonts w:ascii="Times New Roman" w:hAnsi="Times New Roman" w:cs="Times New Roman"/>
          <w:sz w:val="28"/>
          <w:szCs w:val="28"/>
          <w:lang w:val="en-US"/>
        </w:rPr>
        <w:t xml:space="preserve">Construction of 50 MW WPP in </w:t>
      </w:r>
      <w:proofErr w:type="spellStart"/>
      <w:r w:rsidR="00AA220B" w:rsidRPr="009A7B0F">
        <w:rPr>
          <w:rFonts w:ascii="Times New Roman" w:hAnsi="Times New Roman" w:cs="Times New Roman"/>
          <w:sz w:val="28"/>
          <w:szCs w:val="28"/>
          <w:lang w:val="en-US"/>
        </w:rPr>
        <w:t>Yere</w:t>
      </w:r>
      <w:r w:rsidR="00663B5F" w:rsidRPr="009A7B0F">
        <w:rPr>
          <w:rFonts w:ascii="Times New Roman" w:hAnsi="Times New Roman" w:cs="Times New Roman"/>
          <w:sz w:val="28"/>
          <w:szCs w:val="28"/>
          <w:lang w:val="en-US"/>
        </w:rPr>
        <w:t>i</w:t>
      </w:r>
      <w:r w:rsidR="00AA220B" w:rsidRPr="009A7B0F">
        <w:rPr>
          <w:rFonts w:ascii="Times New Roman" w:hAnsi="Times New Roman" w:cs="Times New Roman"/>
          <w:sz w:val="28"/>
          <w:szCs w:val="28"/>
          <w:lang w:val="en-US"/>
        </w:rPr>
        <w:t>mentau</w:t>
      </w:r>
      <w:proofErr w:type="spellEnd"/>
      <w:r w:rsidR="00AA220B" w:rsidRPr="009A7B0F">
        <w:rPr>
          <w:rFonts w:ascii="Times New Roman" w:hAnsi="Times New Roman" w:cs="Times New Roman"/>
          <w:sz w:val="28"/>
          <w:szCs w:val="28"/>
          <w:lang w:val="en-US"/>
        </w:rPr>
        <w:t xml:space="preserve"> region</w:t>
      </w:r>
      <w:r w:rsidRPr="009A7B0F">
        <w:rPr>
          <w:rFonts w:ascii="Times New Roman" w:hAnsi="Times New Roman" w:cs="Times New Roman"/>
          <w:sz w:val="28"/>
          <w:szCs w:val="28"/>
          <w:lang w:val="en-US"/>
        </w:rPr>
        <w:t>;</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r w:rsidR="00AA220B" w:rsidRPr="009A7B0F">
        <w:rPr>
          <w:rFonts w:ascii="Times New Roman" w:hAnsi="Times New Roman" w:cs="Times New Roman"/>
          <w:sz w:val="28"/>
          <w:szCs w:val="28"/>
          <w:lang w:val="en-US"/>
        </w:rPr>
        <w:t xml:space="preserve">Construction of 60 MW WPP </w:t>
      </w:r>
      <w:r w:rsidRPr="009A7B0F">
        <w:rPr>
          <w:rFonts w:ascii="Times New Roman" w:hAnsi="Times New Roman" w:cs="Times New Roman"/>
          <w:sz w:val="28"/>
          <w:szCs w:val="28"/>
          <w:lang w:val="en-US"/>
        </w:rPr>
        <w:t xml:space="preserve">in </w:t>
      </w:r>
      <w:proofErr w:type="spellStart"/>
      <w:r w:rsidRPr="009A7B0F">
        <w:rPr>
          <w:rFonts w:ascii="Times New Roman" w:hAnsi="Times New Roman" w:cs="Times New Roman"/>
          <w:sz w:val="28"/>
          <w:szCs w:val="28"/>
          <w:lang w:val="en-US"/>
        </w:rPr>
        <w:t>Shelek</w:t>
      </w:r>
      <w:proofErr w:type="spellEnd"/>
      <w:r w:rsidRPr="009A7B0F">
        <w:rPr>
          <w:rFonts w:ascii="Times New Roman" w:hAnsi="Times New Roman" w:cs="Times New Roman"/>
          <w:sz w:val="28"/>
          <w:szCs w:val="28"/>
          <w:lang w:val="en-US"/>
        </w:rPr>
        <w:t xml:space="preserve"> corridor </w:t>
      </w:r>
      <w:r w:rsidR="00AA220B" w:rsidRPr="009A7B0F">
        <w:rPr>
          <w:rFonts w:ascii="Times New Roman" w:hAnsi="Times New Roman" w:cs="Times New Roman"/>
          <w:sz w:val="28"/>
          <w:szCs w:val="28"/>
          <w:lang w:val="en-US"/>
        </w:rPr>
        <w:t>including a potential</w:t>
      </w:r>
      <w:r w:rsidRPr="009A7B0F">
        <w:rPr>
          <w:rFonts w:ascii="Times New Roman" w:hAnsi="Times New Roman" w:cs="Times New Roman"/>
          <w:sz w:val="28"/>
          <w:szCs w:val="28"/>
          <w:lang w:val="en-US"/>
        </w:rPr>
        <w:t xml:space="preserve"> expansion </w:t>
      </w:r>
      <w:r w:rsidR="00AA220B" w:rsidRPr="009A7B0F">
        <w:rPr>
          <w:rFonts w:ascii="Times New Roman" w:hAnsi="Times New Roman" w:cs="Times New Roman"/>
          <w:sz w:val="28"/>
          <w:szCs w:val="28"/>
          <w:lang w:val="en-US"/>
        </w:rPr>
        <w:t xml:space="preserve">up </w:t>
      </w:r>
      <w:r w:rsidRPr="009A7B0F">
        <w:rPr>
          <w:rFonts w:ascii="Times New Roman" w:hAnsi="Times New Roman" w:cs="Times New Roman"/>
          <w:sz w:val="28"/>
          <w:szCs w:val="28"/>
          <w:lang w:val="en-US"/>
        </w:rPr>
        <w:t>to 300 MW;</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proofErr w:type="gramStart"/>
      <w:r w:rsidRPr="009A7B0F">
        <w:rPr>
          <w:rFonts w:ascii="Times New Roman" w:hAnsi="Times New Roman" w:cs="Times New Roman"/>
          <w:sz w:val="28"/>
          <w:szCs w:val="28"/>
          <w:lang w:val="en-US"/>
        </w:rPr>
        <w:t>construction</w:t>
      </w:r>
      <w:proofErr w:type="gramEnd"/>
      <w:r w:rsidRPr="009A7B0F">
        <w:rPr>
          <w:rFonts w:ascii="Times New Roman" w:hAnsi="Times New Roman" w:cs="Times New Roman"/>
          <w:sz w:val="28"/>
          <w:szCs w:val="28"/>
          <w:lang w:val="en-US"/>
        </w:rPr>
        <w:t xml:space="preserve"> of </w:t>
      </w:r>
      <w:r w:rsidR="00AA220B" w:rsidRPr="009A7B0F">
        <w:rPr>
          <w:rFonts w:ascii="Times New Roman" w:hAnsi="Times New Roman" w:cs="Times New Roman"/>
          <w:sz w:val="28"/>
          <w:szCs w:val="28"/>
          <w:lang w:val="en-US"/>
        </w:rPr>
        <w:t xml:space="preserve">4 </w:t>
      </w:r>
      <w:r w:rsidRPr="009A7B0F">
        <w:rPr>
          <w:rFonts w:ascii="Times New Roman" w:hAnsi="Times New Roman" w:cs="Times New Roman"/>
          <w:sz w:val="28"/>
          <w:szCs w:val="28"/>
          <w:lang w:val="en-US"/>
        </w:rPr>
        <w:t xml:space="preserve">small hydropower plants </w:t>
      </w:r>
      <w:r w:rsidR="00AA220B" w:rsidRPr="009A7B0F">
        <w:rPr>
          <w:rFonts w:ascii="Times New Roman" w:hAnsi="Times New Roman" w:cs="Times New Roman"/>
          <w:sz w:val="28"/>
          <w:szCs w:val="28"/>
          <w:lang w:val="en-US"/>
        </w:rPr>
        <w:t>by</w:t>
      </w:r>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Kaz</w:t>
      </w:r>
      <w:r w:rsidR="00AA220B" w:rsidRPr="009A7B0F">
        <w:rPr>
          <w:rFonts w:ascii="Times New Roman" w:hAnsi="Times New Roman" w:cs="Times New Roman"/>
          <w:sz w:val="28"/>
          <w:szCs w:val="28"/>
          <w:lang w:val="en-US"/>
        </w:rPr>
        <w:t>hydrotechenergo</w:t>
      </w:r>
      <w:proofErr w:type="spellEnd"/>
      <w:r w:rsidRPr="009A7B0F">
        <w:rPr>
          <w:rFonts w:ascii="Times New Roman" w:hAnsi="Times New Roman" w:cs="Times New Roman"/>
          <w:sz w:val="28"/>
          <w:szCs w:val="28"/>
          <w:lang w:val="en-US"/>
        </w:rPr>
        <w:t>"</w:t>
      </w:r>
      <w:r w:rsidR="00AA220B" w:rsidRPr="009A7B0F">
        <w:rPr>
          <w:rFonts w:ascii="Times New Roman" w:hAnsi="Times New Roman" w:cs="Times New Roman"/>
          <w:sz w:val="28"/>
          <w:szCs w:val="28"/>
          <w:lang w:val="en-US"/>
        </w:rPr>
        <w:t xml:space="preserve"> LLP for a</w:t>
      </w:r>
      <w:r w:rsidRPr="009A7B0F">
        <w:rPr>
          <w:rFonts w:ascii="Times New Roman" w:hAnsi="Times New Roman" w:cs="Times New Roman"/>
          <w:sz w:val="28"/>
          <w:szCs w:val="28"/>
          <w:lang w:val="en-US"/>
        </w:rPr>
        <w:t xml:space="preserve"> total capacity of 60</w:t>
      </w:r>
      <w:r w:rsidR="00AA220B"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8 MW;</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Construction </w:t>
      </w:r>
      <w:r w:rsidR="00AA220B" w:rsidRPr="009A7B0F">
        <w:rPr>
          <w:rFonts w:ascii="Times New Roman" w:hAnsi="Times New Roman" w:cs="Times New Roman"/>
          <w:sz w:val="28"/>
          <w:szCs w:val="28"/>
          <w:lang w:val="en-US"/>
        </w:rPr>
        <w:t xml:space="preserve">of </w:t>
      </w:r>
      <w:proofErr w:type="spellStart"/>
      <w:r w:rsidR="00AA220B" w:rsidRPr="009A7B0F">
        <w:rPr>
          <w:rFonts w:ascii="Times New Roman" w:hAnsi="Times New Roman" w:cs="Times New Roman"/>
          <w:sz w:val="28"/>
          <w:szCs w:val="28"/>
          <w:lang w:val="en-US"/>
        </w:rPr>
        <w:t>counterregulating</w:t>
      </w:r>
      <w:proofErr w:type="spellEnd"/>
      <w:r w:rsidR="00AA220B" w:rsidRPr="009A7B0F">
        <w:rPr>
          <w:rFonts w:ascii="Times New Roman" w:hAnsi="Times New Roman" w:cs="Times New Roman"/>
          <w:sz w:val="28"/>
          <w:szCs w:val="28"/>
          <w:lang w:val="en-US"/>
        </w:rPr>
        <w:t xml:space="preserve"> </w:t>
      </w:r>
      <w:proofErr w:type="spellStart"/>
      <w:r w:rsidR="00AA220B" w:rsidRPr="009A7B0F">
        <w:rPr>
          <w:rFonts w:ascii="Times New Roman" w:hAnsi="Times New Roman" w:cs="Times New Roman"/>
          <w:sz w:val="28"/>
          <w:szCs w:val="28"/>
          <w:lang w:val="en-US"/>
        </w:rPr>
        <w:t>K</w:t>
      </w:r>
      <w:r w:rsidRPr="009A7B0F">
        <w:rPr>
          <w:rFonts w:ascii="Times New Roman" w:hAnsi="Times New Roman" w:cs="Times New Roman"/>
          <w:sz w:val="28"/>
          <w:szCs w:val="28"/>
          <w:lang w:val="en-US"/>
        </w:rPr>
        <w:t>erbulak</w:t>
      </w:r>
      <w:proofErr w:type="spellEnd"/>
      <w:r w:rsidRPr="009A7B0F">
        <w:rPr>
          <w:rFonts w:ascii="Times New Roman" w:hAnsi="Times New Roman" w:cs="Times New Roman"/>
          <w:sz w:val="28"/>
          <w:szCs w:val="28"/>
          <w:lang w:val="en-US"/>
        </w:rPr>
        <w:t xml:space="preserve"> HPP on </w:t>
      </w:r>
      <w:r w:rsidR="00A101DE">
        <w:rPr>
          <w:rFonts w:ascii="Times New Roman" w:hAnsi="Times New Roman" w:cs="Times New Roman"/>
          <w:sz w:val="28"/>
          <w:szCs w:val="28"/>
          <w:lang w:val="en-US"/>
        </w:rPr>
        <w:t>Ili River,</w:t>
      </w:r>
      <w:r w:rsidR="00AA220B" w:rsidRPr="009A7B0F">
        <w:rPr>
          <w:rFonts w:ascii="Times New Roman" w:hAnsi="Times New Roman" w:cs="Times New Roman"/>
          <w:sz w:val="28"/>
          <w:szCs w:val="28"/>
          <w:lang w:val="en-US"/>
        </w:rPr>
        <w:t xml:space="preserve"> with capacity of 33 MW. </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Pr</w:t>
      </w:r>
      <w:r w:rsidR="00AA220B" w:rsidRPr="009A7B0F">
        <w:rPr>
          <w:rFonts w:ascii="Times New Roman" w:hAnsi="Times New Roman" w:cs="Times New Roman"/>
          <w:sz w:val="28"/>
          <w:szCs w:val="28"/>
          <w:lang w:val="en-US"/>
        </w:rPr>
        <w:t>ojects requiring additional elaboration</w:t>
      </w:r>
      <w:r w:rsidRPr="009A7B0F">
        <w:rPr>
          <w:rFonts w:ascii="Times New Roman" w:hAnsi="Times New Roman" w:cs="Times New Roman"/>
          <w:sz w:val="28"/>
          <w:szCs w:val="28"/>
          <w:lang w:val="en-US"/>
        </w:rPr>
        <w:t>:</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WPP construction in </w:t>
      </w:r>
      <w:proofErr w:type="spellStart"/>
      <w:r w:rsidR="00AA220B" w:rsidRPr="009A7B0F">
        <w:rPr>
          <w:rFonts w:ascii="Times New Roman" w:hAnsi="Times New Roman" w:cs="Times New Roman"/>
          <w:sz w:val="28"/>
          <w:szCs w:val="28"/>
          <w:lang w:val="en-US"/>
        </w:rPr>
        <w:t>Yesil</w:t>
      </w:r>
      <w:proofErr w:type="spellEnd"/>
      <w:r w:rsidRPr="009A7B0F">
        <w:rPr>
          <w:rFonts w:ascii="Times New Roman" w:hAnsi="Times New Roman" w:cs="Times New Roman"/>
          <w:sz w:val="28"/>
          <w:szCs w:val="28"/>
          <w:lang w:val="en-US"/>
        </w:rPr>
        <w:t xml:space="preserve"> district of Akmola region with total capacity of 205 MW;</w:t>
      </w:r>
    </w:p>
    <w:p w:rsidR="00ED12E5"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r w:rsidR="00A101DE" w:rsidRPr="009A7B0F">
        <w:rPr>
          <w:rFonts w:ascii="Times New Roman" w:hAnsi="Times New Roman" w:cs="Times New Roman"/>
          <w:sz w:val="28"/>
          <w:szCs w:val="28"/>
          <w:lang w:val="en-US"/>
        </w:rPr>
        <w:t>Reconstruction</w:t>
      </w:r>
      <w:r w:rsidRPr="009A7B0F">
        <w:rPr>
          <w:rFonts w:ascii="Times New Roman" w:hAnsi="Times New Roman" w:cs="Times New Roman"/>
          <w:sz w:val="28"/>
          <w:szCs w:val="28"/>
          <w:lang w:val="en-US"/>
        </w:rPr>
        <w:t xml:space="preserve"> and modernization of Almaty HPP cascade with the increase in capacity </w:t>
      </w:r>
      <w:r w:rsidR="001812CF" w:rsidRPr="009A7B0F">
        <w:rPr>
          <w:rFonts w:ascii="Times New Roman" w:hAnsi="Times New Roman" w:cs="Times New Roman"/>
          <w:sz w:val="28"/>
          <w:szCs w:val="28"/>
          <w:lang w:val="en-US"/>
        </w:rPr>
        <w:t>by 7</w:t>
      </w:r>
      <w:proofErr w:type="gramStart"/>
      <w:r w:rsidR="001812CF"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5</w:t>
      </w:r>
      <w:proofErr w:type="gramEnd"/>
      <w:r w:rsidRPr="009A7B0F">
        <w:rPr>
          <w:rFonts w:ascii="Times New Roman" w:hAnsi="Times New Roman" w:cs="Times New Roman"/>
          <w:sz w:val="28"/>
          <w:szCs w:val="28"/>
          <w:lang w:val="en-US"/>
        </w:rPr>
        <w:t xml:space="preserve"> MW;</w:t>
      </w:r>
    </w:p>
    <w:p w:rsidR="00894779" w:rsidRPr="009A7B0F" w:rsidRDefault="00ED12E5" w:rsidP="009A7B0F">
      <w:pPr>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r w:rsidR="001812CF" w:rsidRPr="009A7B0F">
        <w:rPr>
          <w:rFonts w:ascii="Times New Roman" w:hAnsi="Times New Roman" w:cs="Times New Roman"/>
          <w:sz w:val="28"/>
          <w:szCs w:val="28"/>
          <w:lang w:val="en-US"/>
        </w:rPr>
        <w:t xml:space="preserve">Construction of 50 MW SPP in </w:t>
      </w:r>
      <w:proofErr w:type="spellStart"/>
      <w:r w:rsidRPr="009A7B0F">
        <w:rPr>
          <w:rFonts w:ascii="Times New Roman" w:hAnsi="Times New Roman" w:cs="Times New Roman"/>
          <w:sz w:val="28"/>
          <w:szCs w:val="28"/>
          <w:lang w:val="en-US"/>
        </w:rPr>
        <w:t>Kapshagay</w:t>
      </w:r>
      <w:proofErr w:type="spellEnd"/>
      <w:r w:rsidR="001812CF" w:rsidRPr="009A7B0F">
        <w:rPr>
          <w:rFonts w:ascii="Times New Roman" w:hAnsi="Times New Roman" w:cs="Times New Roman"/>
          <w:sz w:val="28"/>
          <w:szCs w:val="28"/>
          <w:lang w:val="en-US"/>
        </w:rPr>
        <w:t xml:space="preserve"> </w:t>
      </w:r>
      <w:proofErr w:type="gramStart"/>
      <w:r w:rsidR="001812CF" w:rsidRPr="009A7B0F">
        <w:rPr>
          <w:rFonts w:ascii="Times New Roman" w:hAnsi="Times New Roman" w:cs="Times New Roman"/>
          <w:sz w:val="28"/>
          <w:szCs w:val="28"/>
          <w:lang w:val="en-US"/>
        </w:rPr>
        <w:t xml:space="preserve">city </w:t>
      </w:r>
      <w:r w:rsidRPr="009A7B0F">
        <w:rPr>
          <w:rFonts w:ascii="Times New Roman" w:hAnsi="Times New Roman" w:cs="Times New Roman"/>
          <w:sz w:val="28"/>
          <w:szCs w:val="28"/>
          <w:lang w:val="en-US"/>
        </w:rPr>
        <w:t xml:space="preserve"> with</w:t>
      </w:r>
      <w:proofErr w:type="gramEnd"/>
      <w:r w:rsidRPr="009A7B0F">
        <w:rPr>
          <w:rFonts w:ascii="Times New Roman" w:hAnsi="Times New Roman" w:cs="Times New Roman"/>
          <w:sz w:val="28"/>
          <w:szCs w:val="28"/>
          <w:lang w:val="en-US"/>
        </w:rPr>
        <w:t xml:space="preserve"> expansion potential</w:t>
      </w:r>
      <w:r w:rsidR="001812CF" w:rsidRPr="009A7B0F">
        <w:rPr>
          <w:rFonts w:ascii="Times New Roman" w:hAnsi="Times New Roman" w:cs="Times New Roman"/>
          <w:sz w:val="28"/>
          <w:szCs w:val="28"/>
          <w:lang w:val="en-US"/>
        </w:rPr>
        <w:t xml:space="preserve"> up</w:t>
      </w:r>
      <w:r w:rsidRPr="009A7B0F">
        <w:rPr>
          <w:rFonts w:ascii="Times New Roman" w:hAnsi="Times New Roman" w:cs="Times New Roman"/>
          <w:sz w:val="28"/>
          <w:szCs w:val="28"/>
          <w:lang w:val="en-US"/>
        </w:rPr>
        <w:t xml:space="preserve"> to 100 MW.</w:t>
      </w:r>
    </w:p>
    <w:p w:rsidR="0088591E" w:rsidRPr="009A7B0F" w:rsidRDefault="00EC1926" w:rsidP="009A7B0F">
      <w:pPr>
        <w:spacing w:after="0"/>
        <w:ind w:right="-143" w:firstLine="709"/>
        <w:jc w:val="both"/>
        <w:rPr>
          <w:rFonts w:ascii="Times New Roman" w:hAnsi="Times New Roman" w:cs="Times New Roman"/>
          <w:b/>
          <w:sz w:val="28"/>
          <w:szCs w:val="28"/>
          <w:u w:val="single"/>
          <w:lang w:val="en-US"/>
        </w:rPr>
      </w:pPr>
      <w:r w:rsidRPr="009A7B0F">
        <w:rPr>
          <w:rFonts w:ascii="Times New Roman" w:hAnsi="Times New Roman" w:cs="Times New Roman"/>
          <w:b/>
          <w:sz w:val="28"/>
          <w:szCs w:val="28"/>
          <w:u w:val="single"/>
          <w:lang w:val="en-US"/>
        </w:rPr>
        <w:t>2. Main</w:t>
      </w:r>
      <w:r w:rsidR="0088591E" w:rsidRPr="009A7B0F">
        <w:rPr>
          <w:rFonts w:ascii="Times New Roman" w:hAnsi="Times New Roman" w:cs="Times New Roman"/>
          <w:b/>
          <w:sz w:val="28"/>
          <w:szCs w:val="28"/>
          <w:u w:val="single"/>
          <w:lang w:val="en-US"/>
        </w:rPr>
        <w:t xml:space="preserve"> </w:t>
      </w:r>
      <w:r w:rsidR="00A0482B" w:rsidRPr="009A7B0F">
        <w:rPr>
          <w:rFonts w:ascii="Times New Roman" w:hAnsi="Times New Roman" w:cs="Times New Roman"/>
          <w:b/>
          <w:sz w:val="28"/>
          <w:szCs w:val="28"/>
          <w:u w:val="single"/>
          <w:lang w:val="en-US"/>
        </w:rPr>
        <w:t>principles</w:t>
      </w:r>
      <w:r w:rsidR="0088591E" w:rsidRPr="009A7B0F">
        <w:rPr>
          <w:rFonts w:ascii="Times New Roman" w:hAnsi="Times New Roman" w:cs="Times New Roman"/>
          <w:b/>
          <w:sz w:val="28"/>
          <w:szCs w:val="28"/>
          <w:u w:val="single"/>
          <w:lang w:val="en-US"/>
        </w:rPr>
        <w:t xml:space="preserve"> </w:t>
      </w:r>
      <w:r w:rsidR="00A0482B" w:rsidRPr="009A7B0F">
        <w:rPr>
          <w:rFonts w:ascii="Times New Roman" w:hAnsi="Times New Roman" w:cs="Times New Roman"/>
          <w:b/>
          <w:sz w:val="28"/>
          <w:szCs w:val="28"/>
          <w:u w:val="single"/>
          <w:lang w:val="en-US"/>
        </w:rPr>
        <w:t xml:space="preserve">of accounting policy </w:t>
      </w:r>
      <w:r w:rsidR="0088591E" w:rsidRPr="009A7B0F">
        <w:rPr>
          <w:rFonts w:ascii="Times New Roman" w:hAnsi="Times New Roman" w:cs="Times New Roman"/>
          <w:b/>
          <w:sz w:val="28"/>
          <w:szCs w:val="28"/>
          <w:u w:val="single"/>
          <w:lang w:val="en-US"/>
        </w:rPr>
        <w:t>and valuation</w:t>
      </w:r>
    </w:p>
    <w:p w:rsidR="00EC1926" w:rsidRPr="009A7B0F" w:rsidRDefault="00EC1926" w:rsidP="009A7B0F">
      <w:pPr>
        <w:spacing w:after="0"/>
        <w:ind w:right="-143" w:firstLine="709"/>
        <w:jc w:val="both"/>
        <w:rPr>
          <w:rFonts w:ascii="Times New Roman" w:hAnsi="Times New Roman" w:cs="Times New Roman"/>
          <w:sz w:val="28"/>
          <w:szCs w:val="28"/>
          <w:lang w:val="en-US"/>
        </w:rPr>
      </w:pPr>
    </w:p>
    <w:p w:rsidR="00554C94" w:rsidRPr="009A7B0F" w:rsidRDefault="00A0482B"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 xml:space="preserve">-Energy” JSC group of companies applies the equity method in consolidation for the purpose of common approach in preparation of the report on </w:t>
      </w:r>
      <w:r w:rsidRPr="009A7B0F">
        <w:rPr>
          <w:rFonts w:ascii="Times New Roman" w:hAnsi="Times New Roman" w:cs="Times New Roman"/>
          <w:sz w:val="28"/>
          <w:szCs w:val="28"/>
          <w:lang w:val="en-US"/>
        </w:rPr>
        <w:lastRenderedPageBreak/>
        <w:t xml:space="preserve">financial and operating results. </w:t>
      </w:r>
      <w:r w:rsidR="00554C94" w:rsidRPr="009A7B0F">
        <w:rPr>
          <w:rFonts w:ascii="Times New Roman" w:hAnsi="Times New Roman" w:cs="Times New Roman"/>
          <w:sz w:val="28"/>
          <w:szCs w:val="28"/>
          <w:lang w:val="en-US"/>
        </w:rPr>
        <w:t xml:space="preserve">In addition, according to current accounting policy, fixed assets and intangible assets are stated at the initial cost, i.e. without revaluation. </w:t>
      </w:r>
    </w:p>
    <w:p w:rsidR="00A363E2" w:rsidRPr="009A7B0F" w:rsidRDefault="00554C94"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Based on the above, turnovers of large companies such as “SEGRES-2” JSC, </w:t>
      </w:r>
      <w:r w:rsidR="00A363E2" w:rsidRPr="009A7B0F">
        <w:rPr>
          <w:rFonts w:ascii="Times New Roman" w:hAnsi="Times New Roman" w:cs="Times New Roman"/>
          <w:sz w:val="28"/>
          <w:szCs w:val="28"/>
          <w:lang w:val="en-US"/>
        </w:rPr>
        <w:t xml:space="preserve">“Forum </w:t>
      </w:r>
      <w:proofErr w:type="spellStart"/>
      <w:r w:rsidR="00A363E2" w:rsidRPr="009A7B0F">
        <w:rPr>
          <w:rFonts w:ascii="Times New Roman" w:hAnsi="Times New Roman" w:cs="Times New Roman"/>
          <w:sz w:val="28"/>
          <w:szCs w:val="28"/>
          <w:lang w:val="en-US"/>
        </w:rPr>
        <w:t>Muider</w:t>
      </w:r>
      <w:proofErr w:type="spellEnd"/>
      <w:r w:rsidR="00A363E2" w:rsidRPr="009A7B0F">
        <w:rPr>
          <w:rFonts w:ascii="Times New Roman" w:hAnsi="Times New Roman" w:cs="Times New Roman"/>
          <w:sz w:val="28"/>
          <w:szCs w:val="28"/>
          <w:lang w:val="en-US"/>
        </w:rPr>
        <w:t xml:space="preserve"> B.V</w:t>
      </w:r>
      <w:r w:rsidRPr="009A7B0F">
        <w:rPr>
          <w:rFonts w:ascii="Times New Roman" w:hAnsi="Times New Roman" w:cs="Times New Roman"/>
          <w:sz w:val="28"/>
          <w:szCs w:val="28"/>
          <w:lang w:val="en-US"/>
        </w:rPr>
        <w:t xml:space="preserve">” the company comprising coal assets, </w:t>
      </w:r>
      <w:r w:rsidR="00A363E2" w:rsidRPr="009A7B0F">
        <w:rPr>
          <w:rFonts w:ascii="Times New Roman" w:hAnsi="Times New Roman" w:cs="Times New Roman"/>
          <w:sz w:val="28"/>
          <w:szCs w:val="28"/>
          <w:lang w:val="en-US"/>
        </w:rPr>
        <w:t>where “</w:t>
      </w:r>
      <w:proofErr w:type="spellStart"/>
      <w:r w:rsidR="00A363E2" w:rsidRPr="009A7B0F">
        <w:rPr>
          <w:rFonts w:ascii="Times New Roman" w:hAnsi="Times New Roman" w:cs="Times New Roman"/>
          <w:sz w:val="28"/>
          <w:szCs w:val="28"/>
          <w:lang w:val="en-US"/>
        </w:rPr>
        <w:t>Samruk</w:t>
      </w:r>
      <w:proofErr w:type="spellEnd"/>
      <w:r w:rsidR="00A363E2" w:rsidRPr="009A7B0F">
        <w:rPr>
          <w:rFonts w:ascii="Times New Roman" w:hAnsi="Times New Roman" w:cs="Times New Roman"/>
          <w:sz w:val="28"/>
          <w:szCs w:val="28"/>
          <w:lang w:val="en-US"/>
        </w:rPr>
        <w:t xml:space="preserve">-Energy” JSC holds </w:t>
      </w:r>
      <w:r w:rsidRPr="009A7B0F">
        <w:rPr>
          <w:rFonts w:ascii="Times New Roman" w:hAnsi="Times New Roman" w:cs="Times New Roman"/>
          <w:sz w:val="28"/>
          <w:szCs w:val="28"/>
          <w:lang w:val="en-US"/>
        </w:rPr>
        <w:t>50% interest</w:t>
      </w:r>
      <w:r w:rsidR="00A363E2" w:rsidRPr="009A7B0F">
        <w:rPr>
          <w:rFonts w:ascii="Times New Roman" w:hAnsi="Times New Roman" w:cs="Times New Roman"/>
          <w:sz w:val="28"/>
          <w:szCs w:val="28"/>
          <w:lang w:val="en-US"/>
        </w:rPr>
        <w:t xml:space="preserve">, were excluded from the consolidated balance when using the equity method. </w:t>
      </w:r>
    </w:p>
    <w:p w:rsidR="00A363E2" w:rsidRPr="009A7B0F" w:rsidRDefault="00A363E2"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When generating a consolidated financial result of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 xml:space="preserve">-Energy” JSC, the profit share of these companies is reflected in the item “the share of profit/loss of organizations accounted using the equity method” </w:t>
      </w:r>
    </w:p>
    <w:p w:rsidR="0088591E" w:rsidRPr="009A7B0F" w:rsidRDefault="0088591E"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In addition</w:t>
      </w:r>
      <w:r w:rsidR="00D26124" w:rsidRPr="009A7B0F">
        <w:rPr>
          <w:rFonts w:ascii="Times New Roman" w:hAnsi="Times New Roman" w:cs="Times New Roman"/>
          <w:sz w:val="28"/>
          <w:szCs w:val="28"/>
          <w:lang w:val="en-US"/>
        </w:rPr>
        <w:t>, financial</w:t>
      </w:r>
      <w:r w:rsidRPr="009A7B0F">
        <w:rPr>
          <w:rFonts w:ascii="Times New Roman" w:hAnsi="Times New Roman" w:cs="Times New Roman"/>
          <w:sz w:val="28"/>
          <w:szCs w:val="28"/>
          <w:lang w:val="en-US"/>
        </w:rPr>
        <w:t xml:space="preserve"> result of </w:t>
      </w:r>
      <w:r w:rsidR="00D26124" w:rsidRPr="009A7B0F">
        <w:rPr>
          <w:rFonts w:ascii="Times New Roman" w:hAnsi="Times New Roman" w:cs="Times New Roman"/>
          <w:sz w:val="28"/>
          <w:szCs w:val="28"/>
          <w:lang w:val="en-US"/>
        </w:rPr>
        <w:t xml:space="preserve">the </w:t>
      </w:r>
      <w:r w:rsidRPr="009A7B0F">
        <w:rPr>
          <w:rFonts w:ascii="Times New Roman" w:hAnsi="Times New Roman" w:cs="Times New Roman"/>
          <w:sz w:val="28"/>
          <w:szCs w:val="28"/>
          <w:lang w:val="en-US"/>
        </w:rPr>
        <w:t xml:space="preserve">associated </w:t>
      </w:r>
      <w:r w:rsidR="00D26124" w:rsidRPr="009A7B0F">
        <w:rPr>
          <w:rFonts w:ascii="Times New Roman" w:hAnsi="Times New Roman" w:cs="Times New Roman"/>
          <w:sz w:val="28"/>
          <w:szCs w:val="28"/>
          <w:lang w:val="en-US"/>
        </w:rPr>
        <w:t>company “</w:t>
      </w:r>
      <w:r w:rsidRPr="009A7B0F">
        <w:rPr>
          <w:rFonts w:ascii="Times New Roman" w:hAnsi="Times New Roman" w:cs="Times New Roman"/>
          <w:sz w:val="28"/>
          <w:szCs w:val="28"/>
          <w:lang w:val="en-US"/>
        </w:rPr>
        <w:t>Balkhash TPP"</w:t>
      </w:r>
      <w:r w:rsidR="00D26124" w:rsidRPr="009A7B0F">
        <w:rPr>
          <w:rFonts w:ascii="Times New Roman" w:hAnsi="Times New Roman" w:cs="Times New Roman"/>
          <w:sz w:val="28"/>
          <w:szCs w:val="28"/>
          <w:lang w:val="en-US"/>
        </w:rPr>
        <w:t xml:space="preserve"> JSC</w:t>
      </w:r>
      <w:r w:rsidRPr="009A7B0F">
        <w:rPr>
          <w:rFonts w:ascii="Times New Roman" w:hAnsi="Times New Roman" w:cs="Times New Roman"/>
          <w:sz w:val="28"/>
          <w:szCs w:val="28"/>
          <w:lang w:val="en-US"/>
        </w:rPr>
        <w:t xml:space="preserve"> </w:t>
      </w:r>
      <w:r w:rsidR="00D26124"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37.92% </w:t>
      </w:r>
      <w:r w:rsidR="00D26124" w:rsidRPr="009A7B0F">
        <w:rPr>
          <w:rFonts w:ascii="Times New Roman" w:hAnsi="Times New Roman" w:cs="Times New Roman"/>
          <w:sz w:val="28"/>
          <w:szCs w:val="28"/>
          <w:lang w:val="en-US"/>
        </w:rPr>
        <w:t xml:space="preserve">interest) is shown the in equity income </w:t>
      </w:r>
    </w:p>
    <w:p w:rsidR="0088591E" w:rsidRPr="009A7B0F" w:rsidRDefault="0088591E"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Acquisitions of subsidiaries are accounted for using the purchase method and are </w:t>
      </w:r>
      <w:r w:rsidR="00D26124" w:rsidRPr="009A7B0F">
        <w:rPr>
          <w:rFonts w:ascii="Times New Roman" w:hAnsi="Times New Roman" w:cs="Times New Roman"/>
          <w:sz w:val="28"/>
          <w:szCs w:val="28"/>
          <w:lang w:val="en-US"/>
        </w:rPr>
        <w:t>evaluated</w:t>
      </w:r>
      <w:r w:rsidRPr="009A7B0F">
        <w:rPr>
          <w:rFonts w:ascii="Times New Roman" w:hAnsi="Times New Roman" w:cs="Times New Roman"/>
          <w:sz w:val="28"/>
          <w:szCs w:val="28"/>
          <w:lang w:val="en-US"/>
        </w:rPr>
        <w:t xml:space="preserve"> at their fair value at the acquisition date.</w:t>
      </w:r>
    </w:p>
    <w:p w:rsidR="0088591E" w:rsidRPr="009A7B0F" w:rsidRDefault="0088591E"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Transactions in foreign currencies are translated into local currency at the exchange rate on the transaction dates. Gains and losses from exchange rate differences resulting from </w:t>
      </w:r>
      <w:r w:rsidR="00240BA2" w:rsidRPr="009A7B0F">
        <w:rPr>
          <w:rFonts w:ascii="Times New Roman" w:hAnsi="Times New Roman" w:cs="Times New Roman"/>
          <w:sz w:val="28"/>
          <w:szCs w:val="28"/>
          <w:lang w:val="en-US"/>
        </w:rPr>
        <w:t>payments</w:t>
      </w:r>
      <w:r w:rsidRPr="009A7B0F">
        <w:rPr>
          <w:rFonts w:ascii="Times New Roman" w:hAnsi="Times New Roman" w:cs="Times New Roman"/>
          <w:sz w:val="28"/>
          <w:szCs w:val="28"/>
          <w:lang w:val="en-US"/>
        </w:rPr>
        <w:t xml:space="preserve"> </w:t>
      </w:r>
      <w:r w:rsidR="001F28C0" w:rsidRPr="009A7B0F">
        <w:rPr>
          <w:rFonts w:ascii="Times New Roman" w:hAnsi="Times New Roman" w:cs="Times New Roman"/>
          <w:sz w:val="28"/>
          <w:szCs w:val="28"/>
          <w:lang w:val="en-US"/>
        </w:rPr>
        <w:t>on</w:t>
      </w:r>
      <w:r w:rsidRPr="009A7B0F">
        <w:rPr>
          <w:rFonts w:ascii="Times New Roman" w:hAnsi="Times New Roman" w:cs="Times New Roman"/>
          <w:sz w:val="28"/>
          <w:szCs w:val="28"/>
          <w:lang w:val="en-US"/>
        </w:rPr>
        <w:t xml:space="preserve"> such transactions and from the translation of monetary assets</w:t>
      </w:r>
      <w:r w:rsidR="00240BA2" w:rsidRPr="009A7B0F">
        <w:rPr>
          <w:rFonts w:ascii="Times New Roman" w:hAnsi="Times New Roman" w:cs="Times New Roman"/>
          <w:sz w:val="28"/>
          <w:szCs w:val="28"/>
          <w:lang w:val="en-US"/>
        </w:rPr>
        <w:t xml:space="preserve"> and</w:t>
      </w:r>
      <w:r w:rsidRPr="009A7B0F">
        <w:rPr>
          <w:rFonts w:ascii="Times New Roman" w:hAnsi="Times New Roman" w:cs="Times New Roman"/>
          <w:sz w:val="28"/>
          <w:szCs w:val="28"/>
          <w:lang w:val="en-US"/>
        </w:rPr>
        <w:t xml:space="preserve"> </w:t>
      </w:r>
      <w:r w:rsidR="00240BA2" w:rsidRPr="009A7B0F">
        <w:rPr>
          <w:rFonts w:ascii="Times New Roman" w:hAnsi="Times New Roman" w:cs="Times New Roman"/>
          <w:sz w:val="28"/>
          <w:szCs w:val="28"/>
          <w:lang w:val="en-US"/>
        </w:rPr>
        <w:t xml:space="preserve">liabilities </w:t>
      </w:r>
      <w:r w:rsidRPr="009A7B0F">
        <w:rPr>
          <w:rFonts w:ascii="Times New Roman" w:hAnsi="Times New Roman" w:cs="Times New Roman"/>
          <w:sz w:val="28"/>
          <w:szCs w:val="28"/>
          <w:lang w:val="en-US"/>
        </w:rPr>
        <w:t xml:space="preserve">denominated in foreign currencies at the exchange rates at </w:t>
      </w:r>
      <w:r w:rsidR="00240BA2" w:rsidRPr="009A7B0F">
        <w:rPr>
          <w:rFonts w:ascii="Times New Roman" w:hAnsi="Times New Roman" w:cs="Times New Roman"/>
          <w:sz w:val="28"/>
          <w:szCs w:val="28"/>
          <w:lang w:val="en-US"/>
        </w:rPr>
        <w:t xml:space="preserve">the </w:t>
      </w:r>
      <w:r w:rsidRPr="009A7B0F">
        <w:rPr>
          <w:rFonts w:ascii="Times New Roman" w:hAnsi="Times New Roman" w:cs="Times New Roman"/>
          <w:sz w:val="28"/>
          <w:szCs w:val="28"/>
          <w:lang w:val="en-US"/>
        </w:rPr>
        <w:t xml:space="preserve">year-end are </w:t>
      </w:r>
      <w:r w:rsidR="00240BA2" w:rsidRPr="009A7B0F">
        <w:rPr>
          <w:rFonts w:ascii="Times New Roman" w:hAnsi="Times New Roman" w:cs="Times New Roman"/>
          <w:sz w:val="28"/>
          <w:szCs w:val="28"/>
          <w:lang w:val="en-US"/>
        </w:rPr>
        <w:t>stated</w:t>
      </w:r>
      <w:r w:rsidRPr="009A7B0F">
        <w:rPr>
          <w:rFonts w:ascii="Times New Roman" w:hAnsi="Times New Roman" w:cs="Times New Roman"/>
          <w:sz w:val="28"/>
          <w:szCs w:val="28"/>
          <w:lang w:val="en-US"/>
        </w:rPr>
        <w:t xml:space="preserve"> in profit </w:t>
      </w:r>
      <w:r w:rsidR="00240BA2" w:rsidRPr="009A7B0F">
        <w:rPr>
          <w:rFonts w:ascii="Times New Roman" w:hAnsi="Times New Roman" w:cs="Times New Roman"/>
          <w:sz w:val="28"/>
          <w:szCs w:val="28"/>
          <w:lang w:val="en-US"/>
        </w:rPr>
        <w:t>and</w:t>
      </w:r>
      <w:r w:rsidRPr="009A7B0F">
        <w:rPr>
          <w:rFonts w:ascii="Times New Roman" w:hAnsi="Times New Roman" w:cs="Times New Roman"/>
          <w:sz w:val="28"/>
          <w:szCs w:val="28"/>
          <w:lang w:val="en-US"/>
        </w:rPr>
        <w:t xml:space="preserve"> loss</w:t>
      </w:r>
      <w:r w:rsidR="00240BA2" w:rsidRPr="009A7B0F">
        <w:rPr>
          <w:rFonts w:ascii="Times New Roman" w:hAnsi="Times New Roman" w:cs="Times New Roman"/>
          <w:sz w:val="28"/>
          <w:szCs w:val="28"/>
          <w:lang w:val="en-US"/>
        </w:rPr>
        <w:t>es</w:t>
      </w:r>
      <w:r w:rsidRPr="009A7B0F">
        <w:rPr>
          <w:rFonts w:ascii="Times New Roman" w:hAnsi="Times New Roman" w:cs="Times New Roman"/>
          <w:sz w:val="28"/>
          <w:szCs w:val="28"/>
          <w:lang w:val="en-US"/>
        </w:rPr>
        <w:t>.</w:t>
      </w:r>
    </w:p>
    <w:p w:rsidR="0088591E" w:rsidRPr="009A7B0F" w:rsidRDefault="0088591E"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Financial instruments </w:t>
      </w:r>
      <w:r w:rsidR="00ED14B1" w:rsidRPr="009A7B0F">
        <w:rPr>
          <w:rFonts w:ascii="Times New Roman" w:hAnsi="Times New Roman" w:cs="Times New Roman"/>
          <w:sz w:val="28"/>
          <w:szCs w:val="28"/>
          <w:lang w:val="en-US"/>
        </w:rPr>
        <w:t>are mentioned</w:t>
      </w:r>
      <w:r w:rsidRPr="009A7B0F">
        <w:rPr>
          <w:rFonts w:ascii="Times New Roman" w:hAnsi="Times New Roman" w:cs="Times New Roman"/>
          <w:sz w:val="28"/>
          <w:szCs w:val="28"/>
          <w:lang w:val="en-US"/>
        </w:rPr>
        <w:t xml:space="preserve"> at fair value,</w:t>
      </w:r>
      <w:r w:rsidR="00ED14B1" w:rsidRPr="009A7B0F">
        <w:rPr>
          <w:rFonts w:ascii="Times New Roman" w:hAnsi="Times New Roman" w:cs="Times New Roman"/>
          <w:sz w:val="28"/>
          <w:szCs w:val="28"/>
          <w:lang w:val="en-US"/>
        </w:rPr>
        <w:t xml:space="preserve"> initial</w:t>
      </w:r>
      <w:r w:rsidRPr="009A7B0F">
        <w:rPr>
          <w:rFonts w:ascii="Times New Roman" w:hAnsi="Times New Roman" w:cs="Times New Roman"/>
          <w:sz w:val="28"/>
          <w:szCs w:val="28"/>
          <w:lang w:val="en-US"/>
        </w:rPr>
        <w:t xml:space="preserve"> cost or amortized cost d</w:t>
      </w:r>
      <w:r w:rsidR="00ED14B1" w:rsidRPr="009A7B0F">
        <w:rPr>
          <w:rFonts w:ascii="Times New Roman" w:hAnsi="Times New Roman" w:cs="Times New Roman"/>
          <w:sz w:val="28"/>
          <w:szCs w:val="28"/>
          <w:lang w:val="en-US"/>
        </w:rPr>
        <w:t>epending on their category</w:t>
      </w:r>
      <w:r w:rsidRPr="009A7B0F">
        <w:rPr>
          <w:rFonts w:ascii="Times New Roman" w:hAnsi="Times New Roman" w:cs="Times New Roman"/>
          <w:sz w:val="28"/>
          <w:szCs w:val="28"/>
          <w:lang w:val="en-US"/>
        </w:rPr>
        <w:t>.</w:t>
      </w:r>
    </w:p>
    <w:p w:rsidR="0088591E" w:rsidRPr="009A7B0F" w:rsidRDefault="0088591E"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Depreciation</w:t>
      </w:r>
      <w:r w:rsidR="00ED14B1" w:rsidRPr="009A7B0F">
        <w:rPr>
          <w:rFonts w:ascii="Times New Roman" w:hAnsi="Times New Roman" w:cs="Times New Roman"/>
          <w:sz w:val="28"/>
          <w:szCs w:val="28"/>
          <w:lang w:val="en-US"/>
        </w:rPr>
        <w:t xml:space="preserve"> of fixed assets</w:t>
      </w:r>
      <w:r w:rsidRPr="009A7B0F">
        <w:rPr>
          <w:rFonts w:ascii="Times New Roman" w:hAnsi="Times New Roman" w:cs="Times New Roman"/>
          <w:sz w:val="28"/>
          <w:szCs w:val="28"/>
          <w:lang w:val="en-US"/>
        </w:rPr>
        <w:t xml:space="preserve"> is calculated </w:t>
      </w:r>
      <w:r w:rsidR="00ED14B1" w:rsidRPr="009A7B0F">
        <w:rPr>
          <w:rFonts w:ascii="Times New Roman" w:hAnsi="Times New Roman" w:cs="Times New Roman"/>
          <w:sz w:val="28"/>
          <w:szCs w:val="28"/>
          <w:lang w:val="en-US"/>
        </w:rPr>
        <w:t xml:space="preserve">according to </w:t>
      </w:r>
      <w:r w:rsidRPr="009A7B0F">
        <w:rPr>
          <w:rFonts w:ascii="Times New Roman" w:hAnsi="Times New Roman" w:cs="Times New Roman"/>
          <w:sz w:val="28"/>
          <w:szCs w:val="28"/>
          <w:lang w:val="en-US"/>
        </w:rPr>
        <w:t>straight line</w:t>
      </w:r>
      <w:r w:rsidR="00ED14B1" w:rsidRPr="009A7B0F">
        <w:rPr>
          <w:rFonts w:ascii="Times New Roman" w:hAnsi="Times New Roman" w:cs="Times New Roman"/>
          <w:sz w:val="28"/>
          <w:szCs w:val="28"/>
          <w:lang w:val="en-US"/>
        </w:rPr>
        <w:t xml:space="preserve"> depreciation</w:t>
      </w:r>
      <w:r w:rsidRPr="009A7B0F">
        <w:rPr>
          <w:rFonts w:ascii="Times New Roman" w:hAnsi="Times New Roman" w:cs="Times New Roman"/>
          <w:sz w:val="28"/>
          <w:szCs w:val="28"/>
          <w:lang w:val="en-US"/>
        </w:rPr>
        <w:t xml:space="preserve"> </w:t>
      </w:r>
      <w:r w:rsidR="00ED14B1" w:rsidRPr="009A7B0F">
        <w:rPr>
          <w:rFonts w:ascii="Times New Roman" w:hAnsi="Times New Roman" w:cs="Times New Roman"/>
          <w:sz w:val="28"/>
          <w:szCs w:val="28"/>
          <w:lang w:val="en-US"/>
        </w:rPr>
        <w:t>method of</w:t>
      </w:r>
      <w:r w:rsidRPr="009A7B0F">
        <w:rPr>
          <w:rFonts w:ascii="Times New Roman" w:hAnsi="Times New Roman" w:cs="Times New Roman"/>
          <w:sz w:val="28"/>
          <w:szCs w:val="28"/>
          <w:lang w:val="en-US"/>
        </w:rPr>
        <w:t xml:space="preserve"> their</w:t>
      </w:r>
      <w:r w:rsidR="00ED14B1"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cost </w:t>
      </w:r>
      <w:r w:rsidR="000C37B7" w:rsidRPr="009A7B0F">
        <w:rPr>
          <w:rFonts w:ascii="Times New Roman" w:hAnsi="Times New Roman" w:cs="Times New Roman"/>
          <w:sz w:val="28"/>
          <w:szCs w:val="28"/>
          <w:lang w:val="en-US"/>
        </w:rPr>
        <w:t>until their liquidation cost over their useful life.</w:t>
      </w:r>
      <w:r w:rsidRPr="009A7B0F">
        <w:rPr>
          <w:rFonts w:ascii="Times New Roman" w:hAnsi="Times New Roman" w:cs="Times New Roman"/>
          <w:sz w:val="28"/>
          <w:szCs w:val="28"/>
          <w:lang w:val="en-US"/>
        </w:rPr>
        <w:t xml:space="preserve"> All intangible assets are </w:t>
      </w:r>
      <w:r w:rsidR="000C37B7" w:rsidRPr="009A7B0F">
        <w:rPr>
          <w:rFonts w:ascii="Times New Roman" w:hAnsi="Times New Roman" w:cs="Times New Roman"/>
          <w:sz w:val="28"/>
          <w:szCs w:val="28"/>
          <w:lang w:val="en-US"/>
        </w:rPr>
        <w:t>depreciated according to</w:t>
      </w:r>
      <w:r w:rsidRPr="009A7B0F">
        <w:rPr>
          <w:rFonts w:ascii="Times New Roman" w:hAnsi="Times New Roman" w:cs="Times New Roman"/>
          <w:sz w:val="28"/>
          <w:szCs w:val="28"/>
          <w:lang w:val="en-US"/>
        </w:rPr>
        <w:t xml:space="preserve"> straight-line</w:t>
      </w:r>
      <w:r w:rsidR="000C37B7" w:rsidRPr="009A7B0F">
        <w:rPr>
          <w:rFonts w:ascii="Times New Roman" w:hAnsi="Times New Roman" w:cs="Times New Roman"/>
          <w:sz w:val="28"/>
          <w:szCs w:val="28"/>
          <w:lang w:val="en-US"/>
        </w:rPr>
        <w:t xml:space="preserve"> method.</w:t>
      </w:r>
    </w:p>
    <w:p w:rsidR="0088591E" w:rsidRPr="009A7B0F" w:rsidRDefault="0088591E"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Goodwill is </w:t>
      </w:r>
      <w:r w:rsidR="000C37B7" w:rsidRPr="009A7B0F">
        <w:rPr>
          <w:rFonts w:ascii="Times New Roman" w:hAnsi="Times New Roman" w:cs="Times New Roman"/>
          <w:sz w:val="28"/>
          <w:szCs w:val="28"/>
          <w:lang w:val="en-US"/>
        </w:rPr>
        <w:t>carried at</w:t>
      </w:r>
      <w:r w:rsidRPr="009A7B0F">
        <w:rPr>
          <w:rFonts w:ascii="Times New Roman" w:hAnsi="Times New Roman" w:cs="Times New Roman"/>
          <w:sz w:val="28"/>
          <w:szCs w:val="28"/>
          <w:lang w:val="en-US"/>
        </w:rPr>
        <w:t xml:space="preserve"> cost less accumulated impairment losses. Testing of goodwill is carried out once a year</w:t>
      </w:r>
      <w:r w:rsidR="000C37B7" w:rsidRPr="009A7B0F">
        <w:rPr>
          <w:rFonts w:ascii="Times New Roman" w:hAnsi="Times New Roman" w:cs="Times New Roman"/>
          <w:sz w:val="28"/>
          <w:szCs w:val="28"/>
          <w:lang w:val="en-US"/>
        </w:rPr>
        <w:t xml:space="preserve"> at a minimum</w:t>
      </w:r>
      <w:r w:rsidRPr="009A7B0F">
        <w:rPr>
          <w:rFonts w:ascii="Times New Roman" w:hAnsi="Times New Roman" w:cs="Times New Roman"/>
          <w:sz w:val="28"/>
          <w:szCs w:val="28"/>
          <w:lang w:val="en-US"/>
        </w:rPr>
        <w:t>.</w:t>
      </w:r>
    </w:p>
    <w:p w:rsidR="0088591E" w:rsidRPr="009A7B0F" w:rsidRDefault="000C37B7"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D</w:t>
      </w:r>
      <w:r w:rsidR="0088591E" w:rsidRPr="009A7B0F">
        <w:rPr>
          <w:rFonts w:ascii="Times New Roman" w:hAnsi="Times New Roman" w:cs="Times New Roman"/>
          <w:sz w:val="28"/>
          <w:szCs w:val="28"/>
          <w:lang w:val="en-US"/>
        </w:rPr>
        <w:t xml:space="preserve">isposed </w:t>
      </w:r>
      <w:r w:rsidRPr="009A7B0F">
        <w:rPr>
          <w:rFonts w:ascii="Times New Roman" w:hAnsi="Times New Roman" w:cs="Times New Roman"/>
          <w:sz w:val="28"/>
          <w:szCs w:val="28"/>
          <w:lang w:val="en-US"/>
        </w:rPr>
        <w:t xml:space="preserve">asset </w:t>
      </w:r>
      <w:r w:rsidR="0088591E" w:rsidRPr="009A7B0F">
        <w:rPr>
          <w:rFonts w:ascii="Times New Roman" w:hAnsi="Times New Roman" w:cs="Times New Roman"/>
          <w:sz w:val="28"/>
          <w:szCs w:val="28"/>
          <w:lang w:val="en-US"/>
        </w:rPr>
        <w:t>or</w:t>
      </w:r>
      <w:r w:rsidR="00EC1926" w:rsidRPr="009A7B0F">
        <w:rPr>
          <w:rFonts w:ascii="Times New Roman" w:hAnsi="Times New Roman" w:cs="Times New Roman"/>
          <w:sz w:val="28"/>
          <w:szCs w:val="28"/>
          <w:lang w:val="en-US"/>
        </w:rPr>
        <w:t xml:space="preserve"> the asset</w:t>
      </w:r>
      <w:r w:rsidR="0088591E" w:rsidRPr="009A7B0F">
        <w:rPr>
          <w:rFonts w:ascii="Times New Roman" w:hAnsi="Times New Roman" w:cs="Times New Roman"/>
          <w:sz w:val="28"/>
          <w:szCs w:val="28"/>
          <w:lang w:val="en-US"/>
        </w:rPr>
        <w:t xml:space="preserve"> classified as held for sale</w:t>
      </w:r>
      <w:r w:rsidRPr="009A7B0F">
        <w:rPr>
          <w:rFonts w:ascii="Times New Roman" w:hAnsi="Times New Roman" w:cs="Times New Roman"/>
          <w:sz w:val="28"/>
          <w:szCs w:val="28"/>
          <w:lang w:val="en-US"/>
        </w:rPr>
        <w:t xml:space="preserve"> is accounted in discontinued operations</w:t>
      </w:r>
      <w:r w:rsidR="0088591E" w:rsidRPr="009A7B0F">
        <w:rPr>
          <w:rFonts w:ascii="Times New Roman" w:hAnsi="Times New Roman" w:cs="Times New Roman"/>
          <w:sz w:val="28"/>
          <w:szCs w:val="28"/>
          <w:lang w:val="en-US"/>
        </w:rPr>
        <w:t>;</w:t>
      </w:r>
      <w:r w:rsidR="00EF388C" w:rsidRPr="009A7B0F">
        <w:rPr>
          <w:rFonts w:ascii="Times New Roman" w:hAnsi="Times New Roman" w:cs="Times New Roman"/>
          <w:sz w:val="28"/>
          <w:szCs w:val="28"/>
          <w:lang w:val="en-US"/>
        </w:rPr>
        <w:t xml:space="preserve"> this asset may represent a</w:t>
      </w:r>
      <w:r w:rsidR="0088591E" w:rsidRPr="009A7B0F">
        <w:rPr>
          <w:rFonts w:ascii="Times New Roman" w:hAnsi="Times New Roman" w:cs="Times New Roman"/>
          <w:sz w:val="28"/>
          <w:szCs w:val="28"/>
          <w:lang w:val="en-US"/>
        </w:rPr>
        <w:t xml:space="preserve"> major </w:t>
      </w:r>
      <w:r w:rsidR="00EF388C" w:rsidRPr="009A7B0F">
        <w:rPr>
          <w:rFonts w:ascii="Times New Roman" w:hAnsi="Times New Roman" w:cs="Times New Roman"/>
          <w:sz w:val="28"/>
          <w:szCs w:val="28"/>
          <w:lang w:val="en-US"/>
        </w:rPr>
        <w:t xml:space="preserve">type of business, and be part of a single plan for disposal of assets of the Company’s group. </w:t>
      </w:r>
    </w:p>
    <w:p w:rsidR="002C5CCA" w:rsidRPr="009A7B0F" w:rsidRDefault="002C5CCA" w:rsidP="009A7B0F">
      <w:pPr>
        <w:spacing w:after="0"/>
        <w:ind w:right="-143" w:firstLine="709"/>
        <w:jc w:val="both"/>
        <w:rPr>
          <w:rFonts w:ascii="Times New Roman" w:hAnsi="Times New Roman" w:cs="Times New Roman"/>
          <w:b/>
          <w:sz w:val="28"/>
          <w:szCs w:val="28"/>
          <w:u w:val="single"/>
          <w:lang w:val="en-US"/>
        </w:rPr>
      </w:pPr>
    </w:p>
    <w:p w:rsidR="002C5CCA" w:rsidRPr="009A7B0F" w:rsidRDefault="002C5CCA" w:rsidP="009A7B0F">
      <w:pPr>
        <w:spacing w:after="0"/>
        <w:ind w:right="-143" w:firstLine="709"/>
        <w:jc w:val="both"/>
        <w:rPr>
          <w:rFonts w:ascii="Times New Roman" w:hAnsi="Times New Roman" w:cs="Times New Roman"/>
          <w:b/>
          <w:sz w:val="28"/>
          <w:szCs w:val="28"/>
          <w:u w:val="single"/>
          <w:lang w:val="en-US"/>
        </w:rPr>
      </w:pPr>
      <w:proofErr w:type="gramStart"/>
      <w:r w:rsidRPr="009A7B0F">
        <w:rPr>
          <w:rFonts w:ascii="Times New Roman" w:hAnsi="Times New Roman" w:cs="Times New Roman"/>
          <w:b/>
          <w:sz w:val="28"/>
          <w:szCs w:val="28"/>
          <w:u w:val="single"/>
          <w:lang w:val="en-US"/>
        </w:rPr>
        <w:t>Performance results and significant factors that have an impact on operations.</w:t>
      </w:r>
      <w:proofErr w:type="gramEnd"/>
    </w:p>
    <w:p w:rsidR="002C5CCA" w:rsidRPr="009A7B0F" w:rsidRDefault="002C5CCA" w:rsidP="009A7B0F">
      <w:pPr>
        <w:spacing w:after="0"/>
        <w:ind w:right="-143" w:firstLine="709"/>
        <w:jc w:val="both"/>
        <w:rPr>
          <w:rFonts w:ascii="Times New Roman" w:hAnsi="Times New Roman" w:cs="Times New Roman"/>
          <w:b/>
          <w:sz w:val="28"/>
          <w:szCs w:val="28"/>
          <w:u w:val="single"/>
          <w:lang w:val="en-US"/>
        </w:rPr>
      </w:pPr>
    </w:p>
    <w:tbl>
      <w:tblPr>
        <w:tblW w:w="10205" w:type="dxa"/>
        <w:tblInd w:w="108" w:type="dxa"/>
        <w:tblLook w:val="04A0" w:firstRow="1" w:lastRow="0" w:firstColumn="1" w:lastColumn="0" w:noHBand="0" w:noVBand="1"/>
      </w:tblPr>
      <w:tblGrid>
        <w:gridCol w:w="554"/>
        <w:gridCol w:w="3243"/>
        <w:gridCol w:w="1437"/>
        <w:gridCol w:w="1309"/>
        <w:gridCol w:w="2060"/>
        <w:gridCol w:w="1602"/>
      </w:tblGrid>
      <w:tr w:rsidR="002C5CCA" w:rsidRPr="009A7B0F" w:rsidTr="00A101DE">
        <w:trPr>
          <w:trHeight w:val="276"/>
        </w:trPr>
        <w:tc>
          <w:tcPr>
            <w:tcW w:w="5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CCA" w:rsidRPr="009A7B0F" w:rsidRDefault="002C5CCA" w:rsidP="009A7B0F">
            <w:pPr>
              <w:ind w:right="-143" w:firstLine="709"/>
              <w:jc w:val="center"/>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val="en-US" w:eastAsia="ru-RU"/>
              </w:rPr>
              <w:t>No.</w:t>
            </w:r>
          </w:p>
        </w:tc>
        <w:tc>
          <w:tcPr>
            <w:tcW w:w="32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CCA" w:rsidRPr="009A7B0F" w:rsidRDefault="002C5CCA" w:rsidP="009A7B0F">
            <w:pPr>
              <w:ind w:right="-143"/>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val="en-US" w:eastAsia="ru-RU"/>
              </w:rPr>
              <w:t xml:space="preserve">Indicator, </w:t>
            </w:r>
            <w:proofErr w:type="spellStart"/>
            <w:r w:rsidRPr="009A7B0F">
              <w:rPr>
                <w:rFonts w:ascii="Times New Roman" w:hAnsi="Times New Roman" w:cs="Times New Roman"/>
                <w:b/>
                <w:bCs/>
                <w:color w:val="000000"/>
                <w:sz w:val="24"/>
                <w:szCs w:val="24"/>
                <w:lang w:val="en-US" w:eastAsia="ru-RU"/>
              </w:rPr>
              <w:t>mln.tenge</w:t>
            </w:r>
            <w:proofErr w:type="spellEnd"/>
          </w:p>
        </w:tc>
        <w:tc>
          <w:tcPr>
            <w:tcW w:w="14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2014</w:t>
            </w:r>
            <w:r w:rsidRPr="009A7B0F">
              <w:rPr>
                <w:rFonts w:ascii="Times New Roman" w:hAnsi="Times New Roman" w:cs="Times New Roman"/>
                <w:b/>
                <w:bCs/>
                <w:color w:val="000000"/>
                <w:sz w:val="24"/>
                <w:szCs w:val="24"/>
                <w:vertAlign w:val="superscript"/>
                <w:lang w:eastAsia="ru-RU"/>
              </w:rPr>
              <w:t>(1)</w:t>
            </w:r>
          </w:p>
        </w:tc>
        <w:tc>
          <w:tcPr>
            <w:tcW w:w="13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2015</w:t>
            </w:r>
          </w:p>
        </w:tc>
        <w:tc>
          <w:tcPr>
            <w:tcW w:w="2060" w:type="dxa"/>
            <w:tcBorders>
              <w:top w:val="single" w:sz="8" w:space="0" w:color="auto"/>
              <w:left w:val="nil"/>
              <w:bottom w:val="nil"/>
              <w:right w:val="single" w:sz="8" w:space="0" w:color="auto"/>
            </w:tcBorders>
            <w:shd w:val="clear" w:color="auto" w:fill="auto"/>
            <w:vAlign w:val="center"/>
            <w:hideMark/>
          </w:tcPr>
          <w:p w:rsidR="002C5CCA" w:rsidRPr="009A7B0F" w:rsidRDefault="002C5CCA" w:rsidP="00470E50">
            <w:pPr>
              <w:spacing w:line="240" w:lineRule="auto"/>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2016</w:t>
            </w:r>
          </w:p>
        </w:tc>
        <w:tc>
          <w:tcPr>
            <w:tcW w:w="1602" w:type="dxa"/>
            <w:tcBorders>
              <w:top w:val="single" w:sz="8" w:space="0" w:color="auto"/>
              <w:left w:val="nil"/>
              <w:bottom w:val="nil"/>
              <w:right w:val="single" w:sz="8" w:space="0" w:color="auto"/>
            </w:tcBorders>
            <w:shd w:val="clear" w:color="auto" w:fill="auto"/>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2017</w:t>
            </w:r>
          </w:p>
        </w:tc>
      </w:tr>
      <w:tr w:rsidR="002C5CCA" w:rsidRPr="009A7B0F" w:rsidTr="00A101DE">
        <w:trPr>
          <w:trHeight w:val="291"/>
        </w:trPr>
        <w:tc>
          <w:tcPr>
            <w:tcW w:w="554" w:type="dxa"/>
            <w:vMerge/>
            <w:tcBorders>
              <w:top w:val="single" w:sz="8" w:space="0" w:color="auto"/>
              <w:left w:val="single" w:sz="8" w:space="0" w:color="auto"/>
              <w:bottom w:val="single" w:sz="8" w:space="0" w:color="000000"/>
              <w:right w:val="single" w:sz="8" w:space="0" w:color="auto"/>
            </w:tcBorders>
            <w:vAlign w:val="center"/>
            <w:hideMark/>
          </w:tcPr>
          <w:p w:rsidR="002C5CCA" w:rsidRPr="009A7B0F" w:rsidRDefault="002C5CCA" w:rsidP="009A7B0F">
            <w:pPr>
              <w:ind w:right="-143" w:firstLine="709"/>
              <w:rPr>
                <w:rFonts w:ascii="Times New Roman" w:hAnsi="Times New Roman" w:cs="Times New Roman"/>
                <w:b/>
                <w:bCs/>
                <w:color w:val="000000"/>
                <w:sz w:val="24"/>
                <w:szCs w:val="24"/>
                <w:lang w:eastAsia="ru-RU"/>
              </w:rPr>
            </w:pPr>
          </w:p>
        </w:tc>
        <w:tc>
          <w:tcPr>
            <w:tcW w:w="3243" w:type="dxa"/>
            <w:vMerge/>
            <w:tcBorders>
              <w:top w:val="single" w:sz="8" w:space="0" w:color="auto"/>
              <w:left w:val="single" w:sz="8" w:space="0" w:color="auto"/>
              <w:bottom w:val="single" w:sz="8" w:space="0" w:color="000000"/>
              <w:right w:val="single" w:sz="8" w:space="0" w:color="auto"/>
            </w:tcBorders>
            <w:vAlign w:val="center"/>
            <w:hideMark/>
          </w:tcPr>
          <w:p w:rsidR="002C5CCA" w:rsidRPr="009A7B0F" w:rsidRDefault="002C5CCA" w:rsidP="009A7B0F">
            <w:pPr>
              <w:ind w:right="-143" w:firstLine="709"/>
              <w:rPr>
                <w:rFonts w:ascii="Times New Roman" w:hAnsi="Times New Roman" w:cs="Times New Roman"/>
                <w:b/>
                <w:bCs/>
                <w:color w:val="000000"/>
                <w:sz w:val="24"/>
                <w:szCs w:val="24"/>
                <w:lang w:eastAsia="ru-RU"/>
              </w:rPr>
            </w:pPr>
          </w:p>
        </w:tc>
        <w:tc>
          <w:tcPr>
            <w:tcW w:w="1437" w:type="dxa"/>
            <w:vMerge/>
            <w:tcBorders>
              <w:top w:val="single" w:sz="8" w:space="0" w:color="auto"/>
              <w:left w:val="single" w:sz="8" w:space="0" w:color="auto"/>
              <w:bottom w:val="single" w:sz="8" w:space="0" w:color="000000"/>
              <w:right w:val="single" w:sz="8" w:space="0" w:color="auto"/>
            </w:tcBorders>
            <w:vAlign w:val="center"/>
            <w:hideMark/>
          </w:tcPr>
          <w:p w:rsidR="002C5CCA" w:rsidRPr="009A7B0F" w:rsidRDefault="002C5CCA" w:rsidP="00470E50">
            <w:pPr>
              <w:ind w:right="-143" w:firstLine="709"/>
              <w:jc w:val="center"/>
              <w:rPr>
                <w:rFonts w:ascii="Times New Roman" w:hAnsi="Times New Roman" w:cs="Times New Roman"/>
                <w:b/>
                <w:bCs/>
                <w:color w:val="000000"/>
                <w:sz w:val="24"/>
                <w:szCs w:val="24"/>
                <w:lang w:eastAsia="ru-RU"/>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2C5CCA" w:rsidRPr="009A7B0F" w:rsidRDefault="002C5CCA" w:rsidP="00470E50">
            <w:pPr>
              <w:ind w:right="-143" w:firstLine="709"/>
              <w:jc w:val="center"/>
              <w:rPr>
                <w:rFonts w:ascii="Times New Roman" w:hAnsi="Times New Roman" w:cs="Times New Roman"/>
                <w:b/>
                <w:bCs/>
                <w:color w:val="000000"/>
                <w:sz w:val="24"/>
                <w:szCs w:val="24"/>
                <w:lang w:eastAsia="ru-RU"/>
              </w:rPr>
            </w:pPr>
          </w:p>
        </w:tc>
        <w:tc>
          <w:tcPr>
            <w:tcW w:w="2060" w:type="dxa"/>
            <w:tcBorders>
              <w:top w:val="nil"/>
              <w:left w:val="nil"/>
              <w:bottom w:val="single" w:sz="8" w:space="0" w:color="auto"/>
              <w:right w:val="single" w:sz="8" w:space="0" w:color="auto"/>
            </w:tcBorders>
            <w:shd w:val="clear" w:color="auto" w:fill="auto"/>
            <w:vAlign w:val="center"/>
            <w:hideMark/>
          </w:tcPr>
          <w:p w:rsidR="002C5CCA" w:rsidRPr="009A7B0F" w:rsidRDefault="002C5CCA" w:rsidP="00470E50">
            <w:pPr>
              <w:spacing w:line="240" w:lineRule="auto"/>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(forecast)</w:t>
            </w:r>
          </w:p>
        </w:tc>
        <w:tc>
          <w:tcPr>
            <w:tcW w:w="1602" w:type="dxa"/>
            <w:tcBorders>
              <w:top w:val="nil"/>
              <w:left w:val="nil"/>
              <w:bottom w:val="single" w:sz="8" w:space="0" w:color="auto"/>
              <w:right w:val="single" w:sz="8" w:space="0" w:color="auto"/>
            </w:tcBorders>
            <w:shd w:val="clear" w:color="auto" w:fill="auto"/>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w:t>
            </w:r>
            <w:r w:rsidRPr="009A7B0F">
              <w:rPr>
                <w:rFonts w:ascii="Times New Roman" w:hAnsi="Times New Roman" w:cs="Times New Roman"/>
                <w:b/>
                <w:bCs/>
                <w:color w:val="000000"/>
                <w:sz w:val="24"/>
                <w:szCs w:val="24"/>
                <w:lang w:val="en-US" w:eastAsia="ru-RU"/>
              </w:rPr>
              <w:t>forecast</w:t>
            </w:r>
            <w:r w:rsidRPr="009A7B0F">
              <w:rPr>
                <w:rFonts w:ascii="Times New Roman" w:hAnsi="Times New Roman" w:cs="Times New Roman"/>
                <w:b/>
                <w:bCs/>
                <w:color w:val="000000"/>
                <w:sz w:val="24"/>
                <w:szCs w:val="24"/>
                <w:lang w:eastAsia="ru-RU"/>
              </w:rPr>
              <w:t>)</w:t>
            </w:r>
          </w:p>
        </w:tc>
      </w:tr>
      <w:tr w:rsidR="002C5CCA" w:rsidRPr="009A7B0F" w:rsidTr="00A101DE">
        <w:trPr>
          <w:trHeight w:val="634"/>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9A7B0F" w:rsidRDefault="00A101DE" w:rsidP="009A7B0F">
            <w:pPr>
              <w:ind w:right="-143" w:firstLine="709"/>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val="en-US" w:eastAsia="ru-RU"/>
              </w:rPr>
              <w:t>1</w:t>
            </w:r>
            <w:r w:rsidR="002C5CCA" w:rsidRPr="009A7B0F">
              <w:rPr>
                <w:rFonts w:ascii="Times New Roman" w:hAnsi="Times New Roman" w:cs="Times New Roman"/>
                <w:b/>
                <w:bCs/>
                <w:color w:val="000000"/>
                <w:sz w:val="24"/>
                <w:szCs w:val="24"/>
                <w:lang w:eastAsia="ru-RU"/>
              </w:rPr>
              <w:t>1</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2C5CCA" w:rsidP="00470E50">
            <w:pPr>
              <w:ind w:right="-143"/>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val="en-US" w:eastAsia="ru-RU"/>
              </w:rPr>
              <w:t>Revenue from sales of goods and services</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221</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150</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228</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865</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255</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685</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121 292</w:t>
            </w:r>
          </w:p>
        </w:tc>
      </w:tr>
      <w:tr w:rsidR="002C5CCA" w:rsidRPr="009A7B0F" w:rsidTr="00A101DE">
        <w:trPr>
          <w:trHeight w:val="719"/>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9A7B0F" w:rsidRDefault="00A101DE" w:rsidP="009A7B0F">
            <w:pPr>
              <w:ind w:right="-143" w:firstLine="709"/>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val="en-US" w:eastAsia="ru-RU"/>
              </w:rPr>
              <w:t>2</w:t>
            </w:r>
            <w:r w:rsidR="002C5CCA" w:rsidRPr="009A7B0F">
              <w:rPr>
                <w:rFonts w:ascii="Times New Roman" w:hAnsi="Times New Roman" w:cs="Times New Roman"/>
                <w:b/>
                <w:bCs/>
                <w:color w:val="000000"/>
                <w:sz w:val="24"/>
                <w:szCs w:val="24"/>
                <w:lang w:eastAsia="ru-RU"/>
              </w:rPr>
              <w:t>2</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val="en-US" w:eastAsia="ru-RU"/>
              </w:rPr>
              <w:t>Costs of goods sold and services rendered</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157</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207</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165</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932</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198</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704</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72 277</w:t>
            </w:r>
          </w:p>
        </w:tc>
      </w:tr>
      <w:tr w:rsidR="002C5CCA" w:rsidRPr="009A7B0F" w:rsidTr="00A101DE">
        <w:trPr>
          <w:trHeight w:val="291"/>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9A7B0F" w:rsidRDefault="00A101DE" w:rsidP="009A7B0F">
            <w:pPr>
              <w:ind w:right="-143" w:firstLine="709"/>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val="en-US" w:eastAsia="ru-RU"/>
              </w:rPr>
              <w:lastRenderedPageBreak/>
              <w:t>3</w:t>
            </w:r>
            <w:r w:rsidR="002C5CCA" w:rsidRPr="009A7B0F">
              <w:rPr>
                <w:rFonts w:ascii="Times New Roman" w:hAnsi="Times New Roman" w:cs="Times New Roman"/>
                <w:b/>
                <w:bCs/>
                <w:color w:val="000000"/>
                <w:sz w:val="24"/>
                <w:szCs w:val="24"/>
                <w:lang w:eastAsia="ru-RU"/>
              </w:rPr>
              <w:t>3</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val="en-US" w:eastAsia="ru-RU"/>
              </w:rPr>
              <w:t>Gross profit</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63</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943</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62</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933</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56</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981</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49 014</w:t>
            </w:r>
          </w:p>
        </w:tc>
      </w:tr>
      <w:tr w:rsidR="002C5CCA" w:rsidRPr="009A7B0F" w:rsidTr="00A101DE">
        <w:trPr>
          <w:trHeight w:val="346"/>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9A7B0F" w:rsidRDefault="00A101DE" w:rsidP="009A7B0F">
            <w:pPr>
              <w:ind w:right="-143"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4</w:t>
            </w:r>
            <w:r w:rsidR="002C5CCA" w:rsidRPr="009A7B0F">
              <w:rPr>
                <w:rFonts w:ascii="Times New Roman" w:hAnsi="Times New Roman" w:cs="Times New Roman"/>
                <w:color w:val="000000"/>
                <w:sz w:val="24"/>
                <w:szCs w:val="24"/>
                <w:lang w:eastAsia="ru-RU"/>
              </w:rPr>
              <w:t>4</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val="en-US" w:eastAsia="ru-RU"/>
              </w:rPr>
              <w:t>Financing income</w:t>
            </w:r>
            <w:r w:rsidR="002C5CCA" w:rsidRPr="009A7B0F">
              <w:rPr>
                <w:rFonts w:ascii="Times New Roman" w:hAnsi="Times New Roman" w:cs="Times New Roman"/>
                <w:color w:val="000000"/>
                <w:sz w:val="24"/>
                <w:szCs w:val="24"/>
                <w:lang w:eastAsia="ru-RU"/>
              </w:rPr>
              <w:t xml:space="preserve"> </w:t>
            </w:r>
            <w:r w:rsidR="002C5CCA" w:rsidRPr="009A7B0F">
              <w:rPr>
                <w:rFonts w:ascii="Times New Roman" w:hAnsi="Times New Roman" w:cs="Times New Roman"/>
                <w:color w:val="000000"/>
                <w:sz w:val="24"/>
                <w:szCs w:val="24"/>
                <w:vertAlign w:val="superscript"/>
                <w:lang w:eastAsia="ru-RU"/>
              </w:rPr>
              <w:t>(3)</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3</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682</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729</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257</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1 759</w:t>
            </w:r>
          </w:p>
        </w:tc>
      </w:tr>
      <w:tr w:rsidR="002C5CCA" w:rsidRPr="009A7B0F" w:rsidTr="00A101DE">
        <w:trPr>
          <w:trHeight w:val="346"/>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9A7B0F" w:rsidRDefault="00A101DE" w:rsidP="009A7B0F">
            <w:pPr>
              <w:ind w:right="-143"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5</w:t>
            </w:r>
            <w:r w:rsidR="002C5CCA" w:rsidRPr="009A7B0F">
              <w:rPr>
                <w:rFonts w:ascii="Times New Roman" w:hAnsi="Times New Roman" w:cs="Times New Roman"/>
                <w:color w:val="000000"/>
                <w:sz w:val="24"/>
                <w:szCs w:val="24"/>
                <w:lang w:eastAsia="ru-RU"/>
              </w:rPr>
              <w:t>5</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val="en-US" w:eastAsia="ru-RU"/>
              </w:rPr>
              <w:t>Other income</w:t>
            </w:r>
            <w:r w:rsidR="002C5CCA" w:rsidRPr="009A7B0F">
              <w:rPr>
                <w:rFonts w:ascii="Times New Roman" w:hAnsi="Times New Roman" w:cs="Times New Roman"/>
                <w:color w:val="000000"/>
                <w:sz w:val="24"/>
                <w:szCs w:val="24"/>
                <w:lang w:eastAsia="ru-RU"/>
              </w:rPr>
              <w:t xml:space="preserve"> </w:t>
            </w:r>
            <w:r w:rsidR="002C5CCA" w:rsidRPr="009A7B0F">
              <w:rPr>
                <w:rFonts w:ascii="Times New Roman" w:hAnsi="Times New Roman" w:cs="Times New Roman"/>
                <w:color w:val="000000"/>
                <w:sz w:val="24"/>
                <w:szCs w:val="24"/>
                <w:vertAlign w:val="superscript"/>
                <w:lang w:eastAsia="ru-RU"/>
              </w:rPr>
              <w:t>(2)</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70</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647</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4</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028</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913</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155</w:t>
            </w:r>
          </w:p>
        </w:tc>
      </w:tr>
      <w:tr w:rsidR="002C5CCA" w:rsidRPr="009A7B0F" w:rsidTr="00A101DE">
        <w:trPr>
          <w:trHeight w:val="484"/>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9A7B0F" w:rsidRDefault="00A101DE" w:rsidP="009A7B0F">
            <w:pPr>
              <w:ind w:right="-143"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6</w:t>
            </w:r>
            <w:r w:rsidR="002C5CCA" w:rsidRPr="009A7B0F">
              <w:rPr>
                <w:rFonts w:ascii="Times New Roman" w:hAnsi="Times New Roman" w:cs="Times New Roman"/>
                <w:color w:val="000000"/>
                <w:sz w:val="24"/>
                <w:szCs w:val="24"/>
                <w:lang w:eastAsia="ru-RU"/>
              </w:rPr>
              <w:t>6</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val="en-US" w:eastAsia="ru-RU"/>
              </w:rPr>
              <w:t>Expenses on sales of products and services</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516</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3</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029</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3</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153</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3 916</w:t>
            </w:r>
          </w:p>
        </w:tc>
      </w:tr>
      <w:tr w:rsidR="002C5CCA" w:rsidRPr="009A7B0F" w:rsidTr="00A101DE">
        <w:trPr>
          <w:trHeight w:val="484"/>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9A7B0F" w:rsidRDefault="00A101DE" w:rsidP="009A7B0F">
            <w:pPr>
              <w:ind w:right="-143"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7</w:t>
            </w:r>
            <w:r w:rsidR="002C5CCA" w:rsidRPr="009A7B0F">
              <w:rPr>
                <w:rFonts w:ascii="Times New Roman" w:hAnsi="Times New Roman" w:cs="Times New Roman"/>
                <w:color w:val="000000"/>
                <w:sz w:val="24"/>
                <w:szCs w:val="24"/>
                <w:lang w:eastAsia="ru-RU"/>
              </w:rPr>
              <w:t>7</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val="en-US" w:eastAsia="ru-RU"/>
              </w:rPr>
              <w:t>General and administrative expenses</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13</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891</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13</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940</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14</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673</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8 841</w:t>
            </w:r>
          </w:p>
        </w:tc>
      </w:tr>
      <w:tr w:rsidR="002C5CCA" w:rsidRPr="009A7B0F" w:rsidTr="00A101DE">
        <w:trPr>
          <w:trHeight w:val="581"/>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9A7B0F" w:rsidRDefault="00A101DE" w:rsidP="009A7B0F">
            <w:pPr>
              <w:ind w:right="-143" w:firstLine="709"/>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8</w:t>
            </w:r>
            <w:r w:rsidR="002C5CCA" w:rsidRPr="009A7B0F">
              <w:rPr>
                <w:rFonts w:ascii="Times New Roman" w:hAnsi="Times New Roman" w:cs="Times New Roman"/>
                <w:color w:val="000000"/>
                <w:sz w:val="24"/>
                <w:szCs w:val="24"/>
                <w:lang w:eastAsia="ru-RU"/>
              </w:rPr>
              <w:t>8</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val="en-US" w:eastAsia="ru-RU"/>
              </w:rPr>
              <w:t>Financing costs</w:t>
            </w:r>
            <w:r w:rsidR="002C5CCA" w:rsidRPr="009A7B0F">
              <w:rPr>
                <w:rFonts w:ascii="Times New Roman" w:hAnsi="Times New Roman" w:cs="Times New Roman"/>
                <w:color w:val="000000"/>
                <w:sz w:val="24"/>
                <w:szCs w:val="24"/>
                <w:lang w:eastAsia="ru-RU"/>
              </w:rPr>
              <w:t xml:space="preserve"> </w:t>
            </w:r>
            <w:r w:rsidR="002C5CCA" w:rsidRPr="009A7B0F">
              <w:rPr>
                <w:rFonts w:ascii="Times New Roman" w:hAnsi="Times New Roman" w:cs="Times New Roman"/>
                <w:color w:val="000000"/>
                <w:sz w:val="24"/>
                <w:szCs w:val="24"/>
                <w:vertAlign w:val="superscript"/>
                <w:lang w:eastAsia="ru-RU"/>
              </w:rPr>
              <w:t>(4)</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24</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018</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23</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412</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22</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037</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22 200</w:t>
            </w:r>
          </w:p>
        </w:tc>
      </w:tr>
      <w:tr w:rsidR="002C5CCA" w:rsidRPr="009A7B0F" w:rsidTr="00A101DE">
        <w:trPr>
          <w:trHeight w:val="581"/>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A101DE" w:rsidRDefault="002C5CCA" w:rsidP="00A101DE">
            <w:pPr>
              <w:ind w:right="-143" w:firstLine="709"/>
              <w:jc w:val="center"/>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eastAsia="ru-RU"/>
              </w:rPr>
              <w:t>1</w:t>
            </w:r>
            <w:r w:rsidR="00A101DE">
              <w:rPr>
                <w:rFonts w:ascii="Times New Roman" w:hAnsi="Times New Roman" w:cs="Times New Roman"/>
                <w:color w:val="000000"/>
                <w:sz w:val="24"/>
                <w:szCs w:val="24"/>
                <w:lang w:val="en-US" w:eastAsia="ru-RU"/>
              </w:rPr>
              <w:t>9</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val="en-US" w:eastAsia="ru-RU"/>
              </w:rPr>
              <w:t>Other expenses from  non-core activities</w:t>
            </w:r>
            <w:r w:rsidR="002C5CCA" w:rsidRPr="009A7B0F">
              <w:rPr>
                <w:rFonts w:ascii="Times New Roman" w:hAnsi="Times New Roman" w:cs="Times New Roman"/>
                <w:color w:val="000000"/>
                <w:sz w:val="24"/>
                <w:szCs w:val="24"/>
                <w:lang w:val="en-US" w:eastAsia="ru-RU"/>
              </w:rPr>
              <w:t xml:space="preserve"> </w:t>
            </w:r>
            <w:r w:rsidR="002C5CCA" w:rsidRPr="009A7B0F">
              <w:rPr>
                <w:rFonts w:ascii="Times New Roman" w:hAnsi="Times New Roman" w:cs="Times New Roman"/>
                <w:color w:val="000000"/>
                <w:sz w:val="24"/>
                <w:szCs w:val="24"/>
                <w:vertAlign w:val="superscript"/>
                <w:lang w:val="en-US" w:eastAsia="ru-RU"/>
              </w:rPr>
              <w:t>(2)</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86</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500</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93</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175</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12</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295</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44</w:t>
            </w:r>
          </w:p>
        </w:tc>
      </w:tr>
      <w:tr w:rsidR="002C5CCA" w:rsidRPr="009A7B0F" w:rsidTr="00A101DE">
        <w:trPr>
          <w:trHeight w:val="719"/>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A101DE" w:rsidRDefault="002C5CCA" w:rsidP="009A7B0F">
            <w:pPr>
              <w:ind w:right="-143" w:firstLine="709"/>
              <w:jc w:val="center"/>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eastAsia="ru-RU"/>
              </w:rPr>
              <w:t>11</w:t>
            </w:r>
            <w:r w:rsidR="00A101DE">
              <w:rPr>
                <w:rFonts w:ascii="Times New Roman" w:hAnsi="Times New Roman" w:cs="Times New Roman"/>
                <w:color w:val="000000"/>
                <w:sz w:val="24"/>
                <w:szCs w:val="24"/>
                <w:lang w:val="en-US" w:eastAsia="ru-RU"/>
              </w:rPr>
              <w:t>0</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val="en-US" w:eastAsia="ru-RU"/>
              </w:rPr>
              <w:t>Share of profit/loss accounted for using the equity method</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12</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958</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-10</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173</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7</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817</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6 410</w:t>
            </w:r>
          </w:p>
        </w:tc>
      </w:tr>
      <w:tr w:rsidR="002C5CCA" w:rsidRPr="009A7B0F" w:rsidTr="00A101DE">
        <w:trPr>
          <w:trHeight w:val="484"/>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A101DE" w:rsidRDefault="00A101DE" w:rsidP="009A7B0F">
            <w:pPr>
              <w:ind w:right="-143" w:firstLine="709"/>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val="en-US" w:eastAsia="ru-RU"/>
              </w:rPr>
              <w:t>11</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val="en-US" w:eastAsia="ru-RU"/>
              </w:rPr>
              <w:t>Income</w:t>
            </w:r>
            <w:r w:rsidR="002C5CCA" w:rsidRPr="009A7B0F">
              <w:rPr>
                <w:rFonts w:ascii="Times New Roman" w:hAnsi="Times New Roman" w:cs="Times New Roman"/>
                <w:color w:val="000000"/>
                <w:sz w:val="24"/>
                <w:szCs w:val="24"/>
                <w:lang w:val="en-US" w:eastAsia="ru-RU"/>
              </w:rPr>
              <w:t xml:space="preserve"> (</w:t>
            </w:r>
            <w:r w:rsidRPr="009A7B0F">
              <w:rPr>
                <w:rFonts w:ascii="Times New Roman" w:hAnsi="Times New Roman" w:cs="Times New Roman"/>
                <w:color w:val="000000"/>
                <w:sz w:val="24"/>
                <w:szCs w:val="24"/>
                <w:lang w:val="en-US" w:eastAsia="ru-RU"/>
              </w:rPr>
              <w:t>loss</w:t>
            </w:r>
            <w:r w:rsidR="002C5CCA" w:rsidRPr="009A7B0F">
              <w:rPr>
                <w:rFonts w:ascii="Times New Roman" w:hAnsi="Times New Roman" w:cs="Times New Roman"/>
                <w:color w:val="000000"/>
                <w:sz w:val="24"/>
                <w:szCs w:val="24"/>
                <w:lang w:val="en-US" w:eastAsia="ru-RU"/>
              </w:rPr>
              <w:t>)</w:t>
            </w:r>
            <w:r w:rsidRPr="009A7B0F">
              <w:rPr>
                <w:rFonts w:ascii="Times New Roman" w:hAnsi="Times New Roman" w:cs="Times New Roman"/>
                <w:color w:val="000000"/>
                <w:sz w:val="24"/>
                <w:szCs w:val="24"/>
                <w:lang w:val="en-US" w:eastAsia="ru-RU"/>
              </w:rPr>
              <w:t xml:space="preserve"> from discontinued operations</w:t>
            </w:r>
            <w:r w:rsidR="002C5CCA" w:rsidRPr="009A7B0F">
              <w:rPr>
                <w:rFonts w:ascii="Times New Roman" w:hAnsi="Times New Roman" w:cs="Times New Roman"/>
                <w:color w:val="000000"/>
                <w:sz w:val="24"/>
                <w:szCs w:val="24"/>
                <w:lang w:val="en-US" w:eastAsia="ru-RU"/>
              </w:rPr>
              <w:t xml:space="preserve"> </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0</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469</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0</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27 197</w:t>
            </w:r>
          </w:p>
        </w:tc>
      </w:tr>
      <w:tr w:rsidR="002C5CCA" w:rsidRPr="009A7B0F" w:rsidTr="00A101DE">
        <w:trPr>
          <w:trHeight w:val="484"/>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A101DE" w:rsidRDefault="002C5CCA" w:rsidP="00A101DE">
            <w:pPr>
              <w:ind w:right="-143" w:firstLine="709"/>
              <w:jc w:val="center"/>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eastAsia="ru-RU"/>
              </w:rPr>
              <w:t>1</w:t>
            </w:r>
            <w:r w:rsidR="00A101DE">
              <w:rPr>
                <w:rFonts w:ascii="Times New Roman" w:hAnsi="Times New Roman" w:cs="Times New Roman"/>
                <w:color w:val="000000"/>
                <w:sz w:val="24"/>
                <w:szCs w:val="24"/>
                <w:lang w:val="en-US" w:eastAsia="ru-RU"/>
              </w:rPr>
              <w:t>12</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val="en-US" w:eastAsia="ru-RU"/>
              </w:rPr>
              <w:t>corporate income tax expenses</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11</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055</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5</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875</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6</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902</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7 597</w:t>
            </w:r>
          </w:p>
        </w:tc>
      </w:tr>
      <w:tr w:rsidR="002C5CCA" w:rsidRPr="009A7B0F" w:rsidTr="00A101DE">
        <w:trPr>
          <w:trHeight w:val="291"/>
        </w:trPr>
        <w:tc>
          <w:tcPr>
            <w:tcW w:w="554" w:type="dxa"/>
            <w:tcBorders>
              <w:top w:val="nil"/>
              <w:left w:val="single" w:sz="8" w:space="0" w:color="auto"/>
              <w:bottom w:val="single" w:sz="8" w:space="0" w:color="auto"/>
              <w:right w:val="single" w:sz="8" w:space="0" w:color="auto"/>
            </w:tcBorders>
            <w:shd w:val="clear" w:color="auto" w:fill="auto"/>
            <w:noWrap/>
            <w:vAlign w:val="center"/>
            <w:hideMark/>
          </w:tcPr>
          <w:p w:rsidR="002C5CCA" w:rsidRPr="00A101DE" w:rsidRDefault="002C5CCA" w:rsidP="00A101DE">
            <w:pPr>
              <w:ind w:right="-143" w:firstLine="709"/>
              <w:jc w:val="center"/>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eastAsia="ru-RU"/>
              </w:rPr>
              <w:t>1</w:t>
            </w:r>
            <w:r w:rsidR="00A101DE">
              <w:rPr>
                <w:rFonts w:ascii="Times New Roman" w:hAnsi="Times New Roman" w:cs="Times New Roman"/>
                <w:color w:val="000000"/>
                <w:sz w:val="24"/>
                <w:szCs w:val="24"/>
                <w:lang w:val="en-US" w:eastAsia="ru-RU"/>
              </w:rPr>
              <w:t>13</w:t>
            </w:r>
          </w:p>
        </w:tc>
        <w:tc>
          <w:tcPr>
            <w:tcW w:w="3243" w:type="dxa"/>
            <w:tcBorders>
              <w:top w:val="nil"/>
              <w:left w:val="nil"/>
              <w:bottom w:val="single" w:sz="8"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color w:val="000000"/>
                <w:sz w:val="24"/>
                <w:szCs w:val="24"/>
                <w:lang w:val="en-US" w:eastAsia="ru-RU"/>
              </w:rPr>
            </w:pPr>
            <w:r w:rsidRPr="009A7B0F">
              <w:rPr>
                <w:rFonts w:ascii="Times New Roman" w:hAnsi="Times New Roman" w:cs="Times New Roman"/>
                <w:color w:val="000000"/>
                <w:sz w:val="24"/>
                <w:szCs w:val="24"/>
                <w:lang w:val="en-US" w:eastAsia="ru-RU"/>
              </w:rPr>
              <w:t>Minority interest</w:t>
            </w:r>
          </w:p>
        </w:tc>
        <w:tc>
          <w:tcPr>
            <w:tcW w:w="1437"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w:t>
            </w:r>
            <w:r w:rsidR="00470E50">
              <w:rPr>
                <w:rFonts w:ascii="Times New Roman" w:hAnsi="Times New Roman" w:cs="Times New Roman"/>
                <w:color w:val="000000"/>
                <w:sz w:val="24"/>
                <w:szCs w:val="24"/>
                <w:lang w:eastAsia="ru-RU"/>
              </w:rPr>
              <w:t> </w:t>
            </w:r>
            <w:r w:rsidRPr="009A7B0F">
              <w:rPr>
                <w:rFonts w:ascii="Times New Roman" w:hAnsi="Times New Roman" w:cs="Times New Roman"/>
                <w:color w:val="000000"/>
                <w:sz w:val="24"/>
                <w:szCs w:val="24"/>
                <w:lang w:eastAsia="ru-RU"/>
              </w:rPr>
              <w:t>696</w:t>
            </w:r>
          </w:p>
        </w:tc>
        <w:tc>
          <w:tcPr>
            <w:tcW w:w="1309"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390</w:t>
            </w:r>
          </w:p>
        </w:tc>
        <w:tc>
          <w:tcPr>
            <w:tcW w:w="2060"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658</w:t>
            </w:r>
          </w:p>
        </w:tc>
        <w:tc>
          <w:tcPr>
            <w:tcW w:w="1602" w:type="dxa"/>
            <w:tcBorders>
              <w:top w:val="nil"/>
              <w:left w:val="nil"/>
              <w:bottom w:val="single" w:sz="8"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color w:val="000000"/>
                <w:sz w:val="24"/>
                <w:szCs w:val="24"/>
                <w:lang w:eastAsia="ru-RU"/>
              </w:rPr>
            </w:pPr>
            <w:r w:rsidRPr="009A7B0F">
              <w:rPr>
                <w:rFonts w:ascii="Times New Roman" w:hAnsi="Times New Roman" w:cs="Times New Roman"/>
                <w:color w:val="000000"/>
                <w:sz w:val="24"/>
                <w:szCs w:val="24"/>
                <w:lang w:eastAsia="ru-RU"/>
              </w:rPr>
              <w:t>225</w:t>
            </w:r>
          </w:p>
        </w:tc>
      </w:tr>
      <w:tr w:rsidR="002C5CCA" w:rsidRPr="009A7B0F" w:rsidTr="00A101DE">
        <w:trPr>
          <w:trHeight w:val="291"/>
        </w:trPr>
        <w:tc>
          <w:tcPr>
            <w:tcW w:w="5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C5CCA" w:rsidRPr="00A101DE" w:rsidRDefault="002C5CCA" w:rsidP="00A101DE">
            <w:pPr>
              <w:ind w:right="-143" w:firstLine="709"/>
              <w:jc w:val="center"/>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eastAsia="ru-RU"/>
              </w:rPr>
              <w:t>1</w:t>
            </w:r>
            <w:r w:rsidR="00A101DE">
              <w:rPr>
                <w:rFonts w:ascii="Times New Roman" w:hAnsi="Times New Roman" w:cs="Times New Roman"/>
                <w:b/>
                <w:bCs/>
                <w:color w:val="000000"/>
                <w:sz w:val="24"/>
                <w:szCs w:val="24"/>
                <w:lang w:val="en-US" w:eastAsia="ru-RU"/>
              </w:rPr>
              <w:t>14</w:t>
            </w:r>
          </w:p>
        </w:tc>
        <w:tc>
          <w:tcPr>
            <w:tcW w:w="3243" w:type="dxa"/>
            <w:tcBorders>
              <w:top w:val="single" w:sz="8" w:space="0" w:color="auto"/>
              <w:left w:val="nil"/>
              <w:bottom w:val="single" w:sz="4" w:space="0" w:color="auto"/>
              <w:right w:val="single" w:sz="8" w:space="0" w:color="auto"/>
            </w:tcBorders>
            <w:shd w:val="clear" w:color="auto" w:fill="auto"/>
            <w:vAlign w:val="center"/>
            <w:hideMark/>
          </w:tcPr>
          <w:p w:rsidR="002C5CCA" w:rsidRPr="009A7B0F" w:rsidRDefault="001B6824" w:rsidP="00470E50">
            <w:pPr>
              <w:ind w:right="-143"/>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val="en-US" w:eastAsia="ru-RU"/>
              </w:rPr>
              <w:t>Total income</w:t>
            </w:r>
          </w:p>
        </w:tc>
        <w:tc>
          <w:tcPr>
            <w:tcW w:w="1437" w:type="dxa"/>
            <w:tcBorders>
              <w:top w:val="single" w:sz="8" w:space="0" w:color="auto"/>
              <w:left w:val="nil"/>
              <w:bottom w:val="single" w:sz="4"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15</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947</w:t>
            </w:r>
          </w:p>
        </w:tc>
        <w:tc>
          <w:tcPr>
            <w:tcW w:w="1309" w:type="dxa"/>
            <w:tcBorders>
              <w:top w:val="single" w:sz="8" w:space="0" w:color="auto"/>
              <w:left w:val="nil"/>
              <w:bottom w:val="single" w:sz="4"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-77</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835</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6</w:t>
            </w:r>
            <w:r w:rsidR="00470E50">
              <w:rPr>
                <w:rFonts w:ascii="Times New Roman" w:hAnsi="Times New Roman" w:cs="Times New Roman"/>
                <w:b/>
                <w:bCs/>
                <w:color w:val="000000"/>
                <w:sz w:val="24"/>
                <w:szCs w:val="24"/>
                <w:lang w:eastAsia="ru-RU"/>
              </w:rPr>
              <w:t> </w:t>
            </w:r>
            <w:r w:rsidRPr="009A7B0F">
              <w:rPr>
                <w:rFonts w:ascii="Times New Roman" w:hAnsi="Times New Roman" w:cs="Times New Roman"/>
                <w:b/>
                <w:bCs/>
                <w:color w:val="000000"/>
                <w:sz w:val="24"/>
                <w:szCs w:val="24"/>
                <w:lang w:eastAsia="ru-RU"/>
              </w:rPr>
              <w:t>249</w:t>
            </w:r>
          </w:p>
        </w:tc>
        <w:tc>
          <w:tcPr>
            <w:tcW w:w="1602" w:type="dxa"/>
            <w:tcBorders>
              <w:top w:val="single" w:sz="8" w:space="0" w:color="auto"/>
              <w:left w:val="nil"/>
              <w:bottom w:val="single" w:sz="4" w:space="0" w:color="auto"/>
              <w:right w:val="single" w:sz="8" w:space="0" w:color="auto"/>
            </w:tcBorders>
            <w:shd w:val="clear" w:color="auto" w:fill="auto"/>
            <w:noWrap/>
            <w:vAlign w:val="center"/>
            <w:hideMark/>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41 714</w:t>
            </w:r>
          </w:p>
        </w:tc>
      </w:tr>
      <w:tr w:rsidR="002C5CCA" w:rsidRPr="009A7B0F" w:rsidTr="00A101DE">
        <w:trPr>
          <w:trHeight w:val="291"/>
        </w:trPr>
        <w:tc>
          <w:tcPr>
            <w:tcW w:w="554" w:type="dxa"/>
            <w:tcBorders>
              <w:top w:val="single" w:sz="4" w:space="0" w:color="auto"/>
              <w:left w:val="single" w:sz="8" w:space="0" w:color="auto"/>
              <w:bottom w:val="single" w:sz="8" w:space="0" w:color="auto"/>
              <w:right w:val="single" w:sz="8" w:space="0" w:color="auto"/>
            </w:tcBorders>
            <w:shd w:val="clear" w:color="auto" w:fill="auto"/>
            <w:noWrap/>
            <w:vAlign w:val="center"/>
          </w:tcPr>
          <w:p w:rsidR="002C5CCA" w:rsidRPr="00A101DE" w:rsidRDefault="002C5CCA" w:rsidP="00A101DE">
            <w:pPr>
              <w:ind w:right="-143" w:firstLine="709"/>
              <w:jc w:val="center"/>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eastAsia="ru-RU"/>
              </w:rPr>
              <w:t>1</w:t>
            </w:r>
            <w:r w:rsidR="00A101DE">
              <w:rPr>
                <w:rFonts w:ascii="Times New Roman" w:hAnsi="Times New Roman" w:cs="Times New Roman"/>
                <w:b/>
                <w:bCs/>
                <w:color w:val="000000"/>
                <w:sz w:val="24"/>
                <w:szCs w:val="24"/>
                <w:lang w:val="en-US" w:eastAsia="ru-RU"/>
              </w:rPr>
              <w:t>15</w:t>
            </w:r>
          </w:p>
        </w:tc>
        <w:tc>
          <w:tcPr>
            <w:tcW w:w="3243" w:type="dxa"/>
            <w:tcBorders>
              <w:top w:val="single" w:sz="4" w:space="0" w:color="auto"/>
              <w:left w:val="nil"/>
              <w:bottom w:val="single" w:sz="8" w:space="0" w:color="auto"/>
              <w:right w:val="single" w:sz="8" w:space="0" w:color="auto"/>
            </w:tcBorders>
            <w:shd w:val="clear" w:color="auto" w:fill="auto"/>
            <w:vAlign w:val="center"/>
          </w:tcPr>
          <w:p w:rsidR="002C5CCA" w:rsidRPr="009A7B0F" w:rsidRDefault="006A4FBC" w:rsidP="00470E50">
            <w:pPr>
              <w:ind w:right="-143"/>
              <w:rPr>
                <w:rFonts w:ascii="Times New Roman" w:hAnsi="Times New Roman" w:cs="Times New Roman"/>
                <w:b/>
                <w:bCs/>
                <w:color w:val="000000"/>
                <w:sz w:val="24"/>
                <w:szCs w:val="24"/>
                <w:lang w:val="en-US" w:eastAsia="ru-RU"/>
              </w:rPr>
            </w:pPr>
            <w:r w:rsidRPr="009A7B0F">
              <w:rPr>
                <w:rFonts w:ascii="Times New Roman" w:hAnsi="Times New Roman" w:cs="Times New Roman"/>
                <w:b/>
                <w:bCs/>
                <w:color w:val="000000"/>
                <w:sz w:val="24"/>
                <w:szCs w:val="24"/>
                <w:lang w:val="en-US" w:eastAsia="ru-RU"/>
              </w:rPr>
              <w:t>Total income excluding expenses on exchange rate differences</w:t>
            </w:r>
          </w:p>
        </w:tc>
        <w:tc>
          <w:tcPr>
            <w:tcW w:w="1437" w:type="dxa"/>
            <w:tcBorders>
              <w:top w:val="single" w:sz="4" w:space="0" w:color="auto"/>
              <w:left w:val="nil"/>
              <w:bottom w:val="single" w:sz="8" w:space="0" w:color="auto"/>
              <w:right w:val="single" w:sz="8" w:space="0" w:color="auto"/>
            </w:tcBorders>
            <w:shd w:val="clear" w:color="auto" w:fill="auto"/>
            <w:noWrap/>
            <w:vAlign w:val="center"/>
          </w:tcPr>
          <w:p w:rsidR="002C5CCA" w:rsidRPr="009A7B0F" w:rsidRDefault="002C5CCA" w:rsidP="00470E50">
            <w:pPr>
              <w:ind w:right="-143" w:firstLine="709"/>
              <w:jc w:val="center"/>
              <w:rPr>
                <w:rFonts w:ascii="Times New Roman" w:hAnsi="Times New Roman" w:cs="Times New Roman"/>
                <w:b/>
                <w:bCs/>
                <w:color w:val="000000"/>
                <w:sz w:val="24"/>
                <w:szCs w:val="24"/>
                <w:lang w:val="en-US" w:eastAsia="ru-RU"/>
              </w:rPr>
            </w:pPr>
          </w:p>
        </w:tc>
        <w:tc>
          <w:tcPr>
            <w:tcW w:w="1309" w:type="dxa"/>
            <w:tcBorders>
              <w:top w:val="single" w:sz="4" w:space="0" w:color="auto"/>
              <w:left w:val="nil"/>
              <w:bottom w:val="single" w:sz="8" w:space="0" w:color="auto"/>
              <w:right w:val="single" w:sz="8" w:space="0" w:color="auto"/>
            </w:tcBorders>
            <w:shd w:val="clear" w:color="auto" w:fill="auto"/>
            <w:noWrap/>
            <w:vAlign w:val="center"/>
          </w:tcPr>
          <w:p w:rsidR="002C5CCA" w:rsidRPr="009A7B0F" w:rsidRDefault="002C5CCA" w:rsidP="00470E50">
            <w:pPr>
              <w:ind w:right="-143"/>
              <w:jc w:val="center"/>
              <w:rPr>
                <w:rFonts w:ascii="Times New Roman" w:hAnsi="Times New Roman" w:cs="Times New Roman"/>
                <w:b/>
                <w:bCs/>
                <w:color w:val="000000"/>
                <w:sz w:val="24"/>
                <w:szCs w:val="24"/>
                <w:lang w:eastAsia="ru-RU"/>
              </w:rPr>
            </w:pPr>
            <w:r w:rsidRPr="009A7B0F">
              <w:rPr>
                <w:rFonts w:ascii="Times New Roman" w:hAnsi="Times New Roman" w:cs="Times New Roman"/>
                <w:b/>
                <w:bCs/>
                <w:color w:val="000000"/>
                <w:sz w:val="24"/>
                <w:szCs w:val="24"/>
                <w:lang w:eastAsia="ru-RU"/>
              </w:rPr>
              <w:t>29 016</w:t>
            </w:r>
          </w:p>
        </w:tc>
        <w:tc>
          <w:tcPr>
            <w:tcW w:w="2060" w:type="dxa"/>
            <w:tcBorders>
              <w:top w:val="single" w:sz="4" w:space="0" w:color="auto"/>
              <w:left w:val="nil"/>
              <w:bottom w:val="single" w:sz="8" w:space="0" w:color="auto"/>
              <w:right w:val="single" w:sz="8" w:space="0" w:color="auto"/>
            </w:tcBorders>
            <w:shd w:val="clear" w:color="auto" w:fill="auto"/>
            <w:noWrap/>
            <w:vAlign w:val="center"/>
          </w:tcPr>
          <w:p w:rsidR="002C5CCA" w:rsidRPr="009A7B0F" w:rsidRDefault="002C5CCA" w:rsidP="00470E50">
            <w:pPr>
              <w:ind w:right="-143" w:firstLine="709"/>
              <w:jc w:val="center"/>
              <w:rPr>
                <w:rFonts w:ascii="Times New Roman" w:hAnsi="Times New Roman" w:cs="Times New Roman"/>
                <w:b/>
                <w:bCs/>
                <w:color w:val="000000"/>
                <w:sz w:val="24"/>
                <w:szCs w:val="24"/>
                <w:lang w:eastAsia="ru-RU"/>
              </w:rPr>
            </w:pPr>
          </w:p>
        </w:tc>
        <w:tc>
          <w:tcPr>
            <w:tcW w:w="1602" w:type="dxa"/>
            <w:tcBorders>
              <w:top w:val="single" w:sz="4" w:space="0" w:color="auto"/>
              <w:left w:val="nil"/>
              <w:bottom w:val="single" w:sz="8" w:space="0" w:color="auto"/>
              <w:right w:val="single" w:sz="8" w:space="0" w:color="auto"/>
            </w:tcBorders>
            <w:shd w:val="clear" w:color="auto" w:fill="auto"/>
            <w:noWrap/>
            <w:vAlign w:val="center"/>
          </w:tcPr>
          <w:p w:rsidR="002C5CCA" w:rsidRPr="009A7B0F" w:rsidRDefault="002C5CCA" w:rsidP="00470E50">
            <w:pPr>
              <w:ind w:right="-143" w:firstLine="709"/>
              <w:jc w:val="center"/>
              <w:rPr>
                <w:rFonts w:ascii="Times New Roman" w:hAnsi="Times New Roman" w:cs="Times New Roman"/>
                <w:b/>
                <w:bCs/>
                <w:color w:val="000000"/>
                <w:sz w:val="24"/>
                <w:szCs w:val="24"/>
                <w:lang w:eastAsia="ru-RU"/>
              </w:rPr>
            </w:pPr>
          </w:p>
        </w:tc>
      </w:tr>
    </w:tbl>
    <w:p w:rsidR="006E78B3" w:rsidRPr="009A7B0F" w:rsidRDefault="006E78B3" w:rsidP="009A7B0F">
      <w:pPr>
        <w:spacing w:after="0"/>
        <w:ind w:right="-143" w:firstLine="709"/>
        <w:jc w:val="both"/>
        <w:rPr>
          <w:rFonts w:ascii="Times New Roman" w:hAnsi="Times New Roman" w:cs="Times New Roman"/>
          <w:sz w:val="28"/>
          <w:szCs w:val="28"/>
          <w:lang w:val="en-US"/>
        </w:rPr>
      </w:pPr>
    </w:p>
    <w:p w:rsidR="00102822" w:rsidRPr="00FA1B91" w:rsidRDefault="00102822" w:rsidP="009A7B0F">
      <w:pPr>
        <w:spacing w:after="0"/>
        <w:ind w:right="-143" w:firstLine="709"/>
        <w:jc w:val="both"/>
        <w:rPr>
          <w:rFonts w:ascii="Calibri" w:eastAsia="Calibri" w:hAnsi="Calibri" w:cs="Times New Roman"/>
          <w:sz w:val="20"/>
          <w:lang w:val="en-US"/>
        </w:rPr>
      </w:pPr>
      <w:r w:rsidRPr="00FA1B91">
        <w:rPr>
          <w:rFonts w:ascii="Calibri" w:eastAsia="Calibri" w:hAnsi="Calibri" w:cs="Times New Roman"/>
          <w:sz w:val="20"/>
          <w:lang w:val="en-US"/>
        </w:rPr>
        <w:t xml:space="preserve">(1) For purposes of comparability, 2014 figures </w:t>
      </w:r>
      <w:r w:rsidR="001B1467" w:rsidRPr="00FA1B91">
        <w:rPr>
          <w:rFonts w:ascii="Calibri" w:eastAsia="Calibri" w:hAnsi="Calibri" w:cs="Times New Roman"/>
          <w:sz w:val="20"/>
          <w:lang w:val="en-US"/>
        </w:rPr>
        <w:t>were recalculated</w:t>
      </w:r>
      <w:r w:rsidRPr="00FA1B91">
        <w:rPr>
          <w:rFonts w:ascii="Calibri" w:eastAsia="Calibri" w:hAnsi="Calibri" w:cs="Times New Roman"/>
          <w:sz w:val="20"/>
          <w:lang w:val="en-US"/>
        </w:rPr>
        <w:t xml:space="preserve"> </w:t>
      </w:r>
      <w:r w:rsidR="001B1467" w:rsidRPr="00FA1B91">
        <w:rPr>
          <w:rFonts w:ascii="Calibri" w:eastAsia="Calibri" w:hAnsi="Calibri" w:cs="Times New Roman"/>
          <w:sz w:val="20"/>
          <w:lang w:val="en-US"/>
        </w:rPr>
        <w:t>taking into account</w:t>
      </w:r>
      <w:r w:rsidRPr="00FA1B91">
        <w:rPr>
          <w:rFonts w:ascii="Calibri" w:eastAsia="Calibri" w:hAnsi="Calibri" w:cs="Times New Roman"/>
          <w:sz w:val="20"/>
          <w:lang w:val="en-US"/>
        </w:rPr>
        <w:t xml:space="preserve"> the transfer of subsidiaries and affiliates from discontinued operations </w:t>
      </w:r>
      <w:r w:rsidR="001B1467" w:rsidRPr="00FA1B91">
        <w:rPr>
          <w:rFonts w:ascii="Calibri" w:eastAsia="Calibri" w:hAnsi="Calibri" w:cs="Times New Roman"/>
          <w:sz w:val="20"/>
          <w:lang w:val="en-US"/>
        </w:rPr>
        <w:t>to the</w:t>
      </w:r>
      <w:r w:rsidRPr="00FA1B91">
        <w:rPr>
          <w:rFonts w:ascii="Calibri" w:eastAsia="Calibri" w:hAnsi="Calibri" w:cs="Times New Roman"/>
          <w:sz w:val="20"/>
          <w:lang w:val="en-US"/>
        </w:rPr>
        <w:t xml:space="preserve"> full consolidation;</w:t>
      </w:r>
    </w:p>
    <w:p w:rsidR="001B1467" w:rsidRPr="00FA1B91" w:rsidRDefault="00102822" w:rsidP="009A7B0F">
      <w:pPr>
        <w:spacing w:after="0"/>
        <w:ind w:right="-143" w:firstLine="709"/>
        <w:jc w:val="both"/>
        <w:rPr>
          <w:rFonts w:ascii="Calibri" w:eastAsia="Calibri" w:hAnsi="Calibri" w:cs="Times New Roman"/>
          <w:sz w:val="20"/>
          <w:lang w:val="en-US"/>
        </w:rPr>
      </w:pPr>
      <w:r w:rsidRPr="00FA1B91">
        <w:rPr>
          <w:rFonts w:ascii="Calibri" w:eastAsia="Calibri" w:hAnsi="Calibri" w:cs="Times New Roman"/>
          <w:sz w:val="20"/>
          <w:lang w:val="en-US"/>
        </w:rPr>
        <w:t>(2)</w:t>
      </w:r>
      <w:r w:rsidR="009064EB" w:rsidRPr="00FA1B91">
        <w:rPr>
          <w:rFonts w:ascii="Calibri" w:eastAsia="Calibri" w:hAnsi="Calibri" w:cs="Times New Roman"/>
          <w:sz w:val="20"/>
          <w:lang w:val="en-US"/>
        </w:rPr>
        <w:t xml:space="preserve"> in 2015 audit report, t</w:t>
      </w:r>
      <w:r w:rsidR="001B1467" w:rsidRPr="00FA1B91">
        <w:rPr>
          <w:rFonts w:ascii="Calibri" w:eastAsia="Calibri" w:hAnsi="Calibri" w:cs="Times New Roman"/>
          <w:sz w:val="20"/>
          <w:lang w:val="en-US"/>
        </w:rPr>
        <w:t>he income from “reversal of impairment loss” was set</w:t>
      </w:r>
      <w:r w:rsidR="009064EB" w:rsidRPr="00FA1B91">
        <w:rPr>
          <w:rFonts w:ascii="Calibri" w:eastAsia="Calibri" w:hAnsi="Calibri" w:cs="Times New Roman"/>
          <w:sz w:val="20"/>
          <w:lang w:val="en-US"/>
        </w:rPr>
        <w:t xml:space="preserve"> apart from other income and impairment loss was set apart from other income to a separate line “impairment losses” (NET) </w:t>
      </w:r>
    </w:p>
    <w:p w:rsidR="00102822" w:rsidRPr="00FA1B91" w:rsidRDefault="009064EB" w:rsidP="009A7B0F">
      <w:pPr>
        <w:spacing w:after="0"/>
        <w:ind w:right="-143" w:firstLine="709"/>
        <w:jc w:val="both"/>
        <w:rPr>
          <w:rFonts w:ascii="Calibri" w:eastAsia="Calibri" w:hAnsi="Calibri" w:cs="Times New Roman"/>
          <w:sz w:val="20"/>
          <w:lang w:val="en-US"/>
        </w:rPr>
      </w:pPr>
      <w:r w:rsidRPr="00FA1B91">
        <w:rPr>
          <w:rFonts w:ascii="Calibri" w:eastAsia="Calibri" w:hAnsi="Calibri" w:cs="Times New Roman"/>
          <w:sz w:val="20"/>
          <w:lang w:val="en-US"/>
        </w:rPr>
        <w:t xml:space="preserve"> </w:t>
      </w:r>
      <w:r w:rsidR="00102822" w:rsidRPr="00FA1B91">
        <w:rPr>
          <w:rFonts w:ascii="Calibri" w:eastAsia="Calibri" w:hAnsi="Calibri" w:cs="Times New Roman"/>
          <w:sz w:val="20"/>
          <w:lang w:val="en-US"/>
        </w:rPr>
        <w:t xml:space="preserve">(3) </w:t>
      </w:r>
      <w:proofErr w:type="gramStart"/>
      <w:r w:rsidR="00102822" w:rsidRPr="00FA1B91">
        <w:rPr>
          <w:rFonts w:ascii="Calibri" w:eastAsia="Calibri" w:hAnsi="Calibri" w:cs="Times New Roman"/>
          <w:sz w:val="20"/>
          <w:lang w:val="en-US"/>
        </w:rPr>
        <w:t>in</w:t>
      </w:r>
      <w:proofErr w:type="gramEnd"/>
      <w:r w:rsidR="00102822" w:rsidRPr="00FA1B91">
        <w:rPr>
          <w:rFonts w:ascii="Calibri" w:eastAsia="Calibri" w:hAnsi="Calibri" w:cs="Times New Roman"/>
          <w:sz w:val="20"/>
          <w:lang w:val="en-US"/>
        </w:rPr>
        <w:t xml:space="preserve"> the audit report, the balance of </w:t>
      </w:r>
      <w:r w:rsidR="00831EDC" w:rsidRPr="00FA1B91">
        <w:rPr>
          <w:rFonts w:ascii="Calibri" w:eastAsia="Calibri" w:hAnsi="Calibri" w:cs="Times New Roman"/>
          <w:sz w:val="20"/>
          <w:lang w:val="en-US"/>
        </w:rPr>
        <w:t>exchange rate difference 2014 is recorded in</w:t>
      </w:r>
      <w:r w:rsidR="00102822" w:rsidRPr="00FA1B91">
        <w:rPr>
          <w:rFonts w:ascii="Calibri" w:eastAsia="Calibri" w:hAnsi="Calibri" w:cs="Times New Roman"/>
          <w:sz w:val="20"/>
          <w:lang w:val="en-US"/>
        </w:rPr>
        <w:t xml:space="preserve"> "financial income"</w:t>
      </w:r>
    </w:p>
    <w:p w:rsidR="00102822" w:rsidRPr="00FA1B91" w:rsidRDefault="00102822" w:rsidP="009A7B0F">
      <w:pPr>
        <w:spacing w:after="0"/>
        <w:ind w:right="-143" w:firstLine="709"/>
        <w:jc w:val="both"/>
        <w:rPr>
          <w:rFonts w:ascii="Calibri" w:eastAsia="Calibri" w:hAnsi="Calibri" w:cs="Times New Roman"/>
          <w:sz w:val="20"/>
          <w:lang w:val="en-US"/>
        </w:rPr>
      </w:pPr>
      <w:r w:rsidRPr="00FA1B91">
        <w:rPr>
          <w:rFonts w:ascii="Calibri" w:eastAsia="Calibri" w:hAnsi="Calibri" w:cs="Times New Roman"/>
          <w:sz w:val="20"/>
          <w:lang w:val="en-US"/>
        </w:rPr>
        <w:t xml:space="preserve">(4) </w:t>
      </w:r>
      <w:proofErr w:type="gramStart"/>
      <w:r w:rsidRPr="00FA1B91">
        <w:rPr>
          <w:rFonts w:ascii="Calibri" w:eastAsia="Calibri" w:hAnsi="Calibri" w:cs="Times New Roman"/>
          <w:sz w:val="20"/>
          <w:lang w:val="en-US"/>
        </w:rPr>
        <w:t>in</w:t>
      </w:r>
      <w:proofErr w:type="gramEnd"/>
      <w:r w:rsidRPr="00FA1B91">
        <w:rPr>
          <w:rFonts w:ascii="Calibri" w:eastAsia="Calibri" w:hAnsi="Calibri" w:cs="Times New Roman"/>
          <w:sz w:val="20"/>
          <w:lang w:val="en-US"/>
        </w:rPr>
        <w:t xml:space="preserve"> the audit report </w:t>
      </w:r>
      <w:r w:rsidR="00831EDC" w:rsidRPr="00FA1B91">
        <w:rPr>
          <w:rFonts w:ascii="Calibri" w:eastAsia="Calibri" w:hAnsi="Calibri" w:cs="Times New Roman"/>
          <w:sz w:val="20"/>
          <w:lang w:val="en-US"/>
        </w:rPr>
        <w:t>for</w:t>
      </w:r>
      <w:r w:rsidRPr="00FA1B91">
        <w:rPr>
          <w:rFonts w:ascii="Calibri" w:eastAsia="Calibri" w:hAnsi="Calibri" w:cs="Times New Roman"/>
          <w:sz w:val="20"/>
          <w:lang w:val="en-US"/>
        </w:rPr>
        <w:t xml:space="preserve"> 2015</w:t>
      </w:r>
      <w:r w:rsidR="00831EDC" w:rsidRPr="00FA1B91">
        <w:rPr>
          <w:rFonts w:ascii="Calibri" w:eastAsia="Calibri" w:hAnsi="Calibri" w:cs="Times New Roman"/>
          <w:sz w:val="20"/>
          <w:lang w:val="en-US"/>
        </w:rPr>
        <w:t>,</w:t>
      </w:r>
      <w:r w:rsidRPr="00FA1B91">
        <w:rPr>
          <w:rFonts w:ascii="Calibri" w:eastAsia="Calibri" w:hAnsi="Calibri" w:cs="Times New Roman"/>
          <w:sz w:val="20"/>
          <w:lang w:val="en-US"/>
        </w:rPr>
        <w:t xml:space="preserve"> foreign exchange loss </w:t>
      </w:r>
      <w:r w:rsidR="00831EDC" w:rsidRPr="00FA1B91">
        <w:rPr>
          <w:rFonts w:ascii="Calibri" w:eastAsia="Calibri" w:hAnsi="Calibri" w:cs="Times New Roman"/>
          <w:sz w:val="20"/>
          <w:lang w:val="en-US"/>
        </w:rPr>
        <w:t>is stated i</w:t>
      </w:r>
      <w:r w:rsidRPr="00FA1B91">
        <w:rPr>
          <w:rFonts w:ascii="Calibri" w:eastAsia="Calibri" w:hAnsi="Calibri" w:cs="Times New Roman"/>
          <w:sz w:val="20"/>
          <w:lang w:val="en-US"/>
        </w:rPr>
        <w:t>n "financial expenses"</w:t>
      </w:r>
    </w:p>
    <w:p w:rsidR="00102822" w:rsidRPr="00FA1B91" w:rsidRDefault="00102822" w:rsidP="009A7B0F">
      <w:pPr>
        <w:spacing w:after="0"/>
        <w:ind w:right="-143" w:firstLine="709"/>
        <w:jc w:val="both"/>
        <w:rPr>
          <w:rFonts w:ascii="Calibri" w:eastAsia="Calibri" w:hAnsi="Calibri" w:cs="Times New Roman"/>
          <w:sz w:val="20"/>
          <w:lang w:val="en-US"/>
        </w:rPr>
      </w:pPr>
      <w:r w:rsidRPr="00FA1B91">
        <w:rPr>
          <w:rFonts w:ascii="Calibri" w:eastAsia="Calibri" w:hAnsi="Calibri" w:cs="Times New Roman"/>
          <w:sz w:val="20"/>
          <w:lang w:val="en-US"/>
        </w:rPr>
        <w:t xml:space="preserve">Note: Revenue and cost by </w:t>
      </w:r>
      <w:r w:rsidR="00831EDC" w:rsidRPr="00FA1B91">
        <w:rPr>
          <w:rFonts w:ascii="Calibri" w:eastAsia="Calibri" w:hAnsi="Calibri" w:cs="Times New Roman"/>
          <w:sz w:val="20"/>
          <w:lang w:val="en-US"/>
        </w:rPr>
        <w:t xml:space="preserve">types of </w:t>
      </w:r>
      <w:r w:rsidRPr="00FA1B91">
        <w:rPr>
          <w:rFonts w:ascii="Calibri" w:eastAsia="Calibri" w:hAnsi="Calibri" w:cs="Times New Roman"/>
          <w:sz w:val="20"/>
          <w:lang w:val="en-US"/>
        </w:rPr>
        <w:t>activity is given without elimination</w:t>
      </w:r>
    </w:p>
    <w:p w:rsidR="00831EDC" w:rsidRPr="009A7B0F" w:rsidRDefault="00831EDC" w:rsidP="009A7B0F">
      <w:pPr>
        <w:spacing w:after="0"/>
        <w:ind w:right="-143" w:firstLine="709"/>
        <w:jc w:val="both"/>
        <w:rPr>
          <w:rFonts w:ascii="Times New Roman" w:hAnsi="Times New Roman" w:cs="Times New Roman"/>
          <w:sz w:val="28"/>
          <w:szCs w:val="28"/>
          <w:lang w:val="en-US"/>
        </w:rPr>
      </w:pPr>
    </w:p>
    <w:p w:rsidR="00102822" w:rsidRPr="009A7B0F" w:rsidRDefault="00102822"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b/>
          <w:sz w:val="28"/>
          <w:szCs w:val="28"/>
          <w:lang w:val="en-US"/>
        </w:rPr>
        <w:lastRenderedPageBreak/>
        <w:t>Consolidated</w:t>
      </w:r>
      <w:r w:rsidR="00831EDC" w:rsidRPr="009A7B0F">
        <w:rPr>
          <w:rFonts w:ascii="Times New Roman" w:hAnsi="Times New Roman" w:cs="Times New Roman"/>
          <w:b/>
          <w:sz w:val="28"/>
          <w:szCs w:val="28"/>
          <w:lang w:val="en-US"/>
        </w:rPr>
        <w:t xml:space="preserve"> total</w:t>
      </w:r>
      <w:r w:rsidRPr="009A7B0F">
        <w:rPr>
          <w:rFonts w:ascii="Times New Roman" w:hAnsi="Times New Roman" w:cs="Times New Roman"/>
          <w:b/>
          <w:sz w:val="28"/>
          <w:szCs w:val="28"/>
          <w:lang w:val="en-US"/>
        </w:rPr>
        <w:t xml:space="preserve"> loss</w:t>
      </w:r>
      <w:r w:rsidRPr="009A7B0F">
        <w:rPr>
          <w:rFonts w:ascii="Times New Roman" w:hAnsi="Times New Roman" w:cs="Times New Roman"/>
          <w:sz w:val="28"/>
          <w:szCs w:val="28"/>
          <w:lang w:val="en-US"/>
        </w:rPr>
        <w:t xml:space="preserve">  at the end of 2015 amounted to (- 77 835) million</w:t>
      </w:r>
      <w:r w:rsidR="00831EDC" w:rsidRPr="009A7B0F">
        <w:rPr>
          <w:rFonts w:ascii="Times New Roman" w:hAnsi="Times New Roman" w:cs="Times New Roman"/>
          <w:sz w:val="28"/>
          <w:szCs w:val="28"/>
          <w:lang w:val="en-US"/>
        </w:rPr>
        <w:t xml:space="preserve"> </w:t>
      </w:r>
      <w:proofErr w:type="spellStart"/>
      <w:r w:rsidR="00831EDC" w:rsidRPr="009A7B0F">
        <w:rPr>
          <w:rFonts w:ascii="Times New Roman" w:hAnsi="Times New Roman" w:cs="Times New Roman"/>
          <w:sz w:val="28"/>
          <w:szCs w:val="28"/>
          <w:lang w:val="en-US"/>
        </w:rPr>
        <w:t>tenge</w:t>
      </w:r>
      <w:proofErr w:type="spellEnd"/>
      <w:r w:rsidRPr="009A7B0F">
        <w:rPr>
          <w:rFonts w:ascii="Times New Roman" w:hAnsi="Times New Roman" w:cs="Times New Roman"/>
          <w:sz w:val="28"/>
          <w:szCs w:val="28"/>
          <w:lang w:val="en-US"/>
        </w:rPr>
        <w:t>, which is</w:t>
      </w:r>
      <w:r w:rsidR="00831EDC" w:rsidRPr="009A7B0F">
        <w:rPr>
          <w:rFonts w:ascii="Times New Roman" w:hAnsi="Times New Roman" w:cs="Times New Roman"/>
          <w:sz w:val="28"/>
          <w:szCs w:val="28"/>
          <w:lang w:val="en-US"/>
        </w:rPr>
        <w:t xml:space="preserve"> due to</w:t>
      </w:r>
      <w:r w:rsidRPr="009A7B0F">
        <w:rPr>
          <w:rFonts w:ascii="Times New Roman" w:hAnsi="Times New Roman" w:cs="Times New Roman"/>
          <w:sz w:val="28"/>
          <w:szCs w:val="28"/>
          <w:lang w:val="en-US"/>
        </w:rPr>
        <w:t xml:space="preserve"> a decrease in the exchange rate of </w:t>
      </w:r>
      <w:proofErr w:type="spellStart"/>
      <w:r w:rsidRPr="009A7B0F">
        <w:rPr>
          <w:rFonts w:ascii="Times New Roman" w:hAnsi="Times New Roman" w:cs="Times New Roman"/>
          <w:sz w:val="28"/>
          <w:szCs w:val="28"/>
          <w:lang w:val="en-US"/>
        </w:rPr>
        <w:t>tenge</w:t>
      </w:r>
      <w:proofErr w:type="spellEnd"/>
      <w:r w:rsidRPr="009A7B0F">
        <w:rPr>
          <w:rFonts w:ascii="Times New Roman" w:hAnsi="Times New Roman" w:cs="Times New Roman"/>
          <w:sz w:val="28"/>
          <w:szCs w:val="28"/>
          <w:lang w:val="en-US"/>
        </w:rPr>
        <w:t xml:space="preserve"> and the emergence of foreign exchange losses in the amount of 107 </w:t>
      </w:r>
      <w:proofErr w:type="spellStart"/>
      <w:r w:rsidR="00F45FB9" w:rsidRPr="009A7B0F">
        <w:rPr>
          <w:rFonts w:ascii="Times New Roman" w:hAnsi="Times New Roman" w:cs="Times New Roman"/>
          <w:sz w:val="28"/>
          <w:szCs w:val="28"/>
          <w:lang w:val="en-US"/>
        </w:rPr>
        <w:t>c</w:t>
      </w:r>
      <w:r w:rsidRPr="009A7B0F">
        <w:rPr>
          <w:rFonts w:ascii="Times New Roman" w:hAnsi="Times New Roman" w:cs="Times New Roman"/>
          <w:sz w:val="28"/>
          <w:szCs w:val="28"/>
          <w:lang w:val="en-US"/>
        </w:rPr>
        <w:t>million</w:t>
      </w:r>
      <w:proofErr w:type="spellEnd"/>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tenge</w:t>
      </w:r>
      <w:proofErr w:type="spellEnd"/>
      <w:r w:rsidRPr="009A7B0F">
        <w:rPr>
          <w:rFonts w:ascii="Times New Roman" w:hAnsi="Times New Roman" w:cs="Times New Roman"/>
          <w:sz w:val="28"/>
          <w:szCs w:val="28"/>
          <w:lang w:val="en-US"/>
        </w:rPr>
        <w:t>.</w:t>
      </w:r>
    </w:p>
    <w:p w:rsidR="00102822" w:rsidRPr="009A7B0F" w:rsidRDefault="00831EDC"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In the following years the profit equals to</w:t>
      </w:r>
      <w:r w:rsidR="00102822" w:rsidRPr="009A7B0F">
        <w:rPr>
          <w:rFonts w:ascii="Times New Roman" w:hAnsi="Times New Roman" w:cs="Times New Roman"/>
          <w:sz w:val="28"/>
          <w:szCs w:val="28"/>
          <w:lang w:val="en-US"/>
        </w:rPr>
        <w:t xml:space="preserve"> 41 714 million</w:t>
      </w:r>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t</w:t>
      </w:r>
      <w:r w:rsidR="00102822" w:rsidRPr="009A7B0F">
        <w:rPr>
          <w:rFonts w:ascii="Times New Roman" w:hAnsi="Times New Roman" w:cs="Times New Roman"/>
          <w:sz w:val="28"/>
          <w:szCs w:val="28"/>
          <w:lang w:val="en-US"/>
        </w:rPr>
        <w:t>enge</w:t>
      </w:r>
      <w:proofErr w:type="spellEnd"/>
      <w:r w:rsidR="00102822" w:rsidRPr="009A7B0F">
        <w:rPr>
          <w:rFonts w:ascii="Times New Roman" w:hAnsi="Times New Roman" w:cs="Times New Roman"/>
          <w:sz w:val="28"/>
          <w:szCs w:val="28"/>
          <w:lang w:val="en-US"/>
        </w:rPr>
        <w:t>.</w:t>
      </w:r>
    </w:p>
    <w:p w:rsidR="00831EDC" w:rsidRPr="009A7B0F" w:rsidRDefault="00831EDC" w:rsidP="009A7B0F">
      <w:pPr>
        <w:spacing w:after="0"/>
        <w:ind w:right="-143" w:firstLine="709"/>
        <w:jc w:val="both"/>
        <w:rPr>
          <w:rFonts w:ascii="Times New Roman" w:hAnsi="Times New Roman" w:cs="Times New Roman"/>
          <w:sz w:val="28"/>
          <w:szCs w:val="28"/>
          <w:lang w:val="en-US"/>
        </w:rPr>
      </w:pPr>
    </w:p>
    <w:p w:rsidR="002C5CCA" w:rsidRPr="009A7B0F" w:rsidRDefault="00102822"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b/>
          <w:sz w:val="28"/>
          <w:szCs w:val="28"/>
          <w:lang w:val="en-US"/>
        </w:rPr>
        <w:t>Revenues from sales of products and services</w:t>
      </w:r>
      <w:r w:rsidR="00831EDC" w:rsidRPr="009A7B0F">
        <w:rPr>
          <w:rFonts w:ascii="Times New Roman" w:hAnsi="Times New Roman" w:cs="Times New Roman"/>
          <w:b/>
          <w:sz w:val="28"/>
          <w:szCs w:val="28"/>
          <w:lang w:val="en-US"/>
        </w:rPr>
        <w:t xml:space="preserve"> rendered</w:t>
      </w:r>
      <w:r w:rsidR="00831EDC" w:rsidRPr="009A7B0F">
        <w:rPr>
          <w:rFonts w:ascii="Times New Roman" w:hAnsi="Times New Roman" w:cs="Times New Roman"/>
          <w:sz w:val="28"/>
          <w:szCs w:val="28"/>
          <w:lang w:val="en-US"/>
        </w:rPr>
        <w:t xml:space="preserve"> across</w:t>
      </w:r>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-Energ</w:t>
      </w:r>
      <w:r w:rsidR="00831EDC" w:rsidRPr="009A7B0F">
        <w:rPr>
          <w:rFonts w:ascii="Times New Roman" w:hAnsi="Times New Roman" w:cs="Times New Roman"/>
          <w:sz w:val="28"/>
          <w:szCs w:val="28"/>
          <w:lang w:val="en-US"/>
        </w:rPr>
        <w:t>y</w:t>
      </w:r>
      <w:r w:rsidRPr="009A7B0F">
        <w:rPr>
          <w:rFonts w:ascii="Times New Roman" w:hAnsi="Times New Roman" w:cs="Times New Roman"/>
          <w:sz w:val="28"/>
          <w:szCs w:val="28"/>
          <w:lang w:val="en-US"/>
        </w:rPr>
        <w:t>"</w:t>
      </w:r>
      <w:r w:rsidR="00831EDC" w:rsidRPr="009A7B0F">
        <w:rPr>
          <w:rFonts w:ascii="Times New Roman" w:hAnsi="Times New Roman" w:cs="Times New Roman"/>
          <w:sz w:val="28"/>
          <w:szCs w:val="28"/>
          <w:lang w:val="en-US"/>
        </w:rPr>
        <w:t xml:space="preserve"> JSC group of</w:t>
      </w:r>
      <w:r w:rsidRPr="009A7B0F">
        <w:rPr>
          <w:rFonts w:ascii="Times New Roman" w:hAnsi="Times New Roman" w:cs="Times New Roman"/>
          <w:sz w:val="28"/>
          <w:szCs w:val="28"/>
          <w:lang w:val="en-US"/>
        </w:rPr>
        <w:t xml:space="preserve"> companies in 2015 amounted to 228</w:t>
      </w:r>
      <w:r w:rsidR="00831EDC"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865 </w:t>
      </w:r>
      <w:proofErr w:type="spellStart"/>
      <w:r w:rsidRPr="009A7B0F">
        <w:rPr>
          <w:rFonts w:ascii="Times New Roman" w:hAnsi="Times New Roman" w:cs="Times New Roman"/>
          <w:sz w:val="28"/>
          <w:szCs w:val="28"/>
          <w:lang w:val="en-US"/>
        </w:rPr>
        <w:t>mln</w:t>
      </w:r>
      <w:proofErr w:type="spellEnd"/>
      <w:r w:rsidRPr="009A7B0F">
        <w:rPr>
          <w:rFonts w:ascii="Times New Roman" w:hAnsi="Times New Roman" w:cs="Times New Roman"/>
          <w:sz w:val="28"/>
          <w:szCs w:val="28"/>
          <w:lang w:val="en-US"/>
        </w:rPr>
        <w:t>.</w:t>
      </w:r>
      <w:r w:rsidR="00831EDC" w:rsidRPr="009A7B0F">
        <w:rPr>
          <w:rFonts w:ascii="Times New Roman" w:hAnsi="Times New Roman" w:cs="Times New Roman"/>
          <w:sz w:val="28"/>
          <w:szCs w:val="28"/>
          <w:lang w:val="en-US"/>
        </w:rPr>
        <w:t xml:space="preserve"> </w:t>
      </w:r>
      <w:proofErr w:type="spellStart"/>
      <w:proofErr w:type="gramStart"/>
      <w:r w:rsidR="00831EDC" w:rsidRPr="009A7B0F">
        <w:rPr>
          <w:rFonts w:ascii="Times New Roman" w:hAnsi="Times New Roman" w:cs="Times New Roman"/>
          <w:sz w:val="28"/>
          <w:szCs w:val="28"/>
          <w:lang w:val="en-US"/>
        </w:rPr>
        <w:t>tenge</w:t>
      </w:r>
      <w:proofErr w:type="spellEnd"/>
      <w:proofErr w:type="gramEnd"/>
      <w:r w:rsidR="00831EDC"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 An increase </w:t>
      </w:r>
      <w:r w:rsidR="00831EDC" w:rsidRPr="009A7B0F">
        <w:rPr>
          <w:rFonts w:ascii="Times New Roman" w:hAnsi="Times New Roman" w:cs="Times New Roman"/>
          <w:sz w:val="28"/>
          <w:szCs w:val="28"/>
          <w:lang w:val="en-US"/>
        </w:rPr>
        <w:t>by</w:t>
      </w:r>
      <w:r w:rsidRPr="009A7B0F">
        <w:rPr>
          <w:rFonts w:ascii="Times New Roman" w:hAnsi="Times New Roman" w:cs="Times New Roman"/>
          <w:sz w:val="28"/>
          <w:szCs w:val="28"/>
          <w:lang w:val="en-US"/>
        </w:rPr>
        <w:t xml:space="preserve"> 3.5% compared to the same period</w:t>
      </w:r>
      <w:r w:rsidR="00831EDC" w:rsidRPr="009A7B0F">
        <w:rPr>
          <w:rFonts w:ascii="Times New Roman" w:hAnsi="Times New Roman" w:cs="Times New Roman"/>
          <w:sz w:val="28"/>
          <w:szCs w:val="28"/>
          <w:lang w:val="en-US"/>
        </w:rPr>
        <w:t xml:space="preserve"> of</w:t>
      </w:r>
      <w:r w:rsidRPr="009A7B0F">
        <w:rPr>
          <w:rFonts w:ascii="Times New Roman" w:hAnsi="Times New Roman" w:cs="Times New Roman"/>
          <w:sz w:val="28"/>
          <w:szCs w:val="28"/>
          <w:lang w:val="en-US"/>
        </w:rPr>
        <w:t xml:space="preserve"> last year </w:t>
      </w:r>
      <w:r w:rsidR="00831EDC" w:rsidRPr="009A7B0F">
        <w:rPr>
          <w:rFonts w:ascii="Times New Roman" w:hAnsi="Times New Roman" w:cs="Times New Roman"/>
          <w:sz w:val="28"/>
          <w:szCs w:val="28"/>
          <w:lang w:val="en-US"/>
        </w:rPr>
        <w:t xml:space="preserve">was </w:t>
      </w:r>
      <w:r w:rsidRPr="009A7B0F">
        <w:rPr>
          <w:rFonts w:ascii="Times New Roman" w:hAnsi="Times New Roman" w:cs="Times New Roman"/>
          <w:sz w:val="28"/>
          <w:szCs w:val="28"/>
          <w:lang w:val="en-US"/>
        </w:rPr>
        <w:t xml:space="preserve">mainly due to the growth of tariffs for all activities of the Company. </w:t>
      </w:r>
      <w:r w:rsidR="00164E29" w:rsidRPr="009A7B0F">
        <w:rPr>
          <w:rFonts w:ascii="Times New Roman" w:hAnsi="Times New Roman" w:cs="Times New Roman"/>
          <w:sz w:val="28"/>
          <w:szCs w:val="28"/>
          <w:lang w:val="en-US"/>
        </w:rPr>
        <w:t>Considerable</w:t>
      </w:r>
      <w:r w:rsidRPr="009A7B0F">
        <w:rPr>
          <w:rFonts w:ascii="Times New Roman" w:hAnsi="Times New Roman" w:cs="Times New Roman"/>
          <w:sz w:val="28"/>
          <w:szCs w:val="28"/>
          <w:lang w:val="en-US"/>
        </w:rPr>
        <w:t xml:space="preserve"> proportion of revenues</w:t>
      </w:r>
      <w:r w:rsidR="00164E29" w:rsidRPr="009A7B0F">
        <w:rPr>
          <w:rFonts w:ascii="Times New Roman" w:hAnsi="Times New Roman" w:cs="Times New Roman"/>
          <w:sz w:val="28"/>
          <w:szCs w:val="28"/>
          <w:lang w:val="en-US"/>
        </w:rPr>
        <w:t xml:space="preserve"> is</w:t>
      </w:r>
      <w:r w:rsidRPr="009A7B0F">
        <w:rPr>
          <w:rFonts w:ascii="Times New Roman" w:hAnsi="Times New Roman" w:cs="Times New Roman"/>
          <w:sz w:val="28"/>
          <w:szCs w:val="28"/>
          <w:lang w:val="en-US"/>
        </w:rPr>
        <w:t xml:space="preserve"> generated by proceeds from the sale of electricity</w:t>
      </w:r>
      <w:r w:rsidR="00164E29" w:rsidRPr="009A7B0F">
        <w:rPr>
          <w:rFonts w:ascii="Times New Roman" w:hAnsi="Times New Roman" w:cs="Times New Roman"/>
          <w:sz w:val="28"/>
          <w:szCs w:val="28"/>
          <w:lang w:val="en-US"/>
        </w:rPr>
        <w:t xml:space="preserve"> by</w:t>
      </w:r>
      <w:r w:rsidRPr="009A7B0F">
        <w:rPr>
          <w:rFonts w:ascii="Times New Roman" w:hAnsi="Times New Roman" w:cs="Times New Roman"/>
          <w:sz w:val="28"/>
          <w:szCs w:val="28"/>
          <w:lang w:val="en-US"/>
        </w:rPr>
        <w:t xml:space="preserve"> </w:t>
      </w:r>
      <w:r w:rsidR="00164E29" w:rsidRPr="009A7B0F">
        <w:rPr>
          <w:rFonts w:ascii="Times New Roman" w:hAnsi="Times New Roman" w:cs="Times New Roman"/>
          <w:sz w:val="28"/>
          <w:szCs w:val="28"/>
          <w:lang w:val="en-US"/>
        </w:rPr>
        <w:t>energy producing organizations</w:t>
      </w:r>
      <w:r w:rsidRPr="009A7B0F">
        <w:rPr>
          <w:rFonts w:ascii="Times New Roman" w:hAnsi="Times New Roman" w:cs="Times New Roman"/>
          <w:sz w:val="28"/>
          <w:szCs w:val="28"/>
          <w:lang w:val="en-US"/>
        </w:rPr>
        <w:t>, the volume of which in 2015 amounted to over 22</w:t>
      </w:r>
      <w:proofErr w:type="gramStart"/>
      <w:r w:rsidR="00164E29"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3</w:t>
      </w:r>
      <w:proofErr w:type="gramEnd"/>
      <w:r w:rsidRPr="009A7B0F">
        <w:rPr>
          <w:rFonts w:ascii="Times New Roman" w:hAnsi="Times New Roman" w:cs="Times New Roman"/>
          <w:sz w:val="28"/>
          <w:szCs w:val="28"/>
          <w:lang w:val="en-US"/>
        </w:rPr>
        <w:t xml:space="preserve"> billion kWh. Also, a large share of income </w:t>
      </w:r>
      <w:r w:rsidR="00164E29" w:rsidRPr="009A7B0F">
        <w:rPr>
          <w:rFonts w:ascii="Times New Roman" w:hAnsi="Times New Roman" w:cs="Times New Roman"/>
          <w:sz w:val="28"/>
          <w:szCs w:val="28"/>
          <w:lang w:val="en-US"/>
        </w:rPr>
        <w:t>belongs to</w:t>
      </w:r>
      <w:r w:rsidRPr="009A7B0F">
        <w:rPr>
          <w:rFonts w:ascii="Times New Roman" w:hAnsi="Times New Roman" w:cs="Times New Roman"/>
          <w:sz w:val="28"/>
          <w:szCs w:val="28"/>
          <w:lang w:val="en-US"/>
        </w:rPr>
        <w:t xml:space="preserve"> income from electricity</w:t>
      </w:r>
      <w:r w:rsidR="00164E29" w:rsidRPr="009A7B0F">
        <w:rPr>
          <w:rFonts w:ascii="Times New Roman" w:hAnsi="Times New Roman" w:cs="Times New Roman"/>
          <w:sz w:val="28"/>
          <w:szCs w:val="28"/>
          <w:lang w:val="en-US"/>
        </w:rPr>
        <w:t xml:space="preserve"> sales by power</w:t>
      </w:r>
      <w:r w:rsidRPr="009A7B0F">
        <w:rPr>
          <w:rFonts w:ascii="Times New Roman" w:hAnsi="Times New Roman" w:cs="Times New Roman"/>
          <w:sz w:val="28"/>
          <w:szCs w:val="28"/>
          <w:lang w:val="en-US"/>
        </w:rPr>
        <w:t xml:space="preserve"> supply </w:t>
      </w:r>
      <w:r w:rsidR="00164E29" w:rsidRPr="009A7B0F">
        <w:rPr>
          <w:rFonts w:ascii="Times New Roman" w:hAnsi="Times New Roman" w:cs="Times New Roman"/>
          <w:sz w:val="28"/>
          <w:szCs w:val="28"/>
          <w:lang w:val="en-US"/>
        </w:rPr>
        <w:t>organizations</w:t>
      </w:r>
      <w:r w:rsidRPr="009A7B0F">
        <w:rPr>
          <w:rFonts w:ascii="Times New Roman" w:hAnsi="Times New Roman" w:cs="Times New Roman"/>
          <w:sz w:val="28"/>
          <w:szCs w:val="28"/>
          <w:lang w:val="en-US"/>
        </w:rPr>
        <w:t xml:space="preserve">, the volume of sales </w:t>
      </w:r>
      <w:r w:rsidR="00164E29" w:rsidRPr="009A7B0F">
        <w:rPr>
          <w:rFonts w:ascii="Times New Roman" w:hAnsi="Times New Roman" w:cs="Times New Roman"/>
          <w:sz w:val="28"/>
          <w:szCs w:val="28"/>
          <w:lang w:val="en-US"/>
        </w:rPr>
        <w:t xml:space="preserve">of </w:t>
      </w:r>
      <w:r w:rsidRPr="009A7B0F">
        <w:rPr>
          <w:rFonts w:ascii="Times New Roman" w:hAnsi="Times New Roman" w:cs="Times New Roman"/>
          <w:sz w:val="28"/>
          <w:szCs w:val="28"/>
          <w:lang w:val="en-US"/>
        </w:rPr>
        <w:t>which in 2015 amounted to over 8</w:t>
      </w:r>
      <w:proofErr w:type="gramStart"/>
      <w:r w:rsidR="00164E29"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4</w:t>
      </w:r>
      <w:proofErr w:type="gramEnd"/>
      <w:r w:rsidRPr="009A7B0F">
        <w:rPr>
          <w:rFonts w:ascii="Times New Roman" w:hAnsi="Times New Roman" w:cs="Times New Roman"/>
          <w:sz w:val="28"/>
          <w:szCs w:val="28"/>
          <w:lang w:val="en-US"/>
        </w:rPr>
        <w:t xml:space="preserve"> billion kWh, and from provision of services for power transmission and distribution in the amount of 12</w:t>
      </w:r>
      <w:r w:rsidR="00164E29"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1 billion kWh.</w:t>
      </w:r>
    </w:p>
    <w:p w:rsidR="009F1515" w:rsidRPr="009A7B0F" w:rsidRDefault="009F1515" w:rsidP="009A7B0F">
      <w:pPr>
        <w:spacing w:after="0"/>
        <w:ind w:right="-143" w:firstLine="709"/>
        <w:jc w:val="both"/>
        <w:rPr>
          <w:rFonts w:ascii="Times New Roman" w:hAnsi="Times New Roman" w:cs="Times New Roman"/>
          <w:sz w:val="28"/>
          <w:szCs w:val="28"/>
          <w:lang w:val="en-US"/>
        </w:rPr>
      </w:pPr>
    </w:p>
    <w:p w:rsidR="009F1515" w:rsidRPr="00A101DE" w:rsidRDefault="009F1515" w:rsidP="009A7B0F">
      <w:pPr>
        <w:spacing w:after="0"/>
        <w:ind w:right="-143" w:firstLine="709"/>
        <w:jc w:val="center"/>
        <w:rPr>
          <w:rFonts w:ascii="Times New Roman" w:hAnsi="Times New Roman" w:cs="Times New Roman"/>
          <w:b/>
          <w:sz w:val="28"/>
          <w:szCs w:val="28"/>
          <w:lang w:val="en-US"/>
        </w:rPr>
      </w:pPr>
      <w:r w:rsidRPr="009A7B0F">
        <w:rPr>
          <w:rFonts w:ascii="Times New Roman" w:hAnsi="Times New Roman" w:cs="Times New Roman"/>
          <w:b/>
          <w:sz w:val="28"/>
          <w:szCs w:val="28"/>
          <w:lang w:val="en-US"/>
        </w:rPr>
        <w:t>2015 revenue structure by main types of activity</w:t>
      </w:r>
    </w:p>
    <w:p w:rsidR="004D586B" w:rsidRPr="00A101DE" w:rsidRDefault="004D586B" w:rsidP="009A7B0F">
      <w:pPr>
        <w:spacing w:after="0"/>
        <w:ind w:right="-143" w:firstLine="709"/>
        <w:jc w:val="center"/>
        <w:rPr>
          <w:rFonts w:ascii="Times New Roman" w:hAnsi="Times New Roman" w:cs="Times New Roman"/>
          <w:b/>
          <w:sz w:val="28"/>
          <w:szCs w:val="28"/>
          <w:lang w:val="en-US"/>
        </w:rPr>
      </w:pPr>
    </w:p>
    <w:p w:rsidR="009F1515" w:rsidRPr="009A7B0F" w:rsidRDefault="004D586B" w:rsidP="004D586B">
      <w:pPr>
        <w:spacing w:after="0"/>
        <w:ind w:right="-143"/>
        <w:jc w:val="center"/>
        <w:rPr>
          <w:rFonts w:ascii="Times New Roman" w:hAnsi="Times New Roman" w:cs="Times New Roman"/>
          <w:b/>
          <w:sz w:val="28"/>
          <w:szCs w:val="28"/>
          <w:lang w:val="en-US"/>
        </w:rPr>
      </w:pPr>
      <w:r>
        <w:rPr>
          <w:noProof/>
          <w:lang w:eastAsia="ru-RU"/>
        </w:rPr>
        <w:drawing>
          <wp:inline distT="0" distB="0" distL="0" distR="0" wp14:anchorId="30A7A4FE" wp14:editId="5B4B5AE2">
            <wp:extent cx="4943475" cy="21431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lang w:eastAsia="ru-RU"/>
        </w:rPr>
        <w:t xml:space="preserve"> </w:t>
      </w:r>
    </w:p>
    <w:p w:rsidR="009F1515" w:rsidRPr="009A7B0F" w:rsidRDefault="009F1515" w:rsidP="009A7B0F">
      <w:pPr>
        <w:spacing w:after="0"/>
        <w:ind w:right="-143" w:firstLine="709"/>
        <w:rPr>
          <w:rFonts w:ascii="Times New Roman" w:hAnsi="Times New Roman" w:cs="Times New Roman"/>
          <w:sz w:val="28"/>
          <w:szCs w:val="28"/>
        </w:rPr>
      </w:pPr>
    </w:p>
    <w:p w:rsidR="009F1515" w:rsidRPr="009A7B0F" w:rsidRDefault="009F1515" w:rsidP="009A7B0F">
      <w:pPr>
        <w:spacing w:after="0"/>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Forecast for the future</w:t>
      </w:r>
      <w:r w:rsidR="00AA0F38" w:rsidRPr="009A7B0F">
        <w:rPr>
          <w:rFonts w:ascii="Times New Roman" w:hAnsi="Times New Roman" w:cs="Times New Roman"/>
          <w:sz w:val="28"/>
          <w:szCs w:val="28"/>
          <w:lang w:val="en-US"/>
        </w:rPr>
        <w:t xml:space="preserve"> term</w:t>
      </w:r>
      <w:r w:rsidRPr="009A7B0F">
        <w:rPr>
          <w:rFonts w:ascii="Times New Roman" w:hAnsi="Times New Roman" w:cs="Times New Roman"/>
          <w:sz w:val="28"/>
          <w:szCs w:val="28"/>
          <w:lang w:val="en-US"/>
        </w:rPr>
        <w:t xml:space="preserve">: In the forecast for 2016, </w:t>
      </w:r>
      <w:r w:rsidR="00AA0F38" w:rsidRPr="009A7B0F">
        <w:rPr>
          <w:rFonts w:ascii="Times New Roman" w:hAnsi="Times New Roman" w:cs="Times New Roman"/>
          <w:sz w:val="28"/>
          <w:szCs w:val="28"/>
          <w:lang w:val="en-US"/>
        </w:rPr>
        <w:t>income</w:t>
      </w:r>
      <w:r w:rsidRPr="009A7B0F">
        <w:rPr>
          <w:rFonts w:ascii="Times New Roman" w:hAnsi="Times New Roman" w:cs="Times New Roman"/>
          <w:sz w:val="28"/>
          <w:szCs w:val="28"/>
          <w:lang w:val="en-US"/>
        </w:rPr>
        <w:t xml:space="preserve"> from the sale is planned in the amount of 255 685 </w:t>
      </w:r>
      <w:proofErr w:type="spellStart"/>
      <w:r w:rsidRPr="009A7B0F">
        <w:rPr>
          <w:rFonts w:ascii="Times New Roman" w:hAnsi="Times New Roman" w:cs="Times New Roman"/>
          <w:sz w:val="28"/>
          <w:szCs w:val="28"/>
          <w:lang w:val="en-US"/>
        </w:rPr>
        <w:t>mln</w:t>
      </w:r>
      <w:proofErr w:type="spellEnd"/>
      <w:r w:rsidRPr="009A7B0F">
        <w:rPr>
          <w:rFonts w:ascii="Times New Roman" w:hAnsi="Times New Roman" w:cs="Times New Roman"/>
          <w:sz w:val="28"/>
          <w:szCs w:val="28"/>
          <w:lang w:val="en-US"/>
        </w:rPr>
        <w:t xml:space="preserve"> </w:t>
      </w:r>
      <w:r w:rsidR="00AA0F38" w:rsidRPr="009A7B0F">
        <w:rPr>
          <w:rFonts w:ascii="Times New Roman" w:hAnsi="Times New Roman" w:cs="Times New Roman"/>
          <w:sz w:val="28"/>
          <w:szCs w:val="28"/>
          <w:lang w:val="en-US"/>
        </w:rPr>
        <w:t>.</w:t>
      </w:r>
      <w:proofErr w:type="spellStart"/>
      <w:r w:rsidRPr="009A7B0F">
        <w:rPr>
          <w:rFonts w:ascii="Times New Roman" w:hAnsi="Times New Roman" w:cs="Times New Roman"/>
          <w:sz w:val="28"/>
          <w:szCs w:val="28"/>
          <w:lang w:val="en-US"/>
        </w:rPr>
        <w:t>tenge</w:t>
      </w:r>
      <w:proofErr w:type="spellEnd"/>
      <w:r w:rsidRPr="009A7B0F">
        <w:rPr>
          <w:rFonts w:ascii="Times New Roman" w:hAnsi="Times New Roman" w:cs="Times New Roman"/>
          <w:sz w:val="28"/>
          <w:szCs w:val="28"/>
          <w:lang w:val="en-US"/>
        </w:rPr>
        <w:t xml:space="preserve"> with growth by 2015 by 12% due to increase</w:t>
      </w:r>
      <w:r w:rsidR="00AA0F38" w:rsidRPr="009A7B0F">
        <w:rPr>
          <w:rFonts w:ascii="Times New Roman" w:hAnsi="Times New Roman" w:cs="Times New Roman"/>
          <w:sz w:val="28"/>
          <w:szCs w:val="28"/>
          <w:lang w:val="en-US"/>
        </w:rPr>
        <w:t xml:space="preserve"> in</w:t>
      </w:r>
      <w:r w:rsidRPr="009A7B0F">
        <w:rPr>
          <w:rFonts w:ascii="Times New Roman" w:hAnsi="Times New Roman" w:cs="Times New Roman"/>
          <w:sz w:val="28"/>
          <w:szCs w:val="28"/>
          <w:lang w:val="en-US"/>
        </w:rPr>
        <w:t xml:space="preserve"> volumes of production, transmission and sale of electricity </w:t>
      </w:r>
      <w:r w:rsidR="00AA0F38" w:rsidRPr="009A7B0F">
        <w:rPr>
          <w:rFonts w:ascii="Times New Roman" w:hAnsi="Times New Roman" w:cs="Times New Roman"/>
          <w:sz w:val="28"/>
          <w:szCs w:val="28"/>
          <w:lang w:val="en-US"/>
        </w:rPr>
        <w:t>as well as</w:t>
      </w:r>
      <w:r w:rsidRPr="009A7B0F">
        <w:rPr>
          <w:rFonts w:ascii="Times New Roman" w:hAnsi="Times New Roman" w:cs="Times New Roman"/>
          <w:sz w:val="28"/>
          <w:szCs w:val="28"/>
          <w:lang w:val="en-US"/>
        </w:rPr>
        <w:t xml:space="preserve"> </w:t>
      </w:r>
      <w:r w:rsidR="00AA0F38" w:rsidRPr="009A7B0F">
        <w:rPr>
          <w:rFonts w:ascii="Times New Roman" w:hAnsi="Times New Roman" w:cs="Times New Roman"/>
          <w:sz w:val="28"/>
          <w:szCs w:val="28"/>
          <w:lang w:val="en-US"/>
        </w:rPr>
        <w:t xml:space="preserve">heat </w:t>
      </w:r>
      <w:r w:rsidRPr="009A7B0F">
        <w:rPr>
          <w:rFonts w:ascii="Times New Roman" w:hAnsi="Times New Roman" w:cs="Times New Roman"/>
          <w:sz w:val="28"/>
          <w:szCs w:val="28"/>
          <w:lang w:val="en-US"/>
        </w:rPr>
        <w:t>production</w:t>
      </w:r>
      <w:r w:rsidR="00AA0F38" w:rsidRPr="009A7B0F">
        <w:rPr>
          <w:rFonts w:ascii="Times New Roman" w:hAnsi="Times New Roman" w:cs="Times New Roman"/>
          <w:sz w:val="28"/>
          <w:szCs w:val="28"/>
          <w:lang w:val="en-US"/>
        </w:rPr>
        <w:t xml:space="preserve">. </w:t>
      </w:r>
    </w:p>
    <w:p w:rsidR="009F1515" w:rsidRPr="009A7B0F" w:rsidRDefault="009F1515" w:rsidP="009A7B0F">
      <w:pPr>
        <w:spacing w:after="0"/>
        <w:ind w:right="-143" w:firstLine="709"/>
        <w:rPr>
          <w:rFonts w:ascii="Times New Roman" w:hAnsi="Times New Roman" w:cs="Times New Roman"/>
          <w:sz w:val="28"/>
          <w:szCs w:val="28"/>
          <w:lang w:val="en-US"/>
        </w:rPr>
      </w:pPr>
    </w:p>
    <w:p w:rsidR="009F1515" w:rsidRPr="009A7B0F" w:rsidRDefault="00AA0F38" w:rsidP="009A7B0F">
      <w:pPr>
        <w:spacing w:after="0"/>
        <w:ind w:right="-143" w:firstLine="709"/>
        <w:jc w:val="center"/>
        <w:rPr>
          <w:rFonts w:ascii="Times New Roman" w:hAnsi="Times New Roman" w:cs="Times New Roman"/>
          <w:b/>
          <w:sz w:val="28"/>
          <w:szCs w:val="28"/>
          <w:lang w:val="en-US"/>
        </w:rPr>
      </w:pPr>
      <w:r w:rsidRPr="009A7B0F">
        <w:rPr>
          <w:rFonts w:ascii="Times New Roman" w:hAnsi="Times New Roman" w:cs="Times New Roman"/>
          <w:b/>
          <w:sz w:val="28"/>
          <w:szCs w:val="28"/>
          <w:lang w:val="en-US"/>
        </w:rPr>
        <w:t>Income from products sale and services delivery by producers</w:t>
      </w:r>
    </w:p>
    <w:p w:rsidR="00900259" w:rsidRPr="009A7B0F" w:rsidRDefault="00900259" w:rsidP="009A7B0F">
      <w:pPr>
        <w:spacing w:after="0"/>
        <w:ind w:right="-143" w:firstLine="709"/>
        <w:jc w:val="center"/>
        <w:rPr>
          <w:rFonts w:ascii="Times New Roman" w:hAnsi="Times New Roman" w:cs="Times New Roman"/>
          <w:b/>
          <w:sz w:val="28"/>
          <w:szCs w:val="28"/>
          <w:lang w:val="en-US"/>
        </w:rPr>
      </w:pPr>
    </w:p>
    <w:tbl>
      <w:tblPr>
        <w:tblW w:w="9720" w:type="dxa"/>
        <w:tblInd w:w="98" w:type="dxa"/>
        <w:tblLook w:val="04A0" w:firstRow="1" w:lastRow="0" w:firstColumn="1" w:lastColumn="0" w:noHBand="0" w:noVBand="1"/>
      </w:tblPr>
      <w:tblGrid>
        <w:gridCol w:w="3640"/>
        <w:gridCol w:w="1442"/>
        <w:gridCol w:w="1442"/>
        <w:gridCol w:w="1620"/>
        <w:gridCol w:w="1576"/>
      </w:tblGrid>
      <w:tr w:rsidR="00900259" w:rsidRPr="009A7B0F" w:rsidTr="00720CC6">
        <w:trPr>
          <w:trHeight w:val="47"/>
        </w:trPr>
        <w:tc>
          <w:tcPr>
            <w:tcW w:w="3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 xml:space="preserve">Indicator, </w:t>
            </w:r>
            <w:proofErr w:type="spellStart"/>
            <w:r w:rsidRPr="009A7B0F">
              <w:rPr>
                <w:rFonts w:ascii="Times New Roman" w:hAnsi="Times New Roman" w:cs="Times New Roman"/>
                <w:b/>
                <w:bCs/>
                <w:color w:val="000000"/>
                <w:sz w:val="28"/>
                <w:szCs w:val="28"/>
                <w:lang w:val="en-US" w:eastAsia="ru-RU"/>
              </w:rPr>
              <w:t>mln.tenge</w:t>
            </w:r>
            <w:proofErr w:type="spellEnd"/>
          </w:p>
        </w:tc>
        <w:tc>
          <w:tcPr>
            <w:tcW w:w="1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2014*</w:t>
            </w:r>
          </w:p>
        </w:tc>
        <w:tc>
          <w:tcPr>
            <w:tcW w:w="1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2015</w:t>
            </w:r>
          </w:p>
        </w:tc>
        <w:tc>
          <w:tcPr>
            <w:tcW w:w="1620" w:type="dxa"/>
            <w:tcBorders>
              <w:top w:val="single" w:sz="8" w:space="0" w:color="auto"/>
              <w:left w:val="nil"/>
              <w:bottom w:val="nil"/>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2016</w:t>
            </w:r>
          </w:p>
        </w:tc>
        <w:tc>
          <w:tcPr>
            <w:tcW w:w="1576" w:type="dxa"/>
            <w:tcBorders>
              <w:top w:val="single" w:sz="8" w:space="0" w:color="auto"/>
              <w:left w:val="nil"/>
              <w:bottom w:val="nil"/>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2017</w:t>
            </w:r>
          </w:p>
        </w:tc>
      </w:tr>
      <w:tr w:rsidR="00900259" w:rsidRPr="009A7B0F" w:rsidTr="00720CC6">
        <w:trPr>
          <w:trHeight w:val="69"/>
        </w:trPr>
        <w:tc>
          <w:tcPr>
            <w:tcW w:w="3640" w:type="dxa"/>
            <w:vMerge/>
            <w:tcBorders>
              <w:top w:val="single" w:sz="8" w:space="0" w:color="auto"/>
              <w:left w:val="single" w:sz="8" w:space="0" w:color="auto"/>
              <w:bottom w:val="single" w:sz="8" w:space="0" w:color="000000"/>
              <w:right w:val="single" w:sz="8" w:space="0" w:color="auto"/>
            </w:tcBorders>
            <w:vAlign w:val="center"/>
            <w:hideMark/>
          </w:tcPr>
          <w:p w:rsidR="00900259" w:rsidRPr="009A7B0F" w:rsidRDefault="00900259" w:rsidP="009A7B0F">
            <w:pPr>
              <w:ind w:right="-143" w:firstLine="709"/>
              <w:rPr>
                <w:rFonts w:ascii="Times New Roman" w:hAnsi="Times New Roman" w:cs="Times New Roman"/>
                <w:b/>
                <w:bCs/>
                <w:color w:val="000000"/>
                <w:sz w:val="28"/>
                <w:szCs w:val="28"/>
                <w:lang w:eastAsia="ru-RU"/>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900259" w:rsidRPr="009A7B0F" w:rsidRDefault="00900259" w:rsidP="00470E50">
            <w:pPr>
              <w:ind w:right="-143" w:firstLine="709"/>
              <w:jc w:val="center"/>
              <w:rPr>
                <w:rFonts w:ascii="Times New Roman" w:hAnsi="Times New Roman" w:cs="Times New Roman"/>
                <w:b/>
                <w:bCs/>
                <w:color w:val="000000"/>
                <w:sz w:val="28"/>
                <w:szCs w:val="28"/>
                <w:lang w:eastAsia="ru-RU"/>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900259" w:rsidRPr="009A7B0F" w:rsidRDefault="00900259" w:rsidP="00470E50">
            <w:pPr>
              <w:ind w:right="-143" w:firstLine="709"/>
              <w:jc w:val="center"/>
              <w:rPr>
                <w:rFonts w:ascii="Times New Roman" w:hAnsi="Times New Roman" w:cs="Times New Roman"/>
                <w:b/>
                <w:bCs/>
                <w:color w:val="000000"/>
                <w:sz w:val="28"/>
                <w:szCs w:val="28"/>
                <w:lang w:eastAsia="ru-RU"/>
              </w:rPr>
            </w:pPr>
          </w:p>
        </w:tc>
        <w:tc>
          <w:tcPr>
            <w:tcW w:w="1620"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c>
          <w:tcPr>
            <w:tcW w:w="1576"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r>
      <w:tr w:rsidR="00900259" w:rsidRPr="009A7B0F" w:rsidTr="00720CC6">
        <w:trPr>
          <w:trHeight w:val="82"/>
        </w:trPr>
        <w:tc>
          <w:tcPr>
            <w:tcW w:w="3640" w:type="dxa"/>
            <w:tcBorders>
              <w:top w:val="nil"/>
              <w:left w:val="single" w:sz="8" w:space="0" w:color="auto"/>
              <w:bottom w:val="single" w:sz="8" w:space="0" w:color="auto"/>
              <w:right w:val="single" w:sz="8" w:space="0" w:color="auto"/>
            </w:tcBorders>
            <w:shd w:val="clear" w:color="000000" w:fill="FFFFFF"/>
            <w:vAlign w:val="center"/>
            <w:hideMark/>
          </w:tcPr>
          <w:p w:rsidR="00900259" w:rsidRPr="009A7B0F" w:rsidRDefault="00900259" w:rsidP="00470E50">
            <w:pPr>
              <w:ind w:right="-143"/>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 xml:space="preserve">Income from products sale </w:t>
            </w:r>
            <w:r w:rsidRPr="009A7B0F">
              <w:rPr>
                <w:rFonts w:ascii="Times New Roman" w:hAnsi="Times New Roman" w:cs="Times New Roman"/>
                <w:b/>
                <w:bCs/>
                <w:color w:val="000000"/>
                <w:sz w:val="28"/>
                <w:szCs w:val="28"/>
                <w:lang w:val="en-US" w:eastAsia="ru-RU"/>
              </w:rPr>
              <w:lastRenderedPageBreak/>
              <w:t>and services delivery</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lastRenderedPageBreak/>
              <w:t>221</w:t>
            </w:r>
            <w:r w:rsidR="00470E50">
              <w:rPr>
                <w:rFonts w:ascii="Times New Roman" w:hAnsi="Times New Roman" w:cs="Times New Roman"/>
                <w:b/>
                <w:bCs/>
                <w:color w:val="000000"/>
                <w:sz w:val="28"/>
                <w:szCs w:val="28"/>
                <w:lang w:eastAsia="ru-RU"/>
              </w:rPr>
              <w:t> </w:t>
            </w:r>
            <w:r w:rsidRPr="009A7B0F">
              <w:rPr>
                <w:rFonts w:ascii="Times New Roman" w:hAnsi="Times New Roman" w:cs="Times New Roman"/>
                <w:b/>
                <w:bCs/>
                <w:color w:val="000000"/>
                <w:sz w:val="28"/>
                <w:szCs w:val="28"/>
                <w:lang w:eastAsia="ru-RU"/>
              </w:rPr>
              <w:t>150</w:t>
            </w:r>
          </w:p>
        </w:tc>
        <w:tc>
          <w:tcPr>
            <w:tcW w:w="1442" w:type="dxa"/>
            <w:tcBorders>
              <w:top w:val="nil"/>
              <w:left w:val="nil"/>
              <w:bottom w:val="single" w:sz="8" w:space="0" w:color="auto"/>
              <w:right w:val="single" w:sz="8" w:space="0" w:color="auto"/>
            </w:tcBorders>
            <w:shd w:val="clear" w:color="000000" w:fill="FFFFFF"/>
            <w:noWrap/>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228</w:t>
            </w:r>
            <w:r w:rsidR="00470E50">
              <w:rPr>
                <w:rFonts w:ascii="Times New Roman" w:hAnsi="Times New Roman" w:cs="Times New Roman"/>
                <w:b/>
                <w:bCs/>
                <w:color w:val="000000"/>
                <w:sz w:val="28"/>
                <w:szCs w:val="28"/>
                <w:lang w:eastAsia="ru-RU"/>
              </w:rPr>
              <w:t> </w:t>
            </w:r>
            <w:r w:rsidRPr="009A7B0F">
              <w:rPr>
                <w:rFonts w:ascii="Times New Roman" w:hAnsi="Times New Roman" w:cs="Times New Roman"/>
                <w:b/>
                <w:bCs/>
                <w:color w:val="000000"/>
                <w:sz w:val="28"/>
                <w:szCs w:val="28"/>
                <w:lang w:eastAsia="ru-RU"/>
              </w:rPr>
              <w:t>865</w:t>
            </w:r>
          </w:p>
        </w:tc>
        <w:tc>
          <w:tcPr>
            <w:tcW w:w="1620" w:type="dxa"/>
            <w:tcBorders>
              <w:top w:val="nil"/>
              <w:left w:val="nil"/>
              <w:bottom w:val="single" w:sz="8" w:space="0" w:color="auto"/>
              <w:right w:val="single" w:sz="8" w:space="0" w:color="auto"/>
            </w:tcBorders>
            <w:shd w:val="clear" w:color="000000" w:fill="FFFFFF"/>
            <w:noWrap/>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255 685</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121 292</w:t>
            </w: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lastRenderedPageBreak/>
              <w:t>“</w:t>
            </w:r>
            <w:proofErr w:type="spellStart"/>
            <w:r w:rsidRPr="009A7B0F">
              <w:rPr>
                <w:rFonts w:ascii="Times New Roman" w:hAnsi="Times New Roman" w:cs="Times New Roman"/>
                <w:color w:val="000000"/>
                <w:sz w:val="28"/>
                <w:szCs w:val="28"/>
                <w:lang w:val="en-US" w:eastAsia="ru-RU"/>
              </w:rPr>
              <w:t>Samruk</w:t>
            </w:r>
            <w:proofErr w:type="spellEnd"/>
            <w:r w:rsidRPr="009A7B0F">
              <w:rPr>
                <w:rFonts w:ascii="Times New Roman" w:hAnsi="Times New Roman" w:cs="Times New Roman"/>
                <w:color w:val="000000"/>
                <w:sz w:val="28"/>
                <w:szCs w:val="28"/>
                <w:lang w:val="en-US" w:eastAsia="ru-RU"/>
              </w:rPr>
              <w:t>-Energy” JSC</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20</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399</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16</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040</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17</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117</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21 710</w:t>
            </w: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eastAsia="ru-RU"/>
              </w:rPr>
              <w:t>Green</w:t>
            </w:r>
            <w:proofErr w:type="spellEnd"/>
            <w:r w:rsidRPr="009A7B0F">
              <w:rPr>
                <w:rFonts w:ascii="Times New Roman" w:hAnsi="Times New Roman" w:cs="Times New Roman"/>
                <w:color w:val="000000"/>
                <w:sz w:val="28"/>
                <w:szCs w:val="28"/>
                <w:lang w:eastAsia="ru-RU"/>
              </w:rPr>
              <w:t xml:space="preserve"> </w:t>
            </w:r>
            <w:proofErr w:type="spellStart"/>
            <w:r w:rsidRPr="009A7B0F">
              <w:rPr>
                <w:rFonts w:ascii="Times New Roman" w:hAnsi="Times New Roman" w:cs="Times New Roman"/>
                <w:color w:val="000000"/>
                <w:sz w:val="28"/>
                <w:szCs w:val="28"/>
                <w:lang w:eastAsia="ru-RU"/>
              </w:rPr>
              <w:t>Energy</w:t>
            </w:r>
            <w:proofErr w:type="spellEnd"/>
            <w:r w:rsidRPr="009A7B0F">
              <w:rPr>
                <w:rFonts w:ascii="Times New Roman" w:hAnsi="Times New Roman" w:cs="Times New Roman"/>
                <w:color w:val="000000"/>
                <w:sz w:val="28"/>
                <w:szCs w:val="28"/>
                <w:lang w:val="en-US" w:eastAsia="ru-RU"/>
              </w:rPr>
              <w:t>” LLP</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15</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109</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137</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189</w:t>
            </w: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val="en-US" w:eastAsia="ru-RU"/>
              </w:rPr>
              <w:t>Bukhtarminskaya</w:t>
            </w:r>
            <w:proofErr w:type="spellEnd"/>
            <w:r w:rsidRPr="009A7B0F">
              <w:rPr>
                <w:rFonts w:ascii="Times New Roman" w:hAnsi="Times New Roman" w:cs="Times New Roman"/>
                <w:color w:val="000000"/>
                <w:sz w:val="28"/>
                <w:szCs w:val="28"/>
                <w:lang w:val="en-US" w:eastAsia="ru-RU"/>
              </w:rPr>
              <w:t xml:space="preserve"> HPP” JSC</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048</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564</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535</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3 536</w:t>
            </w: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val="en-US" w:eastAsia="ru-RU"/>
              </w:rPr>
              <w:t>Shardarinskaya</w:t>
            </w:r>
            <w:proofErr w:type="spellEnd"/>
            <w:r w:rsidRPr="009A7B0F">
              <w:rPr>
                <w:rFonts w:ascii="Times New Roman" w:hAnsi="Times New Roman" w:cs="Times New Roman"/>
                <w:color w:val="000000"/>
                <w:sz w:val="28"/>
                <w:szCs w:val="28"/>
                <w:lang w:val="en-US" w:eastAsia="ru-RU"/>
              </w:rPr>
              <w:t xml:space="preserve"> HPP” JSC</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422</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085</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485</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3 499</w:t>
            </w: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val="en-US" w:eastAsia="ru-RU"/>
              </w:rPr>
              <w:t>Moynak</w:t>
            </w:r>
            <w:proofErr w:type="spellEnd"/>
            <w:r w:rsidRPr="009A7B0F">
              <w:rPr>
                <w:rFonts w:ascii="Times New Roman" w:hAnsi="Times New Roman" w:cs="Times New Roman"/>
                <w:color w:val="000000"/>
                <w:sz w:val="28"/>
                <w:szCs w:val="28"/>
                <w:lang w:val="en-US" w:eastAsia="ru-RU"/>
              </w:rPr>
              <w:t xml:space="preserve"> HPP” JSC</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264</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023</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752</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9 480</w:t>
            </w: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val="en-US" w:eastAsia="ru-RU"/>
              </w:rPr>
              <w:t>AlmatyEnergoSbyt</w:t>
            </w:r>
            <w:proofErr w:type="spellEnd"/>
            <w:r w:rsidRPr="009A7B0F">
              <w:rPr>
                <w:rFonts w:ascii="Times New Roman" w:hAnsi="Times New Roman" w:cs="Times New Roman"/>
                <w:color w:val="000000"/>
                <w:sz w:val="28"/>
                <w:szCs w:val="28"/>
                <w:lang w:val="en-US" w:eastAsia="ru-RU"/>
              </w:rPr>
              <w:t>” LLP</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85</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042</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88</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215</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95</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565</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val="en-US" w:eastAsia="ru-RU"/>
              </w:rPr>
              <w:t>Samrukenergostroyservice</w:t>
            </w:r>
            <w:proofErr w:type="spellEnd"/>
            <w:r w:rsidRPr="009A7B0F">
              <w:rPr>
                <w:rFonts w:ascii="Times New Roman" w:hAnsi="Times New Roman" w:cs="Times New Roman"/>
                <w:color w:val="000000"/>
                <w:sz w:val="28"/>
                <w:szCs w:val="28"/>
                <w:lang w:val="en-US" w:eastAsia="ru-RU"/>
              </w:rPr>
              <w:t>” LLP</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 xml:space="preserve">“MDPGC” JSC </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655</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986</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10</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342</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val="en-US" w:eastAsia="ru-RU"/>
              </w:rPr>
              <w:t>AZhC</w:t>
            </w:r>
            <w:proofErr w:type="spellEnd"/>
            <w:r w:rsidRPr="009A7B0F">
              <w:rPr>
                <w:rFonts w:ascii="Times New Roman" w:hAnsi="Times New Roman" w:cs="Times New Roman"/>
                <w:color w:val="000000"/>
                <w:sz w:val="28"/>
                <w:szCs w:val="28"/>
                <w:lang w:val="en-US" w:eastAsia="ru-RU"/>
              </w:rPr>
              <w:t>” JSC</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31</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431</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32</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662</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34</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218</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“APP” JSC</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51</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909</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53</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175</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53</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240</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val="en-US" w:eastAsia="ru-RU"/>
              </w:rPr>
              <w:t>Aktobe</w:t>
            </w:r>
            <w:proofErr w:type="spellEnd"/>
            <w:r w:rsidRPr="009A7B0F">
              <w:rPr>
                <w:rFonts w:ascii="Times New Roman" w:hAnsi="Times New Roman" w:cs="Times New Roman"/>
                <w:color w:val="000000"/>
                <w:sz w:val="28"/>
                <w:szCs w:val="28"/>
                <w:lang w:val="en-US" w:eastAsia="ru-RU"/>
              </w:rPr>
              <w:t xml:space="preserve"> CHP” JSC</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710</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6</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109</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926</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470E50" w:rsidRDefault="00900259" w:rsidP="00470E50">
            <w:pPr>
              <w:ind w:right="-143"/>
              <w:jc w:val="center"/>
              <w:rPr>
                <w:rFonts w:ascii="Times New Roman" w:hAnsi="Times New Roman" w:cs="Times New Roman"/>
                <w:color w:val="000000"/>
                <w:sz w:val="28"/>
                <w:szCs w:val="28"/>
                <w:lang w:val="en-US" w:eastAsia="ru-RU"/>
              </w:rPr>
            </w:pP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“East-Kazakhstan REC” JSC</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10</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905</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11</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178</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12</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963</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t>
            </w:r>
            <w:proofErr w:type="spellStart"/>
            <w:r w:rsidRPr="009A7B0F">
              <w:rPr>
                <w:rFonts w:ascii="Times New Roman" w:hAnsi="Times New Roman" w:cs="Times New Roman"/>
                <w:color w:val="000000"/>
                <w:sz w:val="28"/>
                <w:szCs w:val="28"/>
                <w:lang w:val="en-US" w:eastAsia="ru-RU"/>
              </w:rPr>
              <w:t>Shygysenergotrade</w:t>
            </w:r>
            <w:proofErr w:type="spellEnd"/>
            <w:r w:rsidRPr="009A7B0F">
              <w:rPr>
                <w:rFonts w:ascii="Times New Roman" w:hAnsi="Times New Roman" w:cs="Times New Roman"/>
                <w:color w:val="000000"/>
                <w:sz w:val="28"/>
                <w:szCs w:val="28"/>
                <w:lang w:val="en-US" w:eastAsia="ru-RU"/>
              </w:rPr>
              <w:t>” LLP</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26</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222</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27</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731</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31</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042</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firstLine="709"/>
              <w:jc w:val="center"/>
              <w:rPr>
                <w:rFonts w:ascii="Times New Roman" w:hAnsi="Times New Roman" w:cs="Times New Roman"/>
                <w:color w:val="000000"/>
                <w:sz w:val="28"/>
                <w:szCs w:val="28"/>
                <w:lang w:eastAsia="ru-RU"/>
              </w:rPr>
            </w:pP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“EGRES-1” LLP</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73</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792</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78</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249</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83</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249</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99 806</w:t>
            </w:r>
          </w:p>
        </w:tc>
      </w:tr>
      <w:tr w:rsidR="00900259" w:rsidRPr="009A7B0F" w:rsidTr="00720CC6">
        <w:trPr>
          <w:trHeight w:val="49"/>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“FWPP” LLP</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w:t>
            </w:r>
          </w:p>
        </w:tc>
        <w:tc>
          <w:tcPr>
            <w:tcW w:w="1442" w:type="dxa"/>
            <w:tcBorders>
              <w:top w:val="nil"/>
              <w:left w:val="nil"/>
              <w:bottom w:val="single" w:sz="8" w:space="0" w:color="auto"/>
              <w:right w:val="single" w:sz="8" w:space="0" w:color="auto"/>
            </w:tcBorders>
            <w:shd w:val="clear" w:color="auto" w:fill="auto"/>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741</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w:t>
            </w:r>
            <w:r w:rsidR="00470E50">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850</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4 119</w:t>
            </w:r>
          </w:p>
        </w:tc>
      </w:tr>
      <w:tr w:rsidR="00900259" w:rsidRPr="009A7B0F" w:rsidTr="00720CC6">
        <w:trPr>
          <w:trHeight w:val="82"/>
        </w:trPr>
        <w:tc>
          <w:tcPr>
            <w:tcW w:w="3640" w:type="dxa"/>
            <w:tcBorders>
              <w:top w:val="nil"/>
              <w:left w:val="single" w:sz="8" w:space="0" w:color="auto"/>
              <w:bottom w:val="single" w:sz="8" w:space="0" w:color="auto"/>
              <w:right w:val="single" w:sz="8" w:space="0" w:color="auto"/>
            </w:tcBorders>
            <w:shd w:val="clear" w:color="auto" w:fill="auto"/>
            <w:vAlign w:val="center"/>
            <w:hideMark/>
          </w:tcPr>
          <w:p w:rsidR="00900259" w:rsidRPr="009A7B0F" w:rsidRDefault="00900259" w:rsidP="00470E50">
            <w:pPr>
              <w:ind w:right="-143"/>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val="en-US" w:eastAsia="ru-RU"/>
              </w:rPr>
              <w:t>I</w:t>
            </w:r>
            <w:r w:rsidR="00CA4A9F" w:rsidRPr="009A7B0F">
              <w:rPr>
                <w:rFonts w:ascii="Times New Roman" w:hAnsi="Times New Roman" w:cs="Times New Roman"/>
                <w:b/>
                <w:bCs/>
                <w:color w:val="000000"/>
                <w:sz w:val="28"/>
                <w:szCs w:val="28"/>
                <w:lang w:val="en-US" w:eastAsia="ru-RU"/>
              </w:rPr>
              <w:t>ntragroup</w:t>
            </w:r>
            <w:r w:rsidRPr="009A7B0F">
              <w:rPr>
                <w:rFonts w:ascii="Times New Roman" w:hAnsi="Times New Roman" w:cs="Times New Roman"/>
                <w:b/>
                <w:bCs/>
                <w:color w:val="000000"/>
                <w:sz w:val="28"/>
                <w:szCs w:val="28"/>
                <w:lang w:val="en-US" w:eastAsia="ru-RU"/>
              </w:rPr>
              <w:t xml:space="preserve"> transactions</w:t>
            </w:r>
            <w:r w:rsidRPr="009A7B0F">
              <w:rPr>
                <w:rFonts w:ascii="Times New Roman" w:hAnsi="Times New Roman" w:cs="Times New Roman"/>
                <w:b/>
                <w:bCs/>
                <w:color w:val="000000"/>
                <w:sz w:val="28"/>
                <w:szCs w:val="28"/>
                <w:lang w:eastAsia="ru-RU"/>
              </w:rPr>
              <w:t xml:space="preserve"> (</w:t>
            </w:r>
            <w:r w:rsidRPr="009A7B0F">
              <w:rPr>
                <w:rFonts w:ascii="Times New Roman" w:hAnsi="Times New Roman" w:cs="Times New Roman"/>
                <w:b/>
                <w:bCs/>
                <w:color w:val="000000"/>
                <w:sz w:val="28"/>
                <w:szCs w:val="28"/>
                <w:lang w:val="en-US" w:eastAsia="ru-RU"/>
              </w:rPr>
              <w:t>elimination</w:t>
            </w:r>
            <w:r w:rsidRPr="009A7B0F">
              <w:rPr>
                <w:rFonts w:ascii="Times New Roman" w:hAnsi="Times New Roman" w:cs="Times New Roman"/>
                <w:b/>
                <w:bCs/>
                <w:color w:val="000000"/>
                <w:sz w:val="28"/>
                <w:szCs w:val="28"/>
                <w:lang w:eastAsia="ru-RU"/>
              </w:rPr>
              <w:t>)</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-101</w:t>
            </w:r>
            <w:r w:rsidR="00470E50">
              <w:rPr>
                <w:rFonts w:ascii="Times New Roman" w:hAnsi="Times New Roman" w:cs="Times New Roman"/>
                <w:b/>
                <w:bCs/>
                <w:color w:val="000000"/>
                <w:sz w:val="28"/>
                <w:szCs w:val="28"/>
                <w:lang w:eastAsia="ru-RU"/>
              </w:rPr>
              <w:t> </w:t>
            </w:r>
            <w:r w:rsidRPr="009A7B0F">
              <w:rPr>
                <w:rFonts w:ascii="Times New Roman" w:hAnsi="Times New Roman" w:cs="Times New Roman"/>
                <w:b/>
                <w:bCs/>
                <w:color w:val="000000"/>
                <w:sz w:val="28"/>
                <w:szCs w:val="28"/>
                <w:lang w:eastAsia="ru-RU"/>
              </w:rPr>
              <w:t>664</w:t>
            </w:r>
          </w:p>
        </w:tc>
        <w:tc>
          <w:tcPr>
            <w:tcW w:w="1442"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-108</w:t>
            </w:r>
            <w:r w:rsidR="00470E50">
              <w:rPr>
                <w:rFonts w:ascii="Times New Roman" w:hAnsi="Times New Roman" w:cs="Times New Roman"/>
                <w:b/>
                <w:bCs/>
                <w:color w:val="000000"/>
                <w:sz w:val="28"/>
                <w:szCs w:val="28"/>
                <w:lang w:eastAsia="ru-RU"/>
              </w:rPr>
              <w:t> </w:t>
            </w:r>
            <w:r w:rsidRPr="009A7B0F">
              <w:rPr>
                <w:rFonts w:ascii="Times New Roman" w:hAnsi="Times New Roman" w:cs="Times New Roman"/>
                <w:b/>
                <w:bCs/>
                <w:color w:val="000000"/>
                <w:sz w:val="28"/>
                <w:szCs w:val="28"/>
                <w:lang w:eastAsia="ru-RU"/>
              </w:rPr>
              <w:t>162</w:t>
            </w:r>
          </w:p>
        </w:tc>
        <w:tc>
          <w:tcPr>
            <w:tcW w:w="1620"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-110 748</w:t>
            </w:r>
          </w:p>
        </w:tc>
        <w:tc>
          <w:tcPr>
            <w:tcW w:w="1576" w:type="dxa"/>
            <w:tcBorders>
              <w:top w:val="nil"/>
              <w:left w:val="nil"/>
              <w:bottom w:val="single" w:sz="8" w:space="0" w:color="auto"/>
              <w:right w:val="single" w:sz="8" w:space="0" w:color="auto"/>
            </w:tcBorders>
            <w:shd w:val="clear" w:color="auto" w:fill="auto"/>
            <w:noWrap/>
            <w:vAlign w:val="center"/>
            <w:hideMark/>
          </w:tcPr>
          <w:p w:rsidR="00900259" w:rsidRPr="009A7B0F" w:rsidRDefault="00900259" w:rsidP="00470E50">
            <w:pPr>
              <w:ind w:right="-143"/>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-21 710</w:t>
            </w:r>
          </w:p>
        </w:tc>
      </w:tr>
    </w:tbl>
    <w:p w:rsidR="002E2FDF" w:rsidRPr="00A101DE" w:rsidRDefault="002E2FDF" w:rsidP="009A7B0F">
      <w:pPr>
        <w:spacing w:after="0"/>
        <w:ind w:right="-143" w:firstLine="709"/>
        <w:rPr>
          <w:rFonts w:ascii="Times New Roman" w:hAnsi="Times New Roman" w:cs="Times New Roman"/>
          <w:i/>
          <w:sz w:val="24"/>
          <w:szCs w:val="24"/>
          <w:lang w:val="en-US"/>
        </w:rPr>
      </w:pPr>
      <w:r w:rsidRPr="00A101DE">
        <w:rPr>
          <w:rFonts w:ascii="Times New Roman" w:hAnsi="Times New Roman" w:cs="Times New Roman"/>
          <w:i/>
          <w:sz w:val="24"/>
          <w:szCs w:val="24"/>
          <w:lang w:val="en-US"/>
        </w:rPr>
        <w:t>*For purposes of comparability, 2014 figures were recalculated taking into account the transfer of subsidiaries and affiliates from discontinued operations to full consolidation</w:t>
      </w:r>
    </w:p>
    <w:p w:rsidR="002E2FDF" w:rsidRPr="009A7B0F" w:rsidRDefault="002E2FDF" w:rsidP="009A7B0F">
      <w:pPr>
        <w:spacing w:after="0"/>
        <w:ind w:right="-143" w:firstLine="709"/>
        <w:rPr>
          <w:rFonts w:ascii="Times New Roman" w:hAnsi="Times New Roman" w:cs="Times New Roman"/>
          <w:sz w:val="28"/>
          <w:szCs w:val="28"/>
          <w:lang w:val="en-US"/>
        </w:rPr>
      </w:pPr>
    </w:p>
    <w:p w:rsidR="002E2FDF" w:rsidRPr="009A7B0F" w:rsidRDefault="002E2FDF" w:rsidP="009A7B0F">
      <w:pPr>
        <w:spacing w:after="0"/>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"GRES -1" LLP,  "APP" JSC, "</w:t>
      </w:r>
      <w:proofErr w:type="spellStart"/>
      <w:r w:rsidRPr="009A7B0F">
        <w:rPr>
          <w:rFonts w:ascii="Times New Roman" w:hAnsi="Times New Roman" w:cs="Times New Roman"/>
          <w:sz w:val="28"/>
          <w:szCs w:val="28"/>
          <w:lang w:val="en-US"/>
        </w:rPr>
        <w:t>AZhC</w:t>
      </w:r>
      <w:proofErr w:type="spellEnd"/>
      <w:r w:rsidRPr="009A7B0F">
        <w:rPr>
          <w:rFonts w:ascii="Times New Roman" w:hAnsi="Times New Roman" w:cs="Times New Roman"/>
          <w:sz w:val="28"/>
          <w:szCs w:val="28"/>
          <w:lang w:val="en-US"/>
        </w:rPr>
        <w:t>" JSC,  "</w:t>
      </w:r>
      <w:proofErr w:type="spellStart"/>
      <w:r w:rsidRPr="009A7B0F">
        <w:rPr>
          <w:rFonts w:ascii="Times New Roman" w:hAnsi="Times New Roman" w:cs="Times New Roman"/>
          <w:sz w:val="28"/>
          <w:szCs w:val="28"/>
          <w:lang w:val="en-US"/>
        </w:rPr>
        <w:t>AlmatyEnergoSbyt</w:t>
      </w:r>
      <w:proofErr w:type="spellEnd"/>
      <w:r w:rsidRPr="009A7B0F">
        <w:rPr>
          <w:rFonts w:ascii="Times New Roman" w:hAnsi="Times New Roman" w:cs="Times New Roman"/>
          <w:sz w:val="28"/>
          <w:szCs w:val="28"/>
          <w:lang w:val="en-US"/>
        </w:rPr>
        <w:t>" LLP and "</w:t>
      </w:r>
      <w:proofErr w:type="spellStart"/>
      <w:r w:rsidRPr="009A7B0F">
        <w:rPr>
          <w:rFonts w:ascii="Times New Roman" w:hAnsi="Times New Roman" w:cs="Times New Roman"/>
          <w:sz w:val="28"/>
          <w:szCs w:val="28"/>
          <w:lang w:val="en-US"/>
        </w:rPr>
        <w:t>Shygysenergotrade</w:t>
      </w:r>
      <w:proofErr w:type="spellEnd"/>
      <w:r w:rsidRPr="009A7B0F">
        <w:rPr>
          <w:rFonts w:ascii="Times New Roman" w:hAnsi="Times New Roman" w:cs="Times New Roman"/>
          <w:sz w:val="28"/>
          <w:szCs w:val="28"/>
          <w:lang w:val="en-US"/>
        </w:rPr>
        <w:t>" LLP occupies the  main share in  income from operations of the Company  . Along with this, at consolidation of revenue from total amount</w:t>
      </w:r>
      <w:r w:rsidR="00BC6FF7"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intragroup </w:t>
      </w:r>
      <w:r w:rsidR="00BC6FF7" w:rsidRPr="009A7B0F">
        <w:rPr>
          <w:rFonts w:ascii="Times New Roman" w:hAnsi="Times New Roman" w:cs="Times New Roman"/>
          <w:sz w:val="28"/>
          <w:szCs w:val="28"/>
          <w:lang w:val="en-US"/>
        </w:rPr>
        <w:t>transactions are excluded</w:t>
      </w:r>
      <w:r w:rsidRPr="009A7B0F">
        <w:rPr>
          <w:rFonts w:ascii="Times New Roman" w:hAnsi="Times New Roman" w:cs="Times New Roman"/>
          <w:sz w:val="28"/>
          <w:szCs w:val="28"/>
          <w:lang w:val="en-US"/>
        </w:rPr>
        <w:t xml:space="preserve"> mainly in </w:t>
      </w:r>
      <w:r w:rsidR="00BC6FF7" w:rsidRPr="009A7B0F">
        <w:rPr>
          <w:rFonts w:ascii="Times New Roman" w:hAnsi="Times New Roman" w:cs="Times New Roman"/>
          <w:sz w:val="28"/>
          <w:szCs w:val="28"/>
          <w:lang w:val="en-US"/>
        </w:rPr>
        <w:t>power sales companies</w:t>
      </w:r>
    </w:p>
    <w:p w:rsidR="00BC6FF7" w:rsidRPr="009A7B0F" w:rsidRDefault="00BC6FF7" w:rsidP="009A7B0F">
      <w:pPr>
        <w:spacing w:after="0"/>
        <w:ind w:right="-143" w:firstLine="709"/>
        <w:rPr>
          <w:rFonts w:ascii="Times New Roman" w:hAnsi="Times New Roman" w:cs="Times New Roman"/>
          <w:b/>
          <w:sz w:val="28"/>
          <w:szCs w:val="28"/>
          <w:lang w:val="en-US"/>
        </w:rPr>
      </w:pPr>
    </w:p>
    <w:p w:rsidR="002E2FDF" w:rsidRPr="009A7B0F" w:rsidRDefault="00870D2C" w:rsidP="009A7B0F">
      <w:pPr>
        <w:spacing w:after="0"/>
        <w:ind w:right="-143" w:firstLine="709"/>
        <w:rPr>
          <w:rFonts w:ascii="Times New Roman" w:hAnsi="Times New Roman" w:cs="Times New Roman"/>
          <w:b/>
          <w:sz w:val="28"/>
          <w:szCs w:val="28"/>
          <w:lang w:val="en-US"/>
        </w:rPr>
      </w:pPr>
      <w:r w:rsidRPr="009A7B0F">
        <w:rPr>
          <w:rFonts w:ascii="Times New Roman" w:hAnsi="Times New Roman" w:cs="Times New Roman"/>
          <w:b/>
          <w:sz w:val="28"/>
          <w:szCs w:val="28"/>
          <w:lang w:val="en-US"/>
        </w:rPr>
        <w:t>Prime c</w:t>
      </w:r>
      <w:r w:rsidR="002E2FDF" w:rsidRPr="009A7B0F">
        <w:rPr>
          <w:rFonts w:ascii="Times New Roman" w:hAnsi="Times New Roman" w:cs="Times New Roman"/>
          <w:b/>
          <w:sz w:val="28"/>
          <w:szCs w:val="28"/>
          <w:lang w:val="en-US"/>
        </w:rPr>
        <w:t>ost of products and services</w:t>
      </w:r>
      <w:r w:rsidR="009056BB" w:rsidRPr="009A7B0F">
        <w:rPr>
          <w:rFonts w:ascii="Times New Roman" w:hAnsi="Times New Roman" w:cs="Times New Roman"/>
          <w:b/>
          <w:sz w:val="28"/>
          <w:szCs w:val="28"/>
          <w:lang w:val="en-US"/>
        </w:rPr>
        <w:t xml:space="preserve"> delivery</w:t>
      </w:r>
    </w:p>
    <w:p w:rsidR="009056BB" w:rsidRPr="009A7B0F" w:rsidRDefault="009056BB" w:rsidP="009A7B0F">
      <w:pPr>
        <w:spacing w:after="0"/>
        <w:ind w:right="-143" w:firstLine="709"/>
        <w:rPr>
          <w:rFonts w:ascii="Times New Roman" w:hAnsi="Times New Roman" w:cs="Times New Roman"/>
          <w:b/>
          <w:sz w:val="28"/>
          <w:szCs w:val="28"/>
          <w:lang w:val="en-US"/>
        </w:rPr>
      </w:pPr>
    </w:p>
    <w:tbl>
      <w:tblPr>
        <w:tblW w:w="9275" w:type="dxa"/>
        <w:tblInd w:w="98" w:type="dxa"/>
        <w:tblLook w:val="04A0" w:firstRow="1" w:lastRow="0" w:firstColumn="1" w:lastColumn="0" w:noHBand="0" w:noVBand="1"/>
      </w:tblPr>
      <w:tblGrid>
        <w:gridCol w:w="4100"/>
        <w:gridCol w:w="1310"/>
        <w:gridCol w:w="1283"/>
        <w:gridCol w:w="1301"/>
        <w:gridCol w:w="1281"/>
      </w:tblGrid>
      <w:tr w:rsidR="00B93B74" w:rsidRPr="009A7B0F" w:rsidTr="00720CC6">
        <w:trPr>
          <w:trHeight w:val="300"/>
        </w:trPr>
        <w:tc>
          <w:tcPr>
            <w:tcW w:w="4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lastRenderedPageBreak/>
              <w:t xml:space="preserve">Indicator, </w:t>
            </w:r>
            <w:proofErr w:type="spellStart"/>
            <w:r w:rsidRPr="009A7B0F">
              <w:rPr>
                <w:rFonts w:ascii="Times New Roman" w:hAnsi="Times New Roman" w:cs="Times New Roman"/>
                <w:b/>
                <w:bCs/>
                <w:color w:val="000000"/>
                <w:sz w:val="28"/>
                <w:szCs w:val="28"/>
                <w:lang w:val="en-US" w:eastAsia="ru-RU"/>
              </w:rPr>
              <w:t>mln.tenge</w:t>
            </w:r>
            <w:proofErr w:type="spellEnd"/>
          </w:p>
        </w:tc>
        <w:tc>
          <w:tcPr>
            <w:tcW w:w="13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FF0000"/>
                <w:sz w:val="28"/>
                <w:szCs w:val="28"/>
                <w:lang w:eastAsia="ru-RU"/>
              </w:rPr>
            </w:pPr>
            <w:r w:rsidRPr="009A7B0F">
              <w:rPr>
                <w:rFonts w:ascii="Times New Roman" w:hAnsi="Times New Roman" w:cs="Times New Roman"/>
                <w:b/>
                <w:bCs/>
                <w:sz w:val="28"/>
                <w:szCs w:val="28"/>
                <w:lang w:eastAsia="ru-RU"/>
              </w:rPr>
              <w:t>2014*</w:t>
            </w:r>
          </w:p>
        </w:tc>
        <w:tc>
          <w:tcPr>
            <w:tcW w:w="1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2015</w:t>
            </w:r>
          </w:p>
        </w:tc>
        <w:tc>
          <w:tcPr>
            <w:tcW w:w="1301" w:type="dxa"/>
            <w:tcBorders>
              <w:top w:val="single" w:sz="8" w:space="0" w:color="auto"/>
              <w:left w:val="nil"/>
              <w:bottom w:val="nil"/>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2016</w:t>
            </w:r>
          </w:p>
        </w:tc>
        <w:tc>
          <w:tcPr>
            <w:tcW w:w="1281" w:type="dxa"/>
            <w:tcBorders>
              <w:top w:val="single" w:sz="8" w:space="0" w:color="auto"/>
              <w:left w:val="nil"/>
              <w:bottom w:val="nil"/>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2017</w:t>
            </w:r>
          </w:p>
        </w:tc>
      </w:tr>
      <w:tr w:rsidR="00B93B74" w:rsidRPr="009A7B0F" w:rsidTr="00720CC6">
        <w:trPr>
          <w:trHeight w:val="315"/>
        </w:trPr>
        <w:tc>
          <w:tcPr>
            <w:tcW w:w="4100" w:type="dxa"/>
            <w:vMerge/>
            <w:tcBorders>
              <w:top w:val="single" w:sz="8" w:space="0" w:color="auto"/>
              <w:left w:val="single" w:sz="8" w:space="0" w:color="auto"/>
              <w:bottom w:val="single" w:sz="8" w:space="0" w:color="000000"/>
              <w:right w:val="single" w:sz="8" w:space="0" w:color="auto"/>
            </w:tcBorders>
            <w:vAlign w:val="center"/>
            <w:hideMark/>
          </w:tcPr>
          <w:p w:rsidR="00B93B74" w:rsidRPr="009A7B0F" w:rsidRDefault="00B93B74" w:rsidP="00470E50">
            <w:pPr>
              <w:ind w:right="-143" w:firstLine="44"/>
              <w:rPr>
                <w:rFonts w:ascii="Times New Roman" w:hAnsi="Times New Roman" w:cs="Times New Roman"/>
                <w:b/>
                <w:bCs/>
                <w:color w:val="000000"/>
                <w:sz w:val="28"/>
                <w:szCs w:val="28"/>
                <w:lang w:eastAsia="ru-RU"/>
              </w:rPr>
            </w:pPr>
          </w:p>
        </w:tc>
        <w:tc>
          <w:tcPr>
            <w:tcW w:w="1310" w:type="dxa"/>
            <w:vMerge/>
            <w:tcBorders>
              <w:top w:val="single" w:sz="8" w:space="0" w:color="auto"/>
              <w:left w:val="single" w:sz="8" w:space="0" w:color="auto"/>
              <w:bottom w:val="single" w:sz="8" w:space="0" w:color="000000"/>
              <w:right w:val="single" w:sz="8" w:space="0" w:color="auto"/>
            </w:tcBorders>
            <w:vAlign w:val="center"/>
            <w:hideMark/>
          </w:tcPr>
          <w:p w:rsidR="00B93B74" w:rsidRPr="009A7B0F" w:rsidRDefault="00B93B74" w:rsidP="00470E50">
            <w:pPr>
              <w:ind w:right="-143" w:firstLine="44"/>
              <w:rPr>
                <w:rFonts w:ascii="Times New Roman" w:hAnsi="Times New Roman" w:cs="Times New Roman"/>
                <w:b/>
                <w:bCs/>
                <w:color w:val="FF0000"/>
                <w:sz w:val="28"/>
                <w:szCs w:val="28"/>
                <w:lang w:eastAsia="ru-RU"/>
              </w:rPr>
            </w:pPr>
          </w:p>
        </w:tc>
        <w:tc>
          <w:tcPr>
            <w:tcW w:w="1283" w:type="dxa"/>
            <w:vMerge/>
            <w:tcBorders>
              <w:top w:val="single" w:sz="8" w:space="0" w:color="auto"/>
              <w:left w:val="single" w:sz="8" w:space="0" w:color="auto"/>
              <w:bottom w:val="single" w:sz="8" w:space="0" w:color="000000"/>
              <w:right w:val="single" w:sz="8" w:space="0" w:color="auto"/>
            </w:tcBorders>
            <w:vAlign w:val="center"/>
            <w:hideMark/>
          </w:tcPr>
          <w:p w:rsidR="00B93B74" w:rsidRPr="009A7B0F" w:rsidRDefault="00B93B74" w:rsidP="00470E50">
            <w:pPr>
              <w:ind w:right="-143" w:firstLine="44"/>
              <w:rPr>
                <w:rFonts w:ascii="Times New Roman" w:hAnsi="Times New Roman" w:cs="Times New Roman"/>
                <w:b/>
                <w:bCs/>
                <w:color w:val="000000"/>
                <w:sz w:val="28"/>
                <w:szCs w:val="28"/>
                <w:lang w:eastAsia="ru-RU"/>
              </w:rPr>
            </w:pP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Fuel</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FA1B91" w:rsidP="00470E50">
            <w:pPr>
              <w:ind w:right="-143" w:firstLine="44"/>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37 302</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FA1B91" w:rsidP="00470E50">
            <w:pPr>
              <w:ind w:right="-143" w:firstLine="44"/>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38 844</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41</w:t>
            </w:r>
            <w:r w:rsidR="00FA1B91">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145</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19 630</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Labor remuneration and associated costs</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23</w:t>
            </w:r>
            <w:r w:rsidR="00FA1B91">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800</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23</w:t>
            </w:r>
            <w:r w:rsidR="00FA1B91">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039</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28</w:t>
            </w:r>
            <w:r w:rsidR="00FA1B91">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367</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3 912</w:t>
            </w:r>
          </w:p>
        </w:tc>
      </w:tr>
      <w:tr w:rsidR="00B93B74" w:rsidRPr="009A7B0F" w:rsidTr="00720CC6">
        <w:trPr>
          <w:trHeight w:val="52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The cost of purchased electricity</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FA1B91" w:rsidP="00470E50">
            <w:pPr>
              <w:ind w:right="-143" w:firstLine="44"/>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28 105</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19 946</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27633</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3045</w:t>
            </w:r>
          </w:p>
        </w:tc>
      </w:tr>
      <w:tr w:rsidR="00B93B74" w:rsidRPr="009A7B0F" w:rsidTr="00720CC6">
        <w:trPr>
          <w:trHeight w:val="52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Depreciation of fixed assets  and amortization of intangible assets</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27 401</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37 648</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45 104</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31 866</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Repair and maintenance</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4 873</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4 993</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9 057</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3 510</w:t>
            </w:r>
          </w:p>
        </w:tc>
      </w:tr>
      <w:tr w:rsidR="00B93B74" w:rsidRPr="009A7B0F" w:rsidTr="00720CC6">
        <w:trPr>
          <w:trHeight w:val="52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Electricity transmission services and other services</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8 691</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11 198</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12 357</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43</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materials</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5 321</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5424</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2 731</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394</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Water supply</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4 438</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4 456</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5 247</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2 119</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Grid losses</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4659</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4260</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4809</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0</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B93B74"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Taxes except for income tax</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5 714</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6 354</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7 155</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4 337</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C0466A"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Outsourced services</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w:t>
            </w:r>
            <w:r w:rsidR="00FA1B91">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174</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w:t>
            </w:r>
            <w:r w:rsidR="00FA1B91">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105</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6</w:t>
            </w:r>
            <w:r w:rsidR="00FA1B91">
              <w:rPr>
                <w:rFonts w:ascii="Times New Roman" w:hAnsi="Times New Roman" w:cs="Times New Roman"/>
                <w:color w:val="000000"/>
                <w:sz w:val="28"/>
                <w:szCs w:val="28"/>
                <w:lang w:eastAsia="ru-RU"/>
              </w:rPr>
              <w:t> </w:t>
            </w:r>
            <w:r w:rsidRPr="009A7B0F">
              <w:rPr>
                <w:rFonts w:ascii="Times New Roman" w:hAnsi="Times New Roman" w:cs="Times New Roman"/>
                <w:color w:val="000000"/>
                <w:sz w:val="28"/>
                <w:szCs w:val="28"/>
                <w:lang w:eastAsia="ru-RU"/>
              </w:rPr>
              <w:t>286</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476</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C0466A"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others</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FA1B91" w:rsidP="00470E50">
            <w:pPr>
              <w:ind w:right="-143" w:firstLine="44"/>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4 729</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FA1B91" w:rsidP="00470E50">
            <w:pPr>
              <w:ind w:right="-143" w:firstLine="44"/>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6 665</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8 813</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2945</w:t>
            </w:r>
          </w:p>
        </w:tc>
      </w:tr>
      <w:tr w:rsidR="00B93B74" w:rsidRPr="009A7B0F" w:rsidTr="00720CC6">
        <w:trPr>
          <w:trHeight w:val="315"/>
        </w:trPr>
        <w:tc>
          <w:tcPr>
            <w:tcW w:w="4100" w:type="dxa"/>
            <w:tcBorders>
              <w:top w:val="nil"/>
              <w:left w:val="single" w:sz="8" w:space="0" w:color="auto"/>
              <w:bottom w:val="single" w:sz="8" w:space="0" w:color="auto"/>
              <w:right w:val="single" w:sz="8" w:space="0" w:color="auto"/>
            </w:tcBorders>
            <w:shd w:val="clear" w:color="auto" w:fill="auto"/>
            <w:vAlign w:val="center"/>
            <w:hideMark/>
          </w:tcPr>
          <w:p w:rsidR="00B93B74" w:rsidRPr="009A7B0F" w:rsidRDefault="00C0466A" w:rsidP="00470E50">
            <w:pPr>
              <w:ind w:right="-143" w:firstLine="44"/>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TOTAL</w:t>
            </w:r>
          </w:p>
        </w:tc>
        <w:tc>
          <w:tcPr>
            <w:tcW w:w="1310"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157 207</w:t>
            </w:r>
          </w:p>
        </w:tc>
        <w:tc>
          <w:tcPr>
            <w:tcW w:w="1283"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165 932</w:t>
            </w:r>
          </w:p>
        </w:tc>
        <w:tc>
          <w:tcPr>
            <w:tcW w:w="130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198 704</w:t>
            </w:r>
          </w:p>
        </w:tc>
        <w:tc>
          <w:tcPr>
            <w:tcW w:w="1281" w:type="dxa"/>
            <w:tcBorders>
              <w:top w:val="nil"/>
              <w:left w:val="nil"/>
              <w:bottom w:val="single" w:sz="8" w:space="0" w:color="auto"/>
              <w:right w:val="single" w:sz="8" w:space="0" w:color="auto"/>
            </w:tcBorders>
            <w:shd w:val="clear" w:color="auto" w:fill="auto"/>
            <w:vAlign w:val="center"/>
            <w:hideMark/>
          </w:tcPr>
          <w:p w:rsidR="00B93B74" w:rsidRPr="009A7B0F" w:rsidRDefault="00B93B74"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72 277</w:t>
            </w:r>
          </w:p>
        </w:tc>
      </w:tr>
    </w:tbl>
    <w:p w:rsidR="00AF13CD" w:rsidRDefault="00AF13CD" w:rsidP="009A7B0F">
      <w:pPr>
        <w:spacing w:after="0"/>
        <w:ind w:right="-143" w:firstLine="709"/>
        <w:rPr>
          <w:rFonts w:ascii="Times New Roman" w:hAnsi="Times New Roman" w:cs="Times New Roman"/>
          <w:sz w:val="28"/>
          <w:szCs w:val="28"/>
        </w:rPr>
      </w:pPr>
      <w:r w:rsidRPr="00A101DE">
        <w:rPr>
          <w:rFonts w:ascii="Times New Roman" w:hAnsi="Times New Roman" w:cs="Times New Roman"/>
          <w:i/>
          <w:sz w:val="24"/>
          <w:szCs w:val="24"/>
          <w:lang w:val="en-US"/>
        </w:rPr>
        <w:t xml:space="preserve">*For purposes of comparability, 2014 figures were recalculated for the transfer of subsidiaries and affiliates </w:t>
      </w:r>
      <w:r w:rsidR="00A101DE">
        <w:rPr>
          <w:rFonts w:ascii="Times New Roman" w:hAnsi="Times New Roman" w:cs="Times New Roman"/>
          <w:i/>
          <w:sz w:val="24"/>
          <w:szCs w:val="24"/>
          <w:lang w:val="en-US"/>
        </w:rPr>
        <w:t>from discontinued operations to</w:t>
      </w:r>
      <w:r w:rsidRPr="00A101DE">
        <w:rPr>
          <w:rFonts w:ascii="Times New Roman" w:hAnsi="Times New Roman" w:cs="Times New Roman"/>
          <w:i/>
          <w:sz w:val="24"/>
          <w:szCs w:val="24"/>
          <w:lang w:val="en-US"/>
        </w:rPr>
        <w:t xml:space="preserve"> full consolidation</w:t>
      </w:r>
      <w:r w:rsidRPr="009A7B0F">
        <w:rPr>
          <w:rFonts w:ascii="Times New Roman" w:hAnsi="Times New Roman" w:cs="Times New Roman"/>
          <w:sz w:val="28"/>
          <w:szCs w:val="28"/>
          <w:lang w:val="en-US"/>
        </w:rPr>
        <w:t>.</w:t>
      </w:r>
    </w:p>
    <w:p w:rsidR="00FA1B91" w:rsidRPr="00FA1B91" w:rsidRDefault="00FA1B91" w:rsidP="00FA1B91">
      <w:pPr>
        <w:ind w:firstLine="708"/>
        <w:rPr>
          <w:rFonts w:ascii="Times New Roman" w:hAnsi="Times New Roman" w:cs="Times New Roman"/>
          <w:i/>
          <w:sz w:val="24"/>
          <w:szCs w:val="24"/>
          <w:lang w:val="en-US"/>
        </w:rPr>
      </w:pPr>
      <w:r w:rsidRPr="00FA1B91">
        <w:rPr>
          <w:rFonts w:ascii="Times New Roman" w:hAnsi="Times New Roman" w:cs="Times New Roman"/>
          <w:i/>
          <w:sz w:val="24"/>
          <w:szCs w:val="24"/>
          <w:lang w:val="en-US"/>
        </w:rPr>
        <w:t>**</w:t>
      </w:r>
      <w:r w:rsidRPr="00FA1B91">
        <w:rPr>
          <w:rFonts w:ascii="Times New Roman" w:hAnsi="Times New Roman" w:cs="Times New Roman"/>
          <w:i/>
          <w:sz w:val="24"/>
          <w:szCs w:val="24"/>
          <w:lang w:val="en-US"/>
        </w:rPr>
        <w:t xml:space="preserve">Expenses on purchased electricity of the following subsidiaries and affiliates were considered in the item “Cost of purchased electricity”: AES, </w:t>
      </w:r>
      <w:proofErr w:type="spellStart"/>
      <w:r w:rsidRPr="00FA1B91">
        <w:rPr>
          <w:rFonts w:ascii="Times New Roman" w:hAnsi="Times New Roman" w:cs="Times New Roman"/>
          <w:i/>
          <w:sz w:val="24"/>
          <w:szCs w:val="24"/>
          <w:lang w:val="en-US"/>
        </w:rPr>
        <w:t>ShET</w:t>
      </w:r>
      <w:proofErr w:type="spellEnd"/>
      <w:r w:rsidRPr="00FA1B91">
        <w:rPr>
          <w:rFonts w:ascii="Times New Roman" w:hAnsi="Times New Roman" w:cs="Times New Roman"/>
          <w:i/>
          <w:sz w:val="24"/>
          <w:szCs w:val="24"/>
          <w:lang w:val="en-US"/>
        </w:rPr>
        <w:t xml:space="preserve">, APP, ACHP, MHPP, </w:t>
      </w:r>
      <w:proofErr w:type="spellStart"/>
      <w:r w:rsidRPr="00FA1B91">
        <w:rPr>
          <w:rFonts w:ascii="Times New Roman" w:hAnsi="Times New Roman" w:cs="Times New Roman"/>
          <w:i/>
          <w:sz w:val="24"/>
          <w:szCs w:val="24"/>
          <w:lang w:val="en-US"/>
        </w:rPr>
        <w:t>SharHPP</w:t>
      </w:r>
      <w:proofErr w:type="spellEnd"/>
      <w:r w:rsidRPr="00FA1B91">
        <w:rPr>
          <w:rFonts w:ascii="Times New Roman" w:hAnsi="Times New Roman" w:cs="Times New Roman"/>
          <w:i/>
          <w:sz w:val="24"/>
          <w:szCs w:val="24"/>
          <w:lang w:val="en-US"/>
        </w:rPr>
        <w:t xml:space="preserve">, </w:t>
      </w:r>
      <w:proofErr w:type="gramStart"/>
      <w:r w:rsidRPr="00FA1B91">
        <w:rPr>
          <w:rFonts w:ascii="Times New Roman" w:hAnsi="Times New Roman" w:cs="Times New Roman"/>
          <w:i/>
          <w:sz w:val="24"/>
          <w:szCs w:val="24"/>
          <w:lang w:val="en-US"/>
        </w:rPr>
        <w:t>GRES</w:t>
      </w:r>
      <w:proofErr w:type="gramEnd"/>
      <w:r w:rsidRPr="00FA1B91">
        <w:rPr>
          <w:rFonts w:ascii="Times New Roman" w:hAnsi="Times New Roman" w:cs="Times New Roman"/>
          <w:i/>
          <w:sz w:val="24"/>
          <w:szCs w:val="24"/>
          <w:lang w:val="en-US"/>
        </w:rPr>
        <w:t>-1.  AES expenses under this item for 2014 and 2015 were taken into account in the audit report (other SA were included in the “fuel” line</w:t>
      </w:r>
      <w:proofErr w:type="gramStart"/>
      <w:r w:rsidRPr="00FA1B91">
        <w:rPr>
          <w:rFonts w:ascii="Times New Roman" w:hAnsi="Times New Roman" w:cs="Times New Roman"/>
          <w:i/>
          <w:sz w:val="24"/>
          <w:szCs w:val="24"/>
          <w:lang w:val="en-US"/>
        </w:rPr>
        <w:t>) .</w:t>
      </w:r>
      <w:proofErr w:type="gramEnd"/>
      <w:r w:rsidRPr="00FA1B91">
        <w:rPr>
          <w:rFonts w:ascii="Times New Roman" w:hAnsi="Times New Roman" w:cs="Times New Roman"/>
          <w:i/>
          <w:sz w:val="24"/>
          <w:szCs w:val="24"/>
          <w:lang w:val="en-US"/>
        </w:rPr>
        <w:t xml:space="preserve"> For this reason, “Fuel” item data differ from data provided in the audit report. </w:t>
      </w:r>
    </w:p>
    <w:p w:rsidR="009056BB" w:rsidRPr="009A7B0F" w:rsidRDefault="003E6CB9" w:rsidP="009A7B0F">
      <w:pPr>
        <w:spacing w:after="0"/>
        <w:ind w:right="-143" w:firstLine="709"/>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According to results of </w:t>
      </w:r>
      <w:r w:rsidR="00AF13CD" w:rsidRPr="009A7B0F">
        <w:rPr>
          <w:rFonts w:ascii="Times New Roman" w:hAnsi="Times New Roman" w:cs="Times New Roman"/>
          <w:sz w:val="28"/>
          <w:szCs w:val="28"/>
          <w:lang w:val="en-US"/>
        </w:rPr>
        <w:t>2015</w:t>
      </w:r>
      <w:r w:rsidRPr="009A7B0F">
        <w:rPr>
          <w:rFonts w:ascii="Times New Roman" w:hAnsi="Times New Roman" w:cs="Times New Roman"/>
          <w:sz w:val="28"/>
          <w:szCs w:val="28"/>
          <w:lang w:val="en-US"/>
        </w:rPr>
        <w:t>, the</w:t>
      </w:r>
      <w:r w:rsidR="00870D2C" w:rsidRPr="009A7B0F">
        <w:rPr>
          <w:rFonts w:ascii="Times New Roman" w:hAnsi="Times New Roman" w:cs="Times New Roman"/>
          <w:sz w:val="28"/>
          <w:szCs w:val="28"/>
          <w:lang w:val="en-US"/>
        </w:rPr>
        <w:t xml:space="preserve"> prime</w:t>
      </w:r>
      <w:r w:rsidRPr="009A7B0F">
        <w:rPr>
          <w:rFonts w:ascii="Times New Roman" w:hAnsi="Times New Roman" w:cs="Times New Roman"/>
          <w:sz w:val="28"/>
          <w:szCs w:val="28"/>
          <w:lang w:val="en-US"/>
        </w:rPr>
        <w:t xml:space="preserve"> cost</w:t>
      </w:r>
      <w:r w:rsidR="00AF13CD" w:rsidRPr="009A7B0F">
        <w:rPr>
          <w:rFonts w:ascii="Times New Roman" w:hAnsi="Times New Roman" w:cs="Times New Roman"/>
          <w:sz w:val="28"/>
          <w:szCs w:val="28"/>
          <w:lang w:val="en-US"/>
        </w:rPr>
        <w:t xml:space="preserve"> amounted to 165</w:t>
      </w:r>
      <w:r w:rsidR="00870D2C" w:rsidRPr="009A7B0F">
        <w:rPr>
          <w:rFonts w:ascii="Times New Roman" w:hAnsi="Times New Roman" w:cs="Times New Roman"/>
          <w:sz w:val="28"/>
          <w:szCs w:val="28"/>
          <w:lang w:val="en-US"/>
        </w:rPr>
        <w:t xml:space="preserve"> </w:t>
      </w:r>
      <w:r w:rsidR="00A101DE">
        <w:rPr>
          <w:rFonts w:ascii="Times New Roman" w:hAnsi="Times New Roman" w:cs="Times New Roman"/>
          <w:sz w:val="28"/>
          <w:szCs w:val="28"/>
          <w:lang w:val="en-US"/>
        </w:rPr>
        <w:t xml:space="preserve">932 million </w:t>
      </w:r>
      <w:proofErr w:type="spellStart"/>
      <w:r w:rsidR="00A101DE">
        <w:rPr>
          <w:rFonts w:ascii="Times New Roman" w:hAnsi="Times New Roman" w:cs="Times New Roman"/>
          <w:sz w:val="28"/>
          <w:szCs w:val="28"/>
          <w:lang w:val="en-US"/>
        </w:rPr>
        <w:t>tenge</w:t>
      </w:r>
      <w:proofErr w:type="spellEnd"/>
      <w:r w:rsidR="00A101DE">
        <w:rPr>
          <w:rFonts w:ascii="Times New Roman" w:hAnsi="Times New Roman" w:cs="Times New Roman"/>
          <w:sz w:val="28"/>
          <w:szCs w:val="28"/>
          <w:lang w:val="en-US"/>
        </w:rPr>
        <w:t>, which is</w:t>
      </w:r>
      <w:r w:rsidR="00870D2C" w:rsidRPr="009A7B0F">
        <w:rPr>
          <w:rFonts w:ascii="Times New Roman" w:hAnsi="Times New Roman" w:cs="Times New Roman"/>
          <w:sz w:val="28"/>
          <w:szCs w:val="28"/>
          <w:lang w:val="en-US"/>
        </w:rPr>
        <w:t xml:space="preserve"> more by </w:t>
      </w:r>
      <w:r w:rsidR="00AF13CD" w:rsidRPr="009A7B0F">
        <w:rPr>
          <w:rFonts w:ascii="Times New Roman" w:hAnsi="Times New Roman" w:cs="Times New Roman"/>
          <w:sz w:val="28"/>
          <w:szCs w:val="28"/>
          <w:lang w:val="en-US"/>
        </w:rPr>
        <w:t>5.5</w:t>
      </w:r>
      <w:proofErr w:type="gramStart"/>
      <w:r w:rsidR="00AF13CD" w:rsidRPr="009A7B0F">
        <w:rPr>
          <w:rFonts w:ascii="Times New Roman" w:hAnsi="Times New Roman" w:cs="Times New Roman"/>
          <w:sz w:val="28"/>
          <w:szCs w:val="28"/>
          <w:lang w:val="en-US"/>
        </w:rPr>
        <w:t>%  than</w:t>
      </w:r>
      <w:proofErr w:type="gramEnd"/>
      <w:r w:rsidR="00AF13CD" w:rsidRPr="009A7B0F">
        <w:rPr>
          <w:rFonts w:ascii="Times New Roman" w:hAnsi="Times New Roman" w:cs="Times New Roman"/>
          <w:sz w:val="28"/>
          <w:szCs w:val="28"/>
          <w:lang w:val="en-US"/>
        </w:rPr>
        <w:t xml:space="preserve"> the fact of 2014. </w:t>
      </w:r>
      <w:r w:rsidR="00870D2C" w:rsidRPr="009A7B0F">
        <w:rPr>
          <w:rFonts w:ascii="Times New Roman" w:hAnsi="Times New Roman" w:cs="Times New Roman"/>
          <w:sz w:val="28"/>
          <w:szCs w:val="28"/>
          <w:lang w:val="en-US"/>
        </w:rPr>
        <w:t>The main</w:t>
      </w:r>
      <w:r w:rsidR="00AF13CD" w:rsidRPr="009A7B0F">
        <w:rPr>
          <w:rFonts w:ascii="Times New Roman" w:hAnsi="Times New Roman" w:cs="Times New Roman"/>
          <w:sz w:val="28"/>
          <w:szCs w:val="28"/>
          <w:lang w:val="en-US"/>
        </w:rPr>
        <w:t xml:space="preserve"> growth was due to </w:t>
      </w:r>
      <w:r w:rsidR="00870D2C" w:rsidRPr="009A7B0F">
        <w:rPr>
          <w:rFonts w:ascii="Times New Roman" w:hAnsi="Times New Roman" w:cs="Times New Roman"/>
          <w:sz w:val="28"/>
          <w:szCs w:val="28"/>
          <w:lang w:val="en-US"/>
        </w:rPr>
        <w:t>increase in</w:t>
      </w:r>
      <w:r w:rsidR="00AF13CD" w:rsidRPr="009A7B0F">
        <w:rPr>
          <w:rFonts w:ascii="Times New Roman" w:hAnsi="Times New Roman" w:cs="Times New Roman"/>
          <w:sz w:val="28"/>
          <w:szCs w:val="28"/>
          <w:lang w:val="en-US"/>
        </w:rPr>
        <w:t xml:space="preserve"> tariffs for electricity transmission services, services for </w:t>
      </w:r>
      <w:r w:rsidR="00870D2C" w:rsidRPr="009A7B0F">
        <w:rPr>
          <w:rFonts w:ascii="Times New Roman" w:hAnsi="Times New Roman" w:cs="Times New Roman"/>
          <w:sz w:val="28"/>
          <w:szCs w:val="28"/>
          <w:lang w:val="en-US"/>
        </w:rPr>
        <w:t>capacity</w:t>
      </w:r>
      <w:r w:rsidR="00AF13CD" w:rsidRPr="009A7B0F">
        <w:rPr>
          <w:rFonts w:ascii="Times New Roman" w:hAnsi="Times New Roman" w:cs="Times New Roman"/>
          <w:sz w:val="28"/>
          <w:szCs w:val="28"/>
          <w:lang w:val="en-US"/>
        </w:rPr>
        <w:t xml:space="preserve"> control </w:t>
      </w:r>
      <w:r w:rsidR="00870D2C" w:rsidRPr="009A7B0F">
        <w:rPr>
          <w:rFonts w:ascii="Times New Roman" w:hAnsi="Times New Roman" w:cs="Times New Roman"/>
          <w:sz w:val="28"/>
          <w:szCs w:val="28"/>
          <w:lang w:val="en-US"/>
        </w:rPr>
        <w:t xml:space="preserve">, </w:t>
      </w:r>
      <w:r w:rsidR="00AF13CD" w:rsidRPr="009A7B0F">
        <w:rPr>
          <w:rFonts w:ascii="Times New Roman" w:hAnsi="Times New Roman" w:cs="Times New Roman"/>
          <w:sz w:val="28"/>
          <w:szCs w:val="28"/>
          <w:lang w:val="en-US"/>
        </w:rPr>
        <w:t>on</w:t>
      </w:r>
      <w:r w:rsidR="00870D2C" w:rsidRPr="009A7B0F">
        <w:rPr>
          <w:rFonts w:ascii="Times New Roman" w:hAnsi="Times New Roman" w:cs="Times New Roman"/>
          <w:sz w:val="28"/>
          <w:szCs w:val="28"/>
          <w:lang w:val="en-US"/>
        </w:rPr>
        <w:t xml:space="preserve"> KEGOC </w:t>
      </w:r>
      <w:r w:rsidR="00AF13CD" w:rsidRPr="009A7B0F">
        <w:rPr>
          <w:rFonts w:ascii="Times New Roman" w:hAnsi="Times New Roman" w:cs="Times New Roman"/>
          <w:sz w:val="28"/>
          <w:szCs w:val="28"/>
          <w:lang w:val="en-US"/>
        </w:rPr>
        <w:t xml:space="preserve">services </w:t>
      </w:r>
      <w:r w:rsidR="00870D2C" w:rsidRPr="009A7B0F">
        <w:rPr>
          <w:rFonts w:ascii="Times New Roman" w:hAnsi="Times New Roman" w:cs="Times New Roman"/>
          <w:sz w:val="28"/>
          <w:szCs w:val="28"/>
          <w:lang w:val="en-US"/>
        </w:rPr>
        <w:t>for balancing electricity</w:t>
      </w:r>
      <w:r w:rsidR="00AF13CD" w:rsidRPr="009A7B0F">
        <w:rPr>
          <w:rFonts w:ascii="Times New Roman" w:hAnsi="Times New Roman" w:cs="Times New Roman"/>
          <w:sz w:val="28"/>
          <w:szCs w:val="28"/>
          <w:lang w:val="en-US"/>
        </w:rPr>
        <w:t xml:space="preserve"> </w:t>
      </w:r>
      <w:r w:rsidR="00870D2C" w:rsidRPr="009A7B0F">
        <w:rPr>
          <w:rFonts w:ascii="Times New Roman" w:hAnsi="Times New Roman" w:cs="Times New Roman"/>
          <w:sz w:val="28"/>
          <w:szCs w:val="28"/>
          <w:lang w:val="en-US"/>
        </w:rPr>
        <w:t>generation</w:t>
      </w:r>
      <w:r w:rsidR="00AF13CD" w:rsidRPr="009A7B0F">
        <w:rPr>
          <w:rFonts w:ascii="Times New Roman" w:hAnsi="Times New Roman" w:cs="Times New Roman"/>
          <w:sz w:val="28"/>
          <w:szCs w:val="28"/>
          <w:lang w:val="en-US"/>
        </w:rPr>
        <w:t xml:space="preserve"> and consumption</w:t>
      </w:r>
      <w:r w:rsidR="00870D2C" w:rsidRPr="009A7B0F">
        <w:rPr>
          <w:rFonts w:ascii="Times New Roman" w:hAnsi="Times New Roman" w:cs="Times New Roman"/>
          <w:sz w:val="28"/>
          <w:szCs w:val="28"/>
          <w:lang w:val="en-US"/>
        </w:rPr>
        <w:t xml:space="preserve"> </w:t>
      </w:r>
      <w:r w:rsidR="00AF13CD" w:rsidRPr="009A7B0F">
        <w:rPr>
          <w:rFonts w:ascii="Times New Roman" w:hAnsi="Times New Roman" w:cs="Times New Roman"/>
          <w:sz w:val="28"/>
          <w:szCs w:val="28"/>
          <w:lang w:val="en-US"/>
        </w:rPr>
        <w:t xml:space="preserve">, as well as </w:t>
      </w:r>
      <w:r w:rsidR="00870D2C" w:rsidRPr="009A7B0F">
        <w:rPr>
          <w:rFonts w:ascii="Times New Roman" w:hAnsi="Times New Roman" w:cs="Times New Roman"/>
          <w:sz w:val="28"/>
          <w:szCs w:val="28"/>
          <w:lang w:val="en-US"/>
        </w:rPr>
        <w:t xml:space="preserve"> due to </w:t>
      </w:r>
      <w:r w:rsidR="00AF13CD" w:rsidRPr="009A7B0F">
        <w:rPr>
          <w:rFonts w:ascii="Times New Roman" w:hAnsi="Times New Roman" w:cs="Times New Roman"/>
          <w:sz w:val="28"/>
          <w:szCs w:val="28"/>
          <w:lang w:val="en-US"/>
        </w:rPr>
        <w:t>taking into account</w:t>
      </w:r>
      <w:r w:rsidR="00870D2C" w:rsidRPr="009A7B0F">
        <w:rPr>
          <w:rFonts w:ascii="Times New Roman" w:hAnsi="Times New Roman" w:cs="Times New Roman"/>
          <w:sz w:val="28"/>
          <w:szCs w:val="28"/>
          <w:lang w:val="en-US"/>
        </w:rPr>
        <w:t xml:space="preserve"> the</w:t>
      </w:r>
      <w:r w:rsidR="00AF13CD" w:rsidRPr="009A7B0F">
        <w:rPr>
          <w:rFonts w:ascii="Times New Roman" w:hAnsi="Times New Roman" w:cs="Times New Roman"/>
          <w:sz w:val="28"/>
          <w:szCs w:val="28"/>
          <w:lang w:val="en-US"/>
        </w:rPr>
        <w:t xml:space="preserve"> data on </w:t>
      </w:r>
      <w:r w:rsidR="00870D2C" w:rsidRPr="009A7B0F">
        <w:rPr>
          <w:rFonts w:ascii="Times New Roman" w:hAnsi="Times New Roman" w:cs="Times New Roman"/>
          <w:sz w:val="28"/>
          <w:szCs w:val="28"/>
          <w:lang w:val="en-US"/>
        </w:rPr>
        <w:t xml:space="preserve">“GRES-1” LLP </w:t>
      </w:r>
      <w:r w:rsidR="00AF13CD" w:rsidRPr="009A7B0F">
        <w:rPr>
          <w:rFonts w:ascii="Times New Roman" w:hAnsi="Times New Roman" w:cs="Times New Roman"/>
          <w:sz w:val="28"/>
          <w:szCs w:val="28"/>
          <w:lang w:val="en-US"/>
        </w:rPr>
        <w:t>in a 100% share</w:t>
      </w:r>
      <w:r w:rsidR="00870D2C" w:rsidRPr="009A7B0F">
        <w:rPr>
          <w:rFonts w:ascii="Times New Roman" w:hAnsi="Times New Roman" w:cs="Times New Roman"/>
          <w:sz w:val="28"/>
          <w:szCs w:val="28"/>
          <w:lang w:val="en-US"/>
        </w:rPr>
        <w:t xml:space="preserve"> from </w:t>
      </w:r>
      <w:r w:rsidR="00AF13CD" w:rsidRPr="009A7B0F">
        <w:rPr>
          <w:rFonts w:ascii="Times New Roman" w:hAnsi="Times New Roman" w:cs="Times New Roman"/>
          <w:sz w:val="28"/>
          <w:szCs w:val="28"/>
          <w:lang w:val="en-US"/>
        </w:rPr>
        <w:t>April</w:t>
      </w:r>
      <w:r w:rsidR="00870D2C" w:rsidRPr="009A7B0F">
        <w:rPr>
          <w:rFonts w:ascii="Times New Roman" w:hAnsi="Times New Roman" w:cs="Times New Roman"/>
          <w:sz w:val="28"/>
          <w:szCs w:val="28"/>
          <w:lang w:val="en-US"/>
        </w:rPr>
        <w:t xml:space="preserve"> 1,</w:t>
      </w:r>
      <w:r w:rsidR="00AF13CD" w:rsidRPr="009A7B0F">
        <w:rPr>
          <w:rFonts w:ascii="Times New Roman" w:hAnsi="Times New Roman" w:cs="Times New Roman"/>
          <w:sz w:val="28"/>
          <w:szCs w:val="28"/>
          <w:lang w:val="en-US"/>
        </w:rPr>
        <w:t xml:space="preserve"> 2014. In addition, </w:t>
      </w:r>
      <w:r w:rsidR="00870D2C" w:rsidRPr="009A7B0F">
        <w:rPr>
          <w:rFonts w:ascii="Times New Roman" w:hAnsi="Times New Roman" w:cs="Times New Roman"/>
          <w:sz w:val="28"/>
          <w:szCs w:val="28"/>
          <w:lang w:val="en-US"/>
        </w:rPr>
        <w:lastRenderedPageBreak/>
        <w:t>the</w:t>
      </w:r>
      <w:r w:rsidR="00AF13CD" w:rsidRPr="009A7B0F">
        <w:rPr>
          <w:rFonts w:ascii="Times New Roman" w:hAnsi="Times New Roman" w:cs="Times New Roman"/>
          <w:sz w:val="28"/>
          <w:szCs w:val="28"/>
          <w:lang w:val="en-US"/>
        </w:rPr>
        <w:t xml:space="preserve"> increase</w:t>
      </w:r>
      <w:r w:rsidR="00870D2C" w:rsidRPr="009A7B0F">
        <w:rPr>
          <w:rFonts w:ascii="Times New Roman" w:hAnsi="Times New Roman" w:cs="Times New Roman"/>
          <w:sz w:val="28"/>
          <w:szCs w:val="28"/>
          <w:lang w:val="en-US"/>
        </w:rPr>
        <w:t xml:space="preserve"> in expenses for</w:t>
      </w:r>
      <w:r w:rsidR="00AF13CD" w:rsidRPr="009A7B0F">
        <w:rPr>
          <w:rFonts w:ascii="Times New Roman" w:hAnsi="Times New Roman" w:cs="Times New Roman"/>
          <w:sz w:val="28"/>
          <w:szCs w:val="28"/>
          <w:lang w:val="en-US"/>
        </w:rPr>
        <w:t xml:space="preserve"> of depreciation resulting from the revaluation </w:t>
      </w:r>
      <w:proofErr w:type="gramStart"/>
      <w:r w:rsidR="00AF13CD" w:rsidRPr="009A7B0F">
        <w:rPr>
          <w:rFonts w:ascii="Times New Roman" w:hAnsi="Times New Roman" w:cs="Times New Roman"/>
          <w:sz w:val="28"/>
          <w:szCs w:val="28"/>
          <w:lang w:val="en-US"/>
        </w:rPr>
        <w:t xml:space="preserve">of </w:t>
      </w:r>
      <w:r w:rsidR="00870D2C" w:rsidRPr="009A7B0F">
        <w:rPr>
          <w:rFonts w:ascii="Times New Roman" w:hAnsi="Times New Roman" w:cs="Times New Roman"/>
          <w:sz w:val="28"/>
          <w:szCs w:val="28"/>
          <w:lang w:val="en-US"/>
        </w:rPr>
        <w:t xml:space="preserve"> "</w:t>
      </w:r>
      <w:proofErr w:type="spellStart"/>
      <w:proofErr w:type="gramEnd"/>
      <w:r w:rsidR="00870D2C" w:rsidRPr="009A7B0F">
        <w:rPr>
          <w:rFonts w:ascii="Times New Roman" w:hAnsi="Times New Roman" w:cs="Times New Roman"/>
          <w:sz w:val="28"/>
          <w:szCs w:val="28"/>
          <w:lang w:val="en-US"/>
        </w:rPr>
        <w:t>Ekibastuz</w:t>
      </w:r>
      <w:proofErr w:type="spellEnd"/>
      <w:r w:rsidR="00870D2C" w:rsidRPr="009A7B0F">
        <w:rPr>
          <w:rFonts w:ascii="Times New Roman" w:hAnsi="Times New Roman" w:cs="Times New Roman"/>
          <w:sz w:val="28"/>
          <w:szCs w:val="28"/>
          <w:lang w:val="en-US"/>
        </w:rPr>
        <w:t xml:space="preserve"> GRES-</w:t>
      </w:r>
      <w:r w:rsidR="00AF13CD" w:rsidRPr="009A7B0F">
        <w:rPr>
          <w:rFonts w:ascii="Times New Roman" w:hAnsi="Times New Roman" w:cs="Times New Roman"/>
          <w:sz w:val="28"/>
          <w:szCs w:val="28"/>
          <w:lang w:val="en-US"/>
        </w:rPr>
        <w:t>"</w:t>
      </w:r>
      <w:r w:rsidR="00870D2C" w:rsidRPr="009A7B0F">
        <w:rPr>
          <w:rFonts w:ascii="Times New Roman" w:hAnsi="Times New Roman" w:cs="Times New Roman"/>
          <w:sz w:val="28"/>
          <w:szCs w:val="28"/>
          <w:lang w:val="en-US"/>
        </w:rPr>
        <w:t xml:space="preserve"> LLP</w:t>
      </w:r>
      <w:r w:rsidR="00AF13CD" w:rsidRPr="009A7B0F">
        <w:rPr>
          <w:rFonts w:ascii="Times New Roman" w:hAnsi="Times New Roman" w:cs="Times New Roman"/>
          <w:sz w:val="28"/>
          <w:szCs w:val="28"/>
          <w:lang w:val="en-US"/>
        </w:rPr>
        <w:t xml:space="preserve"> </w:t>
      </w:r>
      <w:r w:rsidR="00870D2C" w:rsidRPr="009A7B0F">
        <w:rPr>
          <w:rFonts w:ascii="Times New Roman" w:hAnsi="Times New Roman" w:cs="Times New Roman"/>
          <w:sz w:val="28"/>
          <w:szCs w:val="28"/>
          <w:lang w:val="en-US"/>
        </w:rPr>
        <w:t xml:space="preserve">fixed assets </w:t>
      </w:r>
      <w:r w:rsidR="00AF13CD" w:rsidRPr="009A7B0F">
        <w:rPr>
          <w:rFonts w:ascii="Times New Roman" w:hAnsi="Times New Roman" w:cs="Times New Roman"/>
          <w:sz w:val="28"/>
          <w:szCs w:val="28"/>
          <w:lang w:val="en-US"/>
        </w:rPr>
        <w:t>as well as the implementation of investme</w:t>
      </w:r>
      <w:r w:rsidR="00870D2C" w:rsidRPr="009A7B0F">
        <w:rPr>
          <w:rFonts w:ascii="Times New Roman" w:hAnsi="Times New Roman" w:cs="Times New Roman"/>
          <w:sz w:val="28"/>
          <w:szCs w:val="28"/>
          <w:lang w:val="en-US"/>
        </w:rPr>
        <w:t xml:space="preserve">nt programs in all subsidiaries influenced on the growth of the prime cost. </w:t>
      </w:r>
    </w:p>
    <w:p w:rsidR="00340EB1" w:rsidRPr="009A7B0F" w:rsidRDefault="00340EB1" w:rsidP="009A7B0F">
      <w:pPr>
        <w:spacing w:after="0"/>
        <w:ind w:right="-143" w:firstLine="709"/>
        <w:rPr>
          <w:rFonts w:ascii="Times New Roman" w:hAnsi="Times New Roman" w:cs="Times New Roman"/>
          <w:sz w:val="28"/>
          <w:szCs w:val="28"/>
          <w:lang w:val="en-US"/>
        </w:rPr>
      </w:pPr>
    </w:p>
    <w:p w:rsidR="00340EB1" w:rsidRPr="00FA1B91" w:rsidRDefault="00340EB1" w:rsidP="009A7B0F">
      <w:pPr>
        <w:spacing w:after="0"/>
        <w:ind w:right="-143" w:firstLine="709"/>
        <w:jc w:val="center"/>
        <w:rPr>
          <w:rFonts w:ascii="Times New Roman" w:hAnsi="Times New Roman" w:cs="Times New Roman"/>
          <w:b/>
          <w:sz w:val="28"/>
          <w:szCs w:val="28"/>
          <w:lang w:val="en-US"/>
        </w:rPr>
      </w:pPr>
      <w:r w:rsidRPr="009A7B0F">
        <w:rPr>
          <w:rFonts w:ascii="Times New Roman" w:hAnsi="Times New Roman" w:cs="Times New Roman"/>
          <w:b/>
          <w:sz w:val="28"/>
          <w:szCs w:val="28"/>
          <w:lang w:val="en-US"/>
        </w:rPr>
        <w:t>The structure of prime cost by types of activities</w:t>
      </w:r>
      <w:r w:rsidR="00030DAC" w:rsidRPr="009A7B0F">
        <w:rPr>
          <w:rFonts w:ascii="Times New Roman" w:hAnsi="Times New Roman" w:cs="Times New Roman"/>
          <w:b/>
          <w:sz w:val="28"/>
          <w:szCs w:val="28"/>
          <w:lang w:val="en-US"/>
        </w:rPr>
        <w:t xml:space="preserve"> </w:t>
      </w:r>
    </w:p>
    <w:p w:rsidR="004D586B" w:rsidRPr="00FA1B91" w:rsidRDefault="004D586B" w:rsidP="009A7B0F">
      <w:pPr>
        <w:spacing w:after="0"/>
        <w:ind w:right="-143" w:firstLine="709"/>
        <w:jc w:val="center"/>
        <w:rPr>
          <w:rFonts w:ascii="Times New Roman" w:hAnsi="Times New Roman" w:cs="Times New Roman"/>
          <w:b/>
          <w:sz w:val="28"/>
          <w:szCs w:val="28"/>
          <w:lang w:val="en-US"/>
        </w:rPr>
      </w:pPr>
    </w:p>
    <w:p w:rsidR="00340EB1" w:rsidRPr="009A7B0F" w:rsidRDefault="004D586B" w:rsidP="009A7B0F">
      <w:pPr>
        <w:spacing w:after="0"/>
        <w:ind w:right="-143" w:firstLine="709"/>
        <w:rPr>
          <w:rFonts w:ascii="Times New Roman" w:hAnsi="Times New Roman" w:cs="Times New Roman"/>
          <w:b/>
          <w:sz w:val="28"/>
          <w:szCs w:val="28"/>
          <w:u w:val="single"/>
          <w:lang w:val="en-US"/>
        </w:rPr>
      </w:pPr>
      <w:r>
        <w:rPr>
          <w:noProof/>
          <w:lang w:eastAsia="ru-RU"/>
        </w:rPr>
        <w:drawing>
          <wp:inline distT="0" distB="0" distL="0" distR="0" wp14:anchorId="4370E20D" wp14:editId="0BFAE055">
            <wp:extent cx="4981575" cy="23336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63AB" w:rsidRPr="009A7B0F" w:rsidRDefault="006663AB" w:rsidP="009A7B0F">
      <w:pPr>
        <w:spacing w:after="0"/>
        <w:ind w:right="-143" w:firstLine="709"/>
        <w:jc w:val="both"/>
        <w:rPr>
          <w:rFonts w:ascii="Times New Roman" w:hAnsi="Times New Roman" w:cs="Times New Roman"/>
          <w:b/>
          <w:sz w:val="28"/>
          <w:szCs w:val="28"/>
          <w:u w:val="single"/>
        </w:rPr>
      </w:pPr>
    </w:p>
    <w:p w:rsidR="006663AB" w:rsidRPr="009A7B0F" w:rsidRDefault="006663AB"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Forecast for the future term: In the forecast for 2016 the prime cost of goods sold and services rendered increased by 32 772 million </w:t>
      </w:r>
      <w:proofErr w:type="spellStart"/>
      <w:r w:rsidRPr="009A7B0F">
        <w:rPr>
          <w:rFonts w:ascii="Times New Roman" w:hAnsi="Times New Roman" w:cs="Times New Roman"/>
          <w:sz w:val="28"/>
          <w:szCs w:val="28"/>
          <w:lang w:val="en-US"/>
        </w:rPr>
        <w:t>tenge</w:t>
      </w:r>
      <w:proofErr w:type="spellEnd"/>
      <w:r w:rsidRPr="009A7B0F">
        <w:rPr>
          <w:rFonts w:ascii="Times New Roman" w:hAnsi="Times New Roman" w:cs="Times New Roman"/>
          <w:sz w:val="28"/>
          <w:szCs w:val="28"/>
          <w:lang w:val="en-US"/>
        </w:rPr>
        <w:t xml:space="preserve"> (19</w:t>
      </w:r>
      <w:proofErr w:type="gramStart"/>
      <w:r w:rsidRPr="009A7B0F">
        <w:rPr>
          <w:rFonts w:ascii="Times New Roman" w:hAnsi="Times New Roman" w:cs="Times New Roman"/>
          <w:sz w:val="28"/>
          <w:szCs w:val="28"/>
          <w:lang w:val="en-US"/>
        </w:rPr>
        <w:t>,7</w:t>
      </w:r>
      <w:proofErr w:type="gramEnd"/>
      <w:r w:rsidRPr="009A7B0F">
        <w:rPr>
          <w:rFonts w:ascii="Times New Roman" w:hAnsi="Times New Roman" w:cs="Times New Roman"/>
          <w:sz w:val="28"/>
          <w:szCs w:val="28"/>
          <w:lang w:val="en-US"/>
        </w:rPr>
        <w:t xml:space="preserve">%). The main increase was due to </w:t>
      </w:r>
      <w:r w:rsidR="002D298E" w:rsidRPr="009A7B0F">
        <w:rPr>
          <w:rFonts w:ascii="Times New Roman" w:hAnsi="Times New Roman" w:cs="Times New Roman"/>
          <w:sz w:val="28"/>
          <w:szCs w:val="28"/>
          <w:lang w:val="en-US"/>
        </w:rPr>
        <w:t>growth of</w:t>
      </w:r>
      <w:r w:rsidRPr="009A7B0F">
        <w:rPr>
          <w:rFonts w:ascii="Times New Roman" w:hAnsi="Times New Roman" w:cs="Times New Roman"/>
          <w:sz w:val="28"/>
          <w:szCs w:val="28"/>
          <w:lang w:val="en-US"/>
        </w:rPr>
        <w:t xml:space="preserve"> depreciation expenses in connection </w:t>
      </w:r>
      <w:r w:rsidR="002D298E" w:rsidRPr="009A7B0F">
        <w:rPr>
          <w:rFonts w:ascii="Times New Roman" w:hAnsi="Times New Roman" w:cs="Times New Roman"/>
          <w:sz w:val="28"/>
          <w:szCs w:val="28"/>
          <w:lang w:val="en-US"/>
        </w:rPr>
        <w:t>with assets</w:t>
      </w:r>
      <w:r w:rsidRPr="009A7B0F">
        <w:rPr>
          <w:rFonts w:ascii="Times New Roman" w:hAnsi="Times New Roman" w:cs="Times New Roman"/>
          <w:sz w:val="28"/>
          <w:szCs w:val="28"/>
          <w:lang w:val="en-US"/>
        </w:rPr>
        <w:t xml:space="preserve"> modernization. A</w:t>
      </w:r>
      <w:r w:rsidR="002D298E" w:rsidRPr="009A7B0F">
        <w:rPr>
          <w:rFonts w:ascii="Times New Roman" w:hAnsi="Times New Roman" w:cs="Times New Roman"/>
          <w:sz w:val="28"/>
          <w:szCs w:val="28"/>
          <w:lang w:val="en-US"/>
        </w:rPr>
        <w:t>lso the</w:t>
      </w:r>
      <w:r w:rsidR="00A101DE">
        <w:rPr>
          <w:rFonts w:ascii="Times New Roman" w:hAnsi="Times New Roman" w:cs="Times New Roman"/>
          <w:sz w:val="28"/>
          <w:szCs w:val="28"/>
          <w:lang w:val="en-US"/>
        </w:rPr>
        <w:t xml:space="preserve"> growth</w:t>
      </w:r>
      <w:r w:rsidRPr="009A7B0F">
        <w:rPr>
          <w:rFonts w:ascii="Times New Roman" w:hAnsi="Times New Roman" w:cs="Times New Roman"/>
          <w:sz w:val="28"/>
          <w:szCs w:val="28"/>
          <w:lang w:val="en-US"/>
        </w:rPr>
        <w:t xml:space="preserve"> </w:t>
      </w:r>
      <w:r w:rsidR="00D26992" w:rsidRPr="009A7B0F">
        <w:rPr>
          <w:rFonts w:ascii="Times New Roman" w:hAnsi="Times New Roman" w:cs="Times New Roman"/>
          <w:sz w:val="28"/>
          <w:szCs w:val="28"/>
          <w:lang w:val="en-US"/>
        </w:rPr>
        <w:t xml:space="preserve">is connected with </w:t>
      </w:r>
      <w:r w:rsidRPr="009A7B0F">
        <w:rPr>
          <w:rFonts w:ascii="Times New Roman" w:hAnsi="Times New Roman" w:cs="Times New Roman"/>
          <w:sz w:val="28"/>
          <w:szCs w:val="28"/>
          <w:lang w:val="en-US"/>
        </w:rPr>
        <w:t xml:space="preserve">an annual increase in staff salaries, taking into account the inflation factor and the increase </w:t>
      </w:r>
      <w:proofErr w:type="gramStart"/>
      <w:r w:rsidRPr="009A7B0F">
        <w:rPr>
          <w:rFonts w:ascii="Times New Roman" w:hAnsi="Times New Roman" w:cs="Times New Roman"/>
          <w:sz w:val="28"/>
          <w:szCs w:val="28"/>
          <w:lang w:val="en-US"/>
        </w:rPr>
        <w:t>in  purchased</w:t>
      </w:r>
      <w:proofErr w:type="gramEnd"/>
      <w:r w:rsidR="00D26992" w:rsidRPr="009A7B0F">
        <w:rPr>
          <w:rFonts w:ascii="Times New Roman" w:hAnsi="Times New Roman" w:cs="Times New Roman"/>
          <w:sz w:val="28"/>
          <w:szCs w:val="28"/>
          <w:lang w:val="en-US"/>
        </w:rPr>
        <w:t xml:space="preserve"> fuel prices</w:t>
      </w:r>
      <w:r w:rsidRPr="009A7B0F">
        <w:rPr>
          <w:rFonts w:ascii="Times New Roman" w:hAnsi="Times New Roman" w:cs="Times New Roman"/>
          <w:sz w:val="28"/>
          <w:szCs w:val="28"/>
          <w:lang w:val="en-US"/>
        </w:rPr>
        <w:t xml:space="preserve"> and services provided by third parties.</w:t>
      </w:r>
      <w:r w:rsidR="00D26992" w:rsidRPr="009A7B0F">
        <w:rPr>
          <w:rFonts w:ascii="Times New Roman" w:hAnsi="Times New Roman" w:cs="Times New Roman"/>
          <w:sz w:val="28"/>
          <w:szCs w:val="28"/>
          <w:lang w:val="en-US"/>
        </w:rPr>
        <w:t xml:space="preserve">  Prime costs in the</w:t>
      </w:r>
      <w:r w:rsidRPr="009A7B0F">
        <w:rPr>
          <w:rFonts w:ascii="Times New Roman" w:hAnsi="Times New Roman" w:cs="Times New Roman"/>
          <w:sz w:val="28"/>
          <w:szCs w:val="28"/>
          <w:lang w:val="en-US"/>
        </w:rPr>
        <w:t xml:space="preserve"> forecast for 2017 are reduced </w:t>
      </w:r>
      <w:r w:rsidR="00D26992" w:rsidRPr="009A7B0F">
        <w:rPr>
          <w:rFonts w:ascii="Times New Roman" w:hAnsi="Times New Roman" w:cs="Times New Roman"/>
          <w:sz w:val="28"/>
          <w:szCs w:val="28"/>
          <w:lang w:val="en-US"/>
        </w:rPr>
        <w:t>due to exclusion</w:t>
      </w:r>
      <w:r w:rsidRPr="009A7B0F">
        <w:rPr>
          <w:rFonts w:ascii="Times New Roman" w:hAnsi="Times New Roman" w:cs="Times New Roman"/>
          <w:sz w:val="28"/>
          <w:szCs w:val="28"/>
          <w:lang w:val="en-US"/>
        </w:rPr>
        <w:t xml:space="preserve"> of assets held for sale.</w:t>
      </w:r>
    </w:p>
    <w:p w:rsidR="00D26992" w:rsidRPr="009A7B0F" w:rsidRDefault="00D26992" w:rsidP="009A7B0F">
      <w:pPr>
        <w:spacing w:after="0"/>
        <w:ind w:right="-143" w:firstLine="709"/>
        <w:jc w:val="both"/>
        <w:rPr>
          <w:rFonts w:ascii="Times New Roman" w:hAnsi="Times New Roman" w:cs="Times New Roman"/>
          <w:sz w:val="28"/>
          <w:szCs w:val="28"/>
          <w:lang w:val="en-US"/>
        </w:rPr>
      </w:pPr>
    </w:p>
    <w:p w:rsidR="00D26992" w:rsidRPr="009A7B0F" w:rsidRDefault="00D26992" w:rsidP="009A7B0F">
      <w:pPr>
        <w:ind w:right="-143" w:firstLine="709"/>
        <w:jc w:val="both"/>
        <w:rPr>
          <w:rFonts w:ascii="Times New Roman" w:hAnsi="Times New Roman" w:cs="Times New Roman"/>
          <w:b/>
          <w:sz w:val="28"/>
          <w:szCs w:val="28"/>
          <w:lang w:val="en-US"/>
        </w:rPr>
      </w:pPr>
      <w:r w:rsidRPr="009A7B0F">
        <w:rPr>
          <w:rFonts w:ascii="Times New Roman" w:hAnsi="Times New Roman" w:cs="Times New Roman"/>
          <w:b/>
          <w:sz w:val="28"/>
          <w:szCs w:val="28"/>
          <w:lang w:val="en-US"/>
        </w:rPr>
        <w:t xml:space="preserve">Sales costs </w:t>
      </w:r>
    </w:p>
    <w:tbl>
      <w:tblPr>
        <w:tblW w:w="9177" w:type="dxa"/>
        <w:tblInd w:w="98" w:type="dxa"/>
        <w:tblLook w:val="04A0" w:firstRow="1" w:lastRow="0" w:firstColumn="1" w:lastColumn="0" w:noHBand="0" w:noVBand="1"/>
      </w:tblPr>
      <w:tblGrid>
        <w:gridCol w:w="4058"/>
        <w:gridCol w:w="1296"/>
        <w:gridCol w:w="1269"/>
        <w:gridCol w:w="1287"/>
        <w:gridCol w:w="1267"/>
      </w:tblGrid>
      <w:tr w:rsidR="00D26992" w:rsidRPr="009A7B0F" w:rsidTr="00720CC6">
        <w:trPr>
          <w:trHeight w:val="322"/>
        </w:trPr>
        <w:tc>
          <w:tcPr>
            <w:tcW w:w="40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 xml:space="preserve">Indicator, </w:t>
            </w:r>
            <w:proofErr w:type="spellStart"/>
            <w:r w:rsidRPr="009A7B0F">
              <w:rPr>
                <w:rFonts w:ascii="Times New Roman" w:hAnsi="Times New Roman" w:cs="Times New Roman"/>
                <w:b/>
                <w:bCs/>
                <w:color w:val="000000"/>
                <w:sz w:val="28"/>
                <w:szCs w:val="28"/>
                <w:lang w:val="en-US" w:eastAsia="ru-RU"/>
              </w:rPr>
              <w:t>mln.tenge</w:t>
            </w:r>
            <w:proofErr w:type="spellEnd"/>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FF0000"/>
                <w:sz w:val="28"/>
                <w:szCs w:val="28"/>
                <w:lang w:eastAsia="ru-RU"/>
              </w:rPr>
            </w:pPr>
            <w:r w:rsidRPr="009A7B0F">
              <w:rPr>
                <w:rFonts w:ascii="Times New Roman" w:hAnsi="Times New Roman" w:cs="Times New Roman"/>
                <w:b/>
                <w:bCs/>
                <w:sz w:val="28"/>
                <w:szCs w:val="28"/>
                <w:lang w:eastAsia="ru-RU"/>
              </w:rPr>
              <w:t>2014*</w:t>
            </w:r>
          </w:p>
        </w:tc>
        <w:tc>
          <w:tcPr>
            <w:tcW w:w="12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2015</w:t>
            </w:r>
          </w:p>
        </w:tc>
        <w:tc>
          <w:tcPr>
            <w:tcW w:w="1287" w:type="dxa"/>
            <w:tcBorders>
              <w:top w:val="single" w:sz="8" w:space="0" w:color="auto"/>
              <w:left w:val="nil"/>
              <w:bottom w:val="nil"/>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2016</w:t>
            </w:r>
          </w:p>
        </w:tc>
        <w:tc>
          <w:tcPr>
            <w:tcW w:w="1267" w:type="dxa"/>
            <w:tcBorders>
              <w:top w:val="single" w:sz="8" w:space="0" w:color="auto"/>
              <w:left w:val="nil"/>
              <w:bottom w:val="nil"/>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2017</w:t>
            </w:r>
          </w:p>
        </w:tc>
      </w:tr>
      <w:tr w:rsidR="00D26992" w:rsidRPr="009A7B0F" w:rsidTr="00720CC6">
        <w:trPr>
          <w:trHeight w:val="337"/>
        </w:trPr>
        <w:tc>
          <w:tcPr>
            <w:tcW w:w="4058" w:type="dxa"/>
            <w:vMerge/>
            <w:tcBorders>
              <w:top w:val="single" w:sz="8" w:space="0" w:color="auto"/>
              <w:left w:val="single" w:sz="8" w:space="0" w:color="auto"/>
              <w:bottom w:val="single" w:sz="8" w:space="0" w:color="000000"/>
              <w:right w:val="single" w:sz="8" w:space="0" w:color="auto"/>
            </w:tcBorders>
            <w:vAlign w:val="center"/>
            <w:hideMark/>
          </w:tcPr>
          <w:p w:rsidR="00D26992" w:rsidRPr="009A7B0F" w:rsidRDefault="00D26992" w:rsidP="00470E50">
            <w:pPr>
              <w:ind w:right="-143" w:firstLine="44"/>
              <w:rPr>
                <w:rFonts w:ascii="Times New Roman" w:hAnsi="Times New Roman" w:cs="Times New Roman"/>
                <w:b/>
                <w:bCs/>
                <w:color w:val="000000"/>
                <w:sz w:val="28"/>
                <w:szCs w:val="28"/>
                <w:lang w:eastAsia="ru-RU"/>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rsidR="00D26992" w:rsidRPr="009A7B0F" w:rsidRDefault="00D26992" w:rsidP="00470E50">
            <w:pPr>
              <w:ind w:right="-143" w:firstLine="44"/>
              <w:rPr>
                <w:rFonts w:ascii="Times New Roman" w:hAnsi="Times New Roman" w:cs="Times New Roman"/>
                <w:b/>
                <w:bCs/>
                <w:color w:val="FF0000"/>
                <w:sz w:val="28"/>
                <w:szCs w:val="28"/>
                <w:lang w:eastAsia="ru-RU"/>
              </w:rPr>
            </w:pPr>
          </w:p>
        </w:tc>
        <w:tc>
          <w:tcPr>
            <w:tcW w:w="1269" w:type="dxa"/>
            <w:vMerge/>
            <w:tcBorders>
              <w:top w:val="single" w:sz="8" w:space="0" w:color="auto"/>
              <w:left w:val="single" w:sz="8" w:space="0" w:color="auto"/>
              <w:bottom w:val="single" w:sz="8" w:space="0" w:color="000000"/>
              <w:right w:val="single" w:sz="8" w:space="0" w:color="auto"/>
            </w:tcBorders>
            <w:vAlign w:val="center"/>
            <w:hideMark/>
          </w:tcPr>
          <w:p w:rsidR="00D26992" w:rsidRPr="009A7B0F" w:rsidRDefault="00D26992" w:rsidP="00470E50">
            <w:pPr>
              <w:ind w:right="-143" w:firstLine="44"/>
              <w:rPr>
                <w:rFonts w:ascii="Times New Roman" w:hAnsi="Times New Roman" w:cs="Times New Roman"/>
                <w:b/>
                <w:bCs/>
                <w:color w:val="000000"/>
                <w:sz w:val="28"/>
                <w:szCs w:val="28"/>
                <w:lang w:eastAsia="ru-RU"/>
              </w:rPr>
            </w:pPr>
          </w:p>
        </w:tc>
        <w:tc>
          <w:tcPr>
            <w:tcW w:w="128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c>
          <w:tcPr>
            <w:tcW w:w="126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r>
      <w:tr w:rsidR="00D26992" w:rsidRPr="009A7B0F" w:rsidTr="00720CC6">
        <w:trPr>
          <w:trHeight w:val="835"/>
        </w:trPr>
        <w:tc>
          <w:tcPr>
            <w:tcW w:w="4058" w:type="dxa"/>
            <w:tcBorders>
              <w:top w:val="nil"/>
              <w:left w:val="single" w:sz="8" w:space="0" w:color="auto"/>
              <w:bottom w:val="single" w:sz="8" w:space="0" w:color="auto"/>
              <w:right w:val="single" w:sz="8" w:space="0" w:color="auto"/>
            </w:tcBorders>
            <w:shd w:val="clear" w:color="auto" w:fill="auto"/>
            <w:vAlign w:val="center"/>
            <w:hideMark/>
          </w:tcPr>
          <w:p w:rsidR="00D26992" w:rsidRPr="009A7B0F" w:rsidRDefault="00D26992"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Expenses for labor remuneration and other social payments of staff associated with sales process</w:t>
            </w:r>
          </w:p>
        </w:tc>
        <w:tc>
          <w:tcPr>
            <w:tcW w:w="1296"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99</w:t>
            </w:r>
          </w:p>
        </w:tc>
        <w:tc>
          <w:tcPr>
            <w:tcW w:w="1269"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111</w:t>
            </w:r>
          </w:p>
        </w:tc>
        <w:tc>
          <w:tcPr>
            <w:tcW w:w="128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109</w:t>
            </w:r>
          </w:p>
        </w:tc>
        <w:tc>
          <w:tcPr>
            <w:tcW w:w="126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21</w:t>
            </w:r>
          </w:p>
        </w:tc>
      </w:tr>
      <w:tr w:rsidR="00D26992" w:rsidRPr="009A7B0F" w:rsidTr="00720CC6">
        <w:trPr>
          <w:trHeight w:val="337"/>
        </w:trPr>
        <w:tc>
          <w:tcPr>
            <w:tcW w:w="4058" w:type="dxa"/>
            <w:tcBorders>
              <w:top w:val="nil"/>
              <w:left w:val="single" w:sz="8" w:space="0" w:color="auto"/>
              <w:bottom w:val="single" w:sz="8" w:space="0" w:color="auto"/>
              <w:right w:val="single" w:sz="8" w:space="0" w:color="auto"/>
            </w:tcBorders>
            <w:shd w:val="clear" w:color="auto" w:fill="auto"/>
            <w:vAlign w:val="center"/>
            <w:hideMark/>
          </w:tcPr>
          <w:p w:rsidR="00D26992" w:rsidRPr="009A7B0F" w:rsidRDefault="00D26992"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Taxes, except for income tax</w:t>
            </w:r>
          </w:p>
        </w:tc>
        <w:tc>
          <w:tcPr>
            <w:tcW w:w="1296"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w:t>
            </w:r>
          </w:p>
        </w:tc>
        <w:tc>
          <w:tcPr>
            <w:tcW w:w="1269"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w:t>
            </w:r>
          </w:p>
        </w:tc>
        <w:tc>
          <w:tcPr>
            <w:tcW w:w="128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w:t>
            </w:r>
          </w:p>
        </w:tc>
        <w:tc>
          <w:tcPr>
            <w:tcW w:w="126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w:t>
            </w:r>
          </w:p>
        </w:tc>
      </w:tr>
      <w:tr w:rsidR="00D26992" w:rsidRPr="009A7B0F" w:rsidTr="00720CC6">
        <w:trPr>
          <w:trHeight w:val="563"/>
        </w:trPr>
        <w:tc>
          <w:tcPr>
            <w:tcW w:w="4058" w:type="dxa"/>
            <w:tcBorders>
              <w:top w:val="nil"/>
              <w:left w:val="single" w:sz="8" w:space="0" w:color="auto"/>
              <w:bottom w:val="single" w:sz="8" w:space="0" w:color="auto"/>
              <w:right w:val="single" w:sz="8" w:space="0" w:color="auto"/>
            </w:tcBorders>
            <w:shd w:val="clear" w:color="auto" w:fill="auto"/>
            <w:vAlign w:val="center"/>
            <w:hideMark/>
          </w:tcPr>
          <w:p w:rsidR="00D26992" w:rsidRPr="009A7B0F" w:rsidRDefault="00D26992"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Other works and services associated with sales</w:t>
            </w:r>
          </w:p>
        </w:tc>
        <w:tc>
          <w:tcPr>
            <w:tcW w:w="1296"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2 406</w:t>
            </w:r>
          </w:p>
        </w:tc>
        <w:tc>
          <w:tcPr>
            <w:tcW w:w="1269"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2 906</w:t>
            </w:r>
          </w:p>
        </w:tc>
        <w:tc>
          <w:tcPr>
            <w:tcW w:w="128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3 033</w:t>
            </w:r>
          </w:p>
        </w:tc>
        <w:tc>
          <w:tcPr>
            <w:tcW w:w="126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3 895</w:t>
            </w:r>
          </w:p>
        </w:tc>
      </w:tr>
      <w:tr w:rsidR="00D26992" w:rsidRPr="009A7B0F" w:rsidTr="00720CC6">
        <w:trPr>
          <w:trHeight w:val="337"/>
        </w:trPr>
        <w:tc>
          <w:tcPr>
            <w:tcW w:w="4058" w:type="dxa"/>
            <w:tcBorders>
              <w:top w:val="nil"/>
              <w:left w:val="single" w:sz="8" w:space="0" w:color="auto"/>
              <w:bottom w:val="single" w:sz="8" w:space="0" w:color="auto"/>
              <w:right w:val="single" w:sz="8" w:space="0" w:color="auto"/>
            </w:tcBorders>
            <w:shd w:val="clear" w:color="auto" w:fill="auto"/>
            <w:vAlign w:val="center"/>
            <w:hideMark/>
          </w:tcPr>
          <w:p w:rsidR="00D26992" w:rsidRPr="009A7B0F" w:rsidRDefault="00D26992"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Business trip expenses</w:t>
            </w:r>
          </w:p>
        </w:tc>
        <w:tc>
          <w:tcPr>
            <w:tcW w:w="1296"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2,8</w:t>
            </w:r>
          </w:p>
        </w:tc>
        <w:tc>
          <w:tcPr>
            <w:tcW w:w="1269"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w:t>
            </w:r>
          </w:p>
        </w:tc>
        <w:tc>
          <w:tcPr>
            <w:tcW w:w="128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w:t>
            </w:r>
          </w:p>
        </w:tc>
        <w:tc>
          <w:tcPr>
            <w:tcW w:w="126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0</w:t>
            </w:r>
          </w:p>
        </w:tc>
      </w:tr>
      <w:tr w:rsidR="00D26992" w:rsidRPr="009A7B0F" w:rsidTr="00720CC6">
        <w:trPr>
          <w:trHeight w:val="337"/>
        </w:trPr>
        <w:tc>
          <w:tcPr>
            <w:tcW w:w="4058" w:type="dxa"/>
            <w:tcBorders>
              <w:top w:val="nil"/>
              <w:left w:val="single" w:sz="8" w:space="0" w:color="auto"/>
              <w:bottom w:val="single" w:sz="8" w:space="0" w:color="auto"/>
              <w:right w:val="single" w:sz="8" w:space="0" w:color="auto"/>
            </w:tcBorders>
            <w:shd w:val="clear" w:color="auto" w:fill="auto"/>
            <w:vAlign w:val="center"/>
            <w:hideMark/>
          </w:tcPr>
          <w:p w:rsidR="00D26992" w:rsidRPr="009A7B0F" w:rsidRDefault="00D26992"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lastRenderedPageBreak/>
              <w:t>Other sales costs</w:t>
            </w:r>
          </w:p>
        </w:tc>
        <w:tc>
          <w:tcPr>
            <w:tcW w:w="1296"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8</w:t>
            </w:r>
          </w:p>
        </w:tc>
        <w:tc>
          <w:tcPr>
            <w:tcW w:w="1269"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10</w:t>
            </w:r>
          </w:p>
        </w:tc>
        <w:tc>
          <w:tcPr>
            <w:tcW w:w="128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9</w:t>
            </w:r>
          </w:p>
        </w:tc>
        <w:tc>
          <w:tcPr>
            <w:tcW w:w="126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0</w:t>
            </w:r>
          </w:p>
        </w:tc>
      </w:tr>
      <w:tr w:rsidR="00D26992" w:rsidRPr="009A7B0F" w:rsidTr="00720CC6">
        <w:trPr>
          <w:trHeight w:val="337"/>
        </w:trPr>
        <w:tc>
          <w:tcPr>
            <w:tcW w:w="4058" w:type="dxa"/>
            <w:tcBorders>
              <w:top w:val="nil"/>
              <w:left w:val="single" w:sz="8" w:space="0" w:color="auto"/>
              <w:bottom w:val="single" w:sz="8" w:space="0" w:color="auto"/>
              <w:right w:val="single" w:sz="8" w:space="0" w:color="auto"/>
            </w:tcBorders>
            <w:shd w:val="clear" w:color="auto" w:fill="auto"/>
            <w:vAlign w:val="center"/>
            <w:hideMark/>
          </w:tcPr>
          <w:p w:rsidR="00D26992" w:rsidRPr="009A7B0F" w:rsidRDefault="00D26992" w:rsidP="00470E50">
            <w:pPr>
              <w:ind w:right="-143" w:firstLine="44"/>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TOTAL</w:t>
            </w:r>
          </w:p>
        </w:tc>
        <w:tc>
          <w:tcPr>
            <w:tcW w:w="1296"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2 516</w:t>
            </w:r>
          </w:p>
        </w:tc>
        <w:tc>
          <w:tcPr>
            <w:tcW w:w="1269"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3 029</w:t>
            </w:r>
          </w:p>
        </w:tc>
        <w:tc>
          <w:tcPr>
            <w:tcW w:w="128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3 153</w:t>
            </w:r>
          </w:p>
        </w:tc>
        <w:tc>
          <w:tcPr>
            <w:tcW w:w="1267" w:type="dxa"/>
            <w:tcBorders>
              <w:top w:val="nil"/>
              <w:left w:val="nil"/>
              <w:bottom w:val="single" w:sz="8" w:space="0" w:color="auto"/>
              <w:right w:val="single" w:sz="8" w:space="0" w:color="auto"/>
            </w:tcBorders>
            <w:shd w:val="clear" w:color="auto" w:fill="auto"/>
            <w:vAlign w:val="center"/>
            <w:hideMark/>
          </w:tcPr>
          <w:p w:rsidR="00D26992" w:rsidRPr="009A7B0F" w:rsidRDefault="00D26992"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3 916</w:t>
            </w:r>
          </w:p>
        </w:tc>
      </w:tr>
    </w:tbl>
    <w:p w:rsidR="00720CC6" w:rsidRPr="004D586B" w:rsidRDefault="00720CC6" w:rsidP="009A7B0F">
      <w:pPr>
        <w:spacing w:after="0"/>
        <w:ind w:right="-143" w:firstLine="709"/>
        <w:jc w:val="both"/>
        <w:rPr>
          <w:rFonts w:ascii="Times New Roman" w:hAnsi="Times New Roman" w:cs="Times New Roman"/>
          <w:i/>
          <w:sz w:val="24"/>
          <w:szCs w:val="24"/>
          <w:lang w:val="en-US"/>
        </w:rPr>
      </w:pPr>
      <w:r w:rsidRPr="004D586B">
        <w:rPr>
          <w:rFonts w:ascii="Times New Roman" w:hAnsi="Times New Roman" w:cs="Times New Roman"/>
          <w:i/>
          <w:sz w:val="24"/>
          <w:szCs w:val="24"/>
          <w:lang w:val="en-US"/>
        </w:rPr>
        <w:t xml:space="preserve">* For purposes of comparability, 2014 figures </w:t>
      </w:r>
      <w:r w:rsidR="00451243" w:rsidRPr="004D586B">
        <w:rPr>
          <w:rFonts w:ascii="Times New Roman" w:hAnsi="Times New Roman" w:cs="Times New Roman"/>
          <w:i/>
          <w:sz w:val="24"/>
          <w:szCs w:val="24"/>
          <w:lang w:val="en-US"/>
        </w:rPr>
        <w:t>were recalculated</w:t>
      </w:r>
      <w:r w:rsidRPr="004D586B">
        <w:rPr>
          <w:rFonts w:ascii="Times New Roman" w:hAnsi="Times New Roman" w:cs="Times New Roman"/>
          <w:i/>
          <w:sz w:val="24"/>
          <w:szCs w:val="24"/>
          <w:lang w:val="en-US"/>
        </w:rPr>
        <w:t xml:space="preserve"> for the transfer of subsidiaries and affiliates from discontinued operations </w:t>
      </w:r>
      <w:r w:rsidR="00451243" w:rsidRPr="004D586B">
        <w:rPr>
          <w:rFonts w:ascii="Times New Roman" w:hAnsi="Times New Roman" w:cs="Times New Roman"/>
          <w:i/>
          <w:sz w:val="24"/>
          <w:szCs w:val="24"/>
          <w:lang w:val="en-US"/>
        </w:rPr>
        <w:t>to</w:t>
      </w:r>
      <w:r w:rsidRPr="004D586B">
        <w:rPr>
          <w:rFonts w:ascii="Times New Roman" w:hAnsi="Times New Roman" w:cs="Times New Roman"/>
          <w:i/>
          <w:sz w:val="24"/>
          <w:szCs w:val="24"/>
          <w:lang w:val="en-US"/>
        </w:rPr>
        <w:t xml:space="preserve"> the full consolidation</w:t>
      </w:r>
    </w:p>
    <w:p w:rsidR="00451243" w:rsidRPr="009A7B0F" w:rsidRDefault="00451243" w:rsidP="009A7B0F">
      <w:pPr>
        <w:spacing w:after="0"/>
        <w:ind w:right="-143" w:firstLine="709"/>
        <w:jc w:val="both"/>
        <w:rPr>
          <w:rFonts w:ascii="Times New Roman" w:hAnsi="Times New Roman" w:cs="Times New Roman"/>
          <w:sz w:val="28"/>
          <w:szCs w:val="28"/>
          <w:lang w:val="en-US"/>
        </w:rPr>
      </w:pPr>
    </w:p>
    <w:p w:rsidR="00451243" w:rsidRPr="009A7B0F" w:rsidRDefault="00451243"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“EGRES-1” LLP expenses were considered from April in 2014 which resulted in the increase of sales costs for 2015 by 613 </w:t>
      </w:r>
      <w:proofErr w:type="spellStart"/>
      <w:r w:rsidRPr="009A7B0F">
        <w:rPr>
          <w:rFonts w:ascii="Times New Roman" w:hAnsi="Times New Roman" w:cs="Times New Roman"/>
          <w:sz w:val="28"/>
          <w:szCs w:val="28"/>
          <w:lang w:val="en-US"/>
        </w:rPr>
        <w:t>mln.tenge</w:t>
      </w:r>
      <w:proofErr w:type="spellEnd"/>
      <w:r w:rsidRPr="009A7B0F">
        <w:rPr>
          <w:rFonts w:ascii="Times New Roman" w:hAnsi="Times New Roman" w:cs="Times New Roman"/>
          <w:sz w:val="28"/>
          <w:szCs w:val="28"/>
          <w:lang w:val="en-US"/>
        </w:rPr>
        <w:t>.</w:t>
      </w:r>
    </w:p>
    <w:p w:rsidR="00D26992" w:rsidRPr="009A7B0F" w:rsidRDefault="00451243"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In t</w:t>
      </w:r>
      <w:r w:rsidR="00720CC6" w:rsidRPr="009A7B0F">
        <w:rPr>
          <w:rFonts w:ascii="Times New Roman" w:hAnsi="Times New Roman" w:cs="Times New Roman"/>
          <w:sz w:val="28"/>
          <w:szCs w:val="28"/>
          <w:lang w:val="en-US"/>
        </w:rPr>
        <w:t xml:space="preserve">he forecast for 2016 </w:t>
      </w:r>
      <w:r w:rsidRPr="009A7B0F">
        <w:rPr>
          <w:rFonts w:ascii="Times New Roman" w:hAnsi="Times New Roman" w:cs="Times New Roman"/>
          <w:sz w:val="28"/>
          <w:szCs w:val="28"/>
          <w:lang w:val="en-US"/>
        </w:rPr>
        <w:t>the growth of sales costs by 4</w:t>
      </w:r>
      <w:r w:rsidR="00720CC6" w:rsidRPr="009A7B0F">
        <w:rPr>
          <w:rFonts w:ascii="Times New Roman" w:hAnsi="Times New Roman" w:cs="Times New Roman"/>
          <w:sz w:val="28"/>
          <w:szCs w:val="28"/>
          <w:lang w:val="en-US"/>
        </w:rPr>
        <w:t>% is planned within the indexing, in 2017 a significant increase</w:t>
      </w:r>
      <w:r w:rsidRPr="009A7B0F">
        <w:rPr>
          <w:rFonts w:ascii="Times New Roman" w:hAnsi="Times New Roman" w:cs="Times New Roman"/>
          <w:sz w:val="28"/>
          <w:szCs w:val="28"/>
          <w:lang w:val="en-US"/>
        </w:rPr>
        <w:t xml:space="preserve"> is</w:t>
      </w:r>
      <w:r w:rsidR="00720CC6" w:rsidRPr="009A7B0F">
        <w:rPr>
          <w:rFonts w:ascii="Times New Roman" w:hAnsi="Times New Roman" w:cs="Times New Roman"/>
          <w:sz w:val="28"/>
          <w:szCs w:val="28"/>
          <w:lang w:val="en-US"/>
        </w:rPr>
        <w:t xml:space="preserve"> due to </w:t>
      </w:r>
      <w:r w:rsidRPr="009A7B0F">
        <w:rPr>
          <w:rFonts w:ascii="Times New Roman" w:hAnsi="Times New Roman" w:cs="Times New Roman"/>
          <w:sz w:val="28"/>
          <w:szCs w:val="28"/>
          <w:lang w:val="en-US"/>
        </w:rPr>
        <w:t>growth of</w:t>
      </w:r>
      <w:r w:rsidR="00720CC6" w:rsidRPr="009A7B0F">
        <w:rPr>
          <w:rFonts w:ascii="Times New Roman" w:hAnsi="Times New Roman" w:cs="Times New Roman"/>
          <w:sz w:val="28"/>
          <w:szCs w:val="28"/>
          <w:lang w:val="en-US"/>
        </w:rPr>
        <w:t xml:space="preserve"> costs for services on dispatching and balancing of generation and consumption of electric</w:t>
      </w:r>
      <w:r w:rsidRPr="009A7B0F">
        <w:rPr>
          <w:rFonts w:ascii="Times New Roman" w:hAnsi="Times New Roman" w:cs="Times New Roman"/>
          <w:sz w:val="28"/>
          <w:szCs w:val="28"/>
          <w:lang w:val="en-US"/>
        </w:rPr>
        <w:t>ity of “</w:t>
      </w:r>
      <w:proofErr w:type="spellStart"/>
      <w:r w:rsidR="00720CC6" w:rsidRPr="009A7B0F">
        <w:rPr>
          <w:rFonts w:ascii="Times New Roman" w:hAnsi="Times New Roman" w:cs="Times New Roman"/>
          <w:sz w:val="28"/>
          <w:szCs w:val="28"/>
          <w:lang w:val="en-US"/>
        </w:rPr>
        <w:t>Ekibastuz</w:t>
      </w:r>
      <w:proofErr w:type="spellEnd"/>
      <w:r w:rsidR="00720CC6" w:rsidRPr="009A7B0F">
        <w:rPr>
          <w:rFonts w:ascii="Times New Roman" w:hAnsi="Times New Roman" w:cs="Times New Roman"/>
          <w:sz w:val="28"/>
          <w:szCs w:val="28"/>
          <w:lang w:val="en-US"/>
        </w:rPr>
        <w:t xml:space="preserve"> GRES-1"</w:t>
      </w:r>
      <w:r w:rsidRPr="009A7B0F">
        <w:rPr>
          <w:rFonts w:ascii="Times New Roman" w:hAnsi="Times New Roman" w:cs="Times New Roman"/>
          <w:sz w:val="28"/>
          <w:szCs w:val="28"/>
          <w:lang w:val="en-US"/>
        </w:rPr>
        <w:t xml:space="preserve"> LLP</w:t>
      </w:r>
      <w:r w:rsidR="00720CC6" w:rsidRPr="009A7B0F">
        <w:rPr>
          <w:rFonts w:ascii="Times New Roman" w:hAnsi="Times New Roman" w:cs="Times New Roman"/>
          <w:sz w:val="28"/>
          <w:szCs w:val="28"/>
          <w:lang w:val="en-US"/>
        </w:rPr>
        <w:t xml:space="preserve"> due to the increase in electricity production .</w:t>
      </w:r>
    </w:p>
    <w:p w:rsidR="00315A1E" w:rsidRPr="009A7B0F" w:rsidRDefault="00315A1E" w:rsidP="009A7B0F">
      <w:pPr>
        <w:spacing w:after="0"/>
        <w:ind w:right="-143" w:firstLine="709"/>
        <w:jc w:val="both"/>
        <w:rPr>
          <w:rFonts w:ascii="Times New Roman" w:hAnsi="Times New Roman" w:cs="Times New Roman"/>
          <w:sz w:val="28"/>
          <w:szCs w:val="28"/>
          <w:lang w:val="en-US"/>
        </w:rPr>
      </w:pPr>
    </w:p>
    <w:p w:rsidR="00315A1E" w:rsidRPr="009A7B0F" w:rsidRDefault="002F1711" w:rsidP="009A7B0F">
      <w:pPr>
        <w:ind w:right="-143" w:firstLine="709"/>
        <w:jc w:val="both"/>
        <w:rPr>
          <w:rFonts w:ascii="Times New Roman" w:hAnsi="Times New Roman" w:cs="Times New Roman"/>
          <w:b/>
          <w:sz w:val="28"/>
          <w:szCs w:val="28"/>
          <w:lang w:val="en-US"/>
        </w:rPr>
      </w:pPr>
      <w:r w:rsidRPr="009A7B0F">
        <w:rPr>
          <w:rFonts w:ascii="Times New Roman" w:hAnsi="Times New Roman" w:cs="Times New Roman"/>
          <w:b/>
          <w:sz w:val="28"/>
          <w:szCs w:val="28"/>
          <w:lang w:val="en-US"/>
        </w:rPr>
        <w:t xml:space="preserve">Administrative expenses </w:t>
      </w:r>
    </w:p>
    <w:tbl>
      <w:tblPr>
        <w:tblW w:w="9168" w:type="dxa"/>
        <w:tblInd w:w="98" w:type="dxa"/>
        <w:tblLook w:val="04A0" w:firstRow="1" w:lastRow="0" w:firstColumn="1" w:lastColumn="0" w:noHBand="0" w:noVBand="1"/>
      </w:tblPr>
      <w:tblGrid>
        <w:gridCol w:w="4008"/>
        <w:gridCol w:w="1313"/>
        <w:gridCol w:w="1289"/>
        <w:gridCol w:w="1289"/>
        <w:gridCol w:w="1269"/>
      </w:tblGrid>
      <w:tr w:rsidR="00315A1E" w:rsidRPr="009A7B0F" w:rsidTr="00642A55">
        <w:trPr>
          <w:trHeight w:val="309"/>
        </w:trPr>
        <w:tc>
          <w:tcPr>
            <w:tcW w:w="40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5A1E" w:rsidRPr="009A7B0F" w:rsidRDefault="002F1711" w:rsidP="00470E50">
            <w:pPr>
              <w:ind w:right="-143" w:firstLine="44"/>
              <w:jc w:val="center"/>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Indicator</w:t>
            </w:r>
            <w:r w:rsidR="00315A1E" w:rsidRPr="009A7B0F">
              <w:rPr>
                <w:rFonts w:ascii="Times New Roman" w:hAnsi="Times New Roman" w:cs="Times New Roman"/>
                <w:b/>
                <w:bCs/>
                <w:color w:val="000000"/>
                <w:sz w:val="28"/>
                <w:szCs w:val="28"/>
                <w:lang w:eastAsia="ru-RU"/>
              </w:rPr>
              <w:t xml:space="preserve">, </w:t>
            </w:r>
            <w:proofErr w:type="spellStart"/>
            <w:r w:rsidRPr="009A7B0F">
              <w:rPr>
                <w:rFonts w:ascii="Times New Roman" w:hAnsi="Times New Roman" w:cs="Times New Roman"/>
                <w:b/>
                <w:bCs/>
                <w:color w:val="000000"/>
                <w:sz w:val="28"/>
                <w:szCs w:val="28"/>
                <w:lang w:val="en-US" w:eastAsia="ru-RU"/>
              </w:rPr>
              <w:t>mln.tenge</w:t>
            </w:r>
            <w:proofErr w:type="spellEnd"/>
          </w:p>
        </w:tc>
        <w:tc>
          <w:tcPr>
            <w:tcW w:w="13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5A1E" w:rsidRPr="009A7B0F" w:rsidRDefault="00315A1E" w:rsidP="00470E50">
            <w:pPr>
              <w:ind w:right="-143" w:firstLine="44"/>
              <w:jc w:val="center"/>
              <w:rPr>
                <w:rFonts w:ascii="Times New Roman" w:hAnsi="Times New Roman" w:cs="Times New Roman"/>
                <w:b/>
                <w:bCs/>
                <w:color w:val="FF0000"/>
                <w:sz w:val="28"/>
                <w:szCs w:val="28"/>
                <w:lang w:eastAsia="ru-RU"/>
              </w:rPr>
            </w:pPr>
            <w:r w:rsidRPr="009A7B0F">
              <w:rPr>
                <w:rFonts w:ascii="Times New Roman" w:hAnsi="Times New Roman" w:cs="Times New Roman"/>
                <w:b/>
                <w:bCs/>
                <w:sz w:val="28"/>
                <w:szCs w:val="28"/>
                <w:lang w:eastAsia="ru-RU"/>
              </w:rPr>
              <w:t>2014*</w:t>
            </w:r>
          </w:p>
        </w:tc>
        <w:tc>
          <w:tcPr>
            <w:tcW w:w="12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2015</w:t>
            </w:r>
          </w:p>
        </w:tc>
        <w:tc>
          <w:tcPr>
            <w:tcW w:w="1289" w:type="dxa"/>
            <w:tcBorders>
              <w:top w:val="single" w:sz="8" w:space="0" w:color="auto"/>
              <w:left w:val="nil"/>
              <w:bottom w:val="nil"/>
              <w:right w:val="single" w:sz="8" w:space="0" w:color="auto"/>
            </w:tcBorders>
            <w:shd w:val="clear" w:color="auto" w:fill="auto"/>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2016</w:t>
            </w:r>
          </w:p>
        </w:tc>
        <w:tc>
          <w:tcPr>
            <w:tcW w:w="1269" w:type="dxa"/>
            <w:tcBorders>
              <w:top w:val="single" w:sz="8" w:space="0" w:color="auto"/>
              <w:left w:val="nil"/>
              <w:bottom w:val="nil"/>
              <w:right w:val="single" w:sz="8" w:space="0" w:color="auto"/>
            </w:tcBorders>
            <w:shd w:val="clear" w:color="auto" w:fill="auto"/>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2017</w:t>
            </w:r>
          </w:p>
        </w:tc>
      </w:tr>
      <w:tr w:rsidR="00315A1E" w:rsidRPr="009A7B0F" w:rsidTr="00642A55">
        <w:trPr>
          <w:trHeight w:val="324"/>
        </w:trPr>
        <w:tc>
          <w:tcPr>
            <w:tcW w:w="4008" w:type="dxa"/>
            <w:vMerge/>
            <w:tcBorders>
              <w:top w:val="single" w:sz="8" w:space="0" w:color="auto"/>
              <w:left w:val="single" w:sz="8" w:space="0" w:color="auto"/>
              <w:bottom w:val="single" w:sz="8" w:space="0" w:color="000000"/>
              <w:right w:val="single" w:sz="8" w:space="0" w:color="auto"/>
            </w:tcBorders>
            <w:vAlign w:val="center"/>
            <w:hideMark/>
          </w:tcPr>
          <w:p w:rsidR="00315A1E" w:rsidRPr="009A7B0F" w:rsidRDefault="00315A1E" w:rsidP="00470E50">
            <w:pPr>
              <w:ind w:right="-143" w:firstLine="44"/>
              <w:rPr>
                <w:rFonts w:ascii="Times New Roman" w:hAnsi="Times New Roman" w:cs="Times New Roman"/>
                <w:b/>
                <w:bCs/>
                <w:color w:val="000000"/>
                <w:sz w:val="28"/>
                <w:szCs w:val="28"/>
                <w:lang w:eastAsia="ru-RU"/>
              </w:rPr>
            </w:pPr>
          </w:p>
        </w:tc>
        <w:tc>
          <w:tcPr>
            <w:tcW w:w="1313" w:type="dxa"/>
            <w:vMerge/>
            <w:tcBorders>
              <w:top w:val="single" w:sz="8" w:space="0" w:color="auto"/>
              <w:left w:val="single" w:sz="8" w:space="0" w:color="auto"/>
              <w:bottom w:val="single" w:sz="8" w:space="0" w:color="000000"/>
              <w:right w:val="single" w:sz="8" w:space="0" w:color="auto"/>
            </w:tcBorders>
            <w:vAlign w:val="center"/>
            <w:hideMark/>
          </w:tcPr>
          <w:p w:rsidR="00315A1E" w:rsidRPr="009A7B0F" w:rsidRDefault="00315A1E" w:rsidP="00470E50">
            <w:pPr>
              <w:ind w:right="-143" w:firstLine="44"/>
              <w:rPr>
                <w:rFonts w:ascii="Times New Roman" w:hAnsi="Times New Roman" w:cs="Times New Roman"/>
                <w:b/>
                <w:bCs/>
                <w:color w:val="FF0000"/>
                <w:sz w:val="28"/>
                <w:szCs w:val="28"/>
                <w:lang w:eastAsia="ru-RU"/>
              </w:rPr>
            </w:pPr>
          </w:p>
        </w:tc>
        <w:tc>
          <w:tcPr>
            <w:tcW w:w="1289" w:type="dxa"/>
            <w:vMerge/>
            <w:tcBorders>
              <w:top w:val="single" w:sz="8" w:space="0" w:color="auto"/>
              <w:left w:val="single" w:sz="8" w:space="0" w:color="auto"/>
              <w:bottom w:val="single" w:sz="8" w:space="0" w:color="000000"/>
              <w:right w:val="single" w:sz="8" w:space="0" w:color="auto"/>
            </w:tcBorders>
            <w:vAlign w:val="center"/>
            <w:hideMark/>
          </w:tcPr>
          <w:p w:rsidR="00315A1E" w:rsidRPr="009A7B0F" w:rsidRDefault="00315A1E" w:rsidP="00470E50">
            <w:pPr>
              <w:ind w:right="-143" w:firstLine="44"/>
              <w:rPr>
                <w:rFonts w:ascii="Times New Roman" w:hAnsi="Times New Roman" w:cs="Times New Roman"/>
                <w:b/>
                <w:bCs/>
                <w:color w:val="000000"/>
                <w:sz w:val="28"/>
                <w:szCs w:val="28"/>
                <w:lang w:eastAsia="ru-RU"/>
              </w:rPr>
            </w:pPr>
          </w:p>
        </w:tc>
        <w:tc>
          <w:tcPr>
            <w:tcW w:w="1289" w:type="dxa"/>
            <w:tcBorders>
              <w:top w:val="nil"/>
              <w:left w:val="nil"/>
              <w:bottom w:val="single" w:sz="8" w:space="0" w:color="auto"/>
              <w:right w:val="single" w:sz="8" w:space="0" w:color="auto"/>
            </w:tcBorders>
            <w:shd w:val="clear" w:color="auto" w:fill="auto"/>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002F1711"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c>
          <w:tcPr>
            <w:tcW w:w="1269" w:type="dxa"/>
            <w:tcBorders>
              <w:top w:val="nil"/>
              <w:left w:val="nil"/>
              <w:bottom w:val="single" w:sz="8" w:space="0" w:color="auto"/>
              <w:right w:val="single" w:sz="8" w:space="0" w:color="auto"/>
            </w:tcBorders>
            <w:shd w:val="clear" w:color="auto" w:fill="auto"/>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002F1711"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r>
      <w:tr w:rsidR="00315A1E" w:rsidRPr="009A7B0F" w:rsidTr="00642A55">
        <w:trPr>
          <w:trHeight w:val="324"/>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Salaries and related expenses</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5 870</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5 802</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5 605</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2 959</w:t>
            </w:r>
          </w:p>
        </w:tc>
      </w:tr>
      <w:tr w:rsidR="00315A1E" w:rsidRPr="009A7B0F" w:rsidTr="00642A55">
        <w:trPr>
          <w:trHeight w:val="540"/>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 xml:space="preserve">Consulting and other professional services </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921</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1 129</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1549</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714</w:t>
            </w:r>
          </w:p>
        </w:tc>
      </w:tr>
      <w:tr w:rsidR="00315A1E" w:rsidRPr="009A7B0F" w:rsidTr="00642A55">
        <w:trPr>
          <w:trHeight w:val="324"/>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 xml:space="preserve">Taxes other than  income tax </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650</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620</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374</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17</w:t>
            </w:r>
          </w:p>
        </w:tc>
      </w:tr>
      <w:tr w:rsidR="00315A1E" w:rsidRPr="009A7B0F" w:rsidTr="00642A55">
        <w:trPr>
          <w:trHeight w:val="324"/>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Rental expenses</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599</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745</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769</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412</w:t>
            </w:r>
          </w:p>
        </w:tc>
      </w:tr>
      <w:tr w:rsidR="00315A1E" w:rsidRPr="009A7B0F" w:rsidTr="00642A55">
        <w:trPr>
          <w:trHeight w:val="540"/>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 xml:space="preserve">Depreciation of fixed assets and amortization of intangible assets </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1 192</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1 283</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1322</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1033</w:t>
            </w:r>
          </w:p>
        </w:tc>
      </w:tr>
      <w:tr w:rsidR="00315A1E" w:rsidRPr="009A7B0F" w:rsidTr="00642A55">
        <w:trPr>
          <w:trHeight w:val="540"/>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val="en-US" w:eastAsia="ru-RU"/>
              </w:rPr>
              <w:t>travel</w:t>
            </w:r>
            <w:r w:rsidRPr="009A7B0F">
              <w:rPr>
                <w:rFonts w:ascii="Times New Roman" w:hAnsi="Times New Roman" w:cs="Times New Roman"/>
                <w:color w:val="000000"/>
                <w:sz w:val="28"/>
                <w:szCs w:val="28"/>
                <w:lang w:eastAsia="ru-RU"/>
              </w:rPr>
              <w:t xml:space="preserve"> </w:t>
            </w:r>
            <w:r w:rsidRPr="009A7B0F">
              <w:rPr>
                <w:rFonts w:ascii="Times New Roman" w:hAnsi="Times New Roman" w:cs="Times New Roman"/>
                <w:color w:val="000000"/>
                <w:sz w:val="28"/>
                <w:szCs w:val="28"/>
                <w:lang w:val="en-US" w:eastAsia="ru-RU"/>
              </w:rPr>
              <w:t>and</w:t>
            </w:r>
            <w:r w:rsidRPr="009A7B0F">
              <w:rPr>
                <w:rFonts w:ascii="Times New Roman" w:hAnsi="Times New Roman" w:cs="Times New Roman"/>
                <w:color w:val="000000"/>
                <w:sz w:val="28"/>
                <w:szCs w:val="28"/>
                <w:lang w:eastAsia="ru-RU"/>
              </w:rPr>
              <w:t xml:space="preserve"> </w:t>
            </w:r>
            <w:r w:rsidRPr="009A7B0F">
              <w:rPr>
                <w:rFonts w:ascii="Times New Roman" w:hAnsi="Times New Roman" w:cs="Times New Roman"/>
                <w:color w:val="000000"/>
                <w:sz w:val="28"/>
                <w:szCs w:val="28"/>
                <w:lang w:val="en-US" w:eastAsia="ru-RU"/>
              </w:rPr>
              <w:t>entertainment</w:t>
            </w:r>
            <w:r w:rsidRPr="009A7B0F">
              <w:rPr>
                <w:rFonts w:ascii="Times New Roman" w:hAnsi="Times New Roman" w:cs="Times New Roman"/>
                <w:color w:val="000000"/>
                <w:sz w:val="28"/>
                <w:szCs w:val="28"/>
                <w:lang w:eastAsia="ru-RU"/>
              </w:rPr>
              <w:t xml:space="preserve"> </w:t>
            </w:r>
            <w:r w:rsidRPr="009A7B0F">
              <w:rPr>
                <w:rFonts w:ascii="Times New Roman" w:hAnsi="Times New Roman" w:cs="Times New Roman"/>
                <w:color w:val="000000"/>
                <w:sz w:val="28"/>
                <w:szCs w:val="28"/>
                <w:lang w:val="en-US" w:eastAsia="ru-RU"/>
              </w:rPr>
              <w:t>expenses</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276</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297</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267</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195</w:t>
            </w:r>
          </w:p>
        </w:tc>
      </w:tr>
      <w:tr w:rsidR="00315A1E" w:rsidRPr="009A7B0F" w:rsidTr="00642A55">
        <w:trPr>
          <w:trHeight w:val="324"/>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Bank charges</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153</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219</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156</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19</w:t>
            </w:r>
          </w:p>
        </w:tc>
      </w:tr>
      <w:tr w:rsidR="00315A1E" w:rsidRPr="009A7B0F" w:rsidTr="00642A55">
        <w:trPr>
          <w:trHeight w:val="324"/>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 xml:space="preserve">Communication costs </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111</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150</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167</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92</w:t>
            </w:r>
          </w:p>
        </w:tc>
      </w:tr>
      <w:tr w:rsidR="00315A1E" w:rsidRPr="009A7B0F" w:rsidTr="00642A55">
        <w:trPr>
          <w:trHeight w:val="324"/>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 xml:space="preserve">Other </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4 119</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3 695</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4 464</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3 400</w:t>
            </w:r>
          </w:p>
        </w:tc>
      </w:tr>
      <w:tr w:rsidR="00315A1E" w:rsidRPr="009A7B0F" w:rsidTr="00642A55">
        <w:trPr>
          <w:trHeight w:val="324"/>
        </w:trPr>
        <w:tc>
          <w:tcPr>
            <w:tcW w:w="4008" w:type="dxa"/>
            <w:tcBorders>
              <w:top w:val="nil"/>
              <w:left w:val="single" w:sz="8" w:space="0" w:color="auto"/>
              <w:bottom w:val="single" w:sz="8" w:space="0" w:color="auto"/>
              <w:right w:val="single" w:sz="8" w:space="0" w:color="auto"/>
            </w:tcBorders>
            <w:shd w:val="clear" w:color="auto" w:fill="auto"/>
            <w:vAlign w:val="center"/>
            <w:hideMark/>
          </w:tcPr>
          <w:p w:rsidR="00315A1E" w:rsidRPr="009A7B0F" w:rsidRDefault="002F1711" w:rsidP="00470E50">
            <w:pPr>
              <w:ind w:right="-143" w:firstLine="44"/>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Total</w:t>
            </w:r>
          </w:p>
        </w:tc>
        <w:tc>
          <w:tcPr>
            <w:tcW w:w="1313"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13 891</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13 940</w:t>
            </w:r>
          </w:p>
        </w:tc>
        <w:tc>
          <w:tcPr>
            <w:tcW w:w="128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14 673</w:t>
            </w:r>
          </w:p>
        </w:tc>
        <w:tc>
          <w:tcPr>
            <w:tcW w:w="1269" w:type="dxa"/>
            <w:tcBorders>
              <w:top w:val="nil"/>
              <w:left w:val="nil"/>
              <w:bottom w:val="single" w:sz="8" w:space="0" w:color="auto"/>
              <w:right w:val="single" w:sz="8" w:space="0" w:color="auto"/>
            </w:tcBorders>
            <w:shd w:val="clear" w:color="auto" w:fill="auto"/>
            <w:noWrap/>
            <w:vAlign w:val="center"/>
            <w:hideMark/>
          </w:tcPr>
          <w:p w:rsidR="00315A1E" w:rsidRPr="009A7B0F" w:rsidRDefault="00315A1E"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8 841</w:t>
            </w:r>
          </w:p>
        </w:tc>
      </w:tr>
    </w:tbl>
    <w:p w:rsidR="002F1711" w:rsidRPr="00720ABD" w:rsidRDefault="002F1711" w:rsidP="009A7B0F">
      <w:pPr>
        <w:spacing w:after="0"/>
        <w:ind w:right="-143" w:firstLine="709"/>
        <w:jc w:val="both"/>
        <w:rPr>
          <w:rFonts w:ascii="Times New Roman" w:hAnsi="Times New Roman" w:cs="Times New Roman"/>
          <w:i/>
          <w:sz w:val="24"/>
          <w:szCs w:val="24"/>
          <w:lang w:val="en-US"/>
        </w:rPr>
      </w:pPr>
      <w:r w:rsidRPr="00720ABD">
        <w:rPr>
          <w:rFonts w:ascii="Times New Roman" w:hAnsi="Times New Roman" w:cs="Times New Roman"/>
          <w:i/>
          <w:sz w:val="24"/>
          <w:szCs w:val="24"/>
          <w:lang w:val="en-US"/>
        </w:rPr>
        <w:t>* For purposes of comparability, 2014 figures were recalculated for the transfer of subsidiaries and affiliates from discontinued operations to the full consolidation.</w:t>
      </w:r>
    </w:p>
    <w:p w:rsidR="002F1711" w:rsidRPr="009A7B0F" w:rsidRDefault="002F1711" w:rsidP="009A7B0F">
      <w:pPr>
        <w:spacing w:after="0"/>
        <w:ind w:right="-143" w:firstLine="709"/>
        <w:jc w:val="both"/>
        <w:rPr>
          <w:rFonts w:ascii="Times New Roman" w:hAnsi="Times New Roman" w:cs="Times New Roman"/>
          <w:sz w:val="28"/>
          <w:szCs w:val="28"/>
          <w:lang w:val="en-US"/>
        </w:rPr>
      </w:pPr>
    </w:p>
    <w:p w:rsidR="002F1711" w:rsidRPr="009A7B0F" w:rsidRDefault="002F1711"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lastRenderedPageBreak/>
        <w:t xml:space="preserve">Administrative expenses at the end of 2015 made 13 940 </w:t>
      </w:r>
      <w:proofErr w:type="spellStart"/>
      <w:r w:rsidRPr="009A7B0F">
        <w:rPr>
          <w:rFonts w:ascii="Times New Roman" w:hAnsi="Times New Roman" w:cs="Times New Roman"/>
          <w:sz w:val="28"/>
          <w:szCs w:val="28"/>
          <w:lang w:val="en-US"/>
        </w:rPr>
        <w:t>mln.tenge</w:t>
      </w:r>
      <w:proofErr w:type="spellEnd"/>
      <w:r w:rsidRPr="009A7B0F">
        <w:rPr>
          <w:rFonts w:ascii="Times New Roman" w:hAnsi="Times New Roman" w:cs="Times New Roman"/>
          <w:sz w:val="28"/>
          <w:szCs w:val="28"/>
          <w:lang w:val="en-US"/>
        </w:rPr>
        <w:t>, which corresponds to the level of expenditures as per 2014 fact.</w:t>
      </w:r>
    </w:p>
    <w:p w:rsidR="00315A1E" w:rsidRPr="009A7B0F" w:rsidRDefault="002F1711"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Forecast for the future term: In the forecast for 2016 administrative expenses will increase by 5% against the fact of 2015 mainly due to the inclusion of costs for implementation of “Business transformation” program.  In the forecast for 2017 administrative expenses will decrease in connection with the exclusion of assets held for sale.</w:t>
      </w:r>
    </w:p>
    <w:p w:rsidR="00910818" w:rsidRPr="009A7B0F" w:rsidRDefault="00910818" w:rsidP="009A7B0F">
      <w:pPr>
        <w:spacing w:after="0"/>
        <w:ind w:right="-143" w:firstLine="709"/>
        <w:jc w:val="both"/>
        <w:rPr>
          <w:rFonts w:ascii="Times New Roman" w:hAnsi="Times New Roman" w:cs="Times New Roman"/>
          <w:sz w:val="28"/>
          <w:szCs w:val="28"/>
          <w:lang w:val="en-US"/>
        </w:rPr>
      </w:pPr>
    </w:p>
    <w:p w:rsidR="00616B09" w:rsidRPr="009A7B0F" w:rsidRDefault="00616B09" w:rsidP="009A7B0F">
      <w:pPr>
        <w:ind w:right="-143" w:firstLine="709"/>
        <w:jc w:val="both"/>
        <w:rPr>
          <w:rFonts w:ascii="Times New Roman" w:hAnsi="Times New Roman" w:cs="Times New Roman"/>
          <w:b/>
          <w:sz w:val="28"/>
          <w:szCs w:val="28"/>
          <w:lang w:val="en-US" w:eastAsia="ru-RU"/>
        </w:rPr>
      </w:pPr>
      <w:r w:rsidRPr="009A7B0F">
        <w:rPr>
          <w:rFonts w:ascii="Times New Roman" w:hAnsi="Times New Roman" w:cs="Times New Roman"/>
          <w:b/>
          <w:sz w:val="28"/>
          <w:szCs w:val="28"/>
          <w:lang w:val="en-US" w:eastAsia="ru-RU"/>
        </w:rPr>
        <w:t>Financial costs</w:t>
      </w:r>
    </w:p>
    <w:tbl>
      <w:tblPr>
        <w:tblW w:w="9595" w:type="dxa"/>
        <w:tblInd w:w="98" w:type="dxa"/>
        <w:tblLook w:val="04A0" w:firstRow="1" w:lastRow="0" w:firstColumn="1" w:lastColumn="0" w:noHBand="0" w:noVBand="1"/>
      </w:tblPr>
      <w:tblGrid>
        <w:gridCol w:w="4266"/>
        <w:gridCol w:w="1356"/>
        <w:gridCol w:w="1331"/>
        <w:gridCol w:w="1331"/>
        <w:gridCol w:w="1311"/>
      </w:tblGrid>
      <w:tr w:rsidR="00616B09" w:rsidRPr="009A7B0F" w:rsidTr="00642A55">
        <w:trPr>
          <w:trHeight w:val="356"/>
        </w:trPr>
        <w:tc>
          <w:tcPr>
            <w:tcW w:w="4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 xml:space="preserve">Indicator, </w:t>
            </w:r>
            <w:proofErr w:type="spellStart"/>
            <w:r w:rsidRPr="009A7B0F">
              <w:rPr>
                <w:rFonts w:ascii="Times New Roman" w:hAnsi="Times New Roman" w:cs="Times New Roman"/>
                <w:b/>
                <w:bCs/>
                <w:color w:val="000000"/>
                <w:sz w:val="28"/>
                <w:szCs w:val="28"/>
                <w:lang w:val="en-US" w:eastAsia="ru-RU"/>
              </w:rPr>
              <w:t>mln.tenge</w:t>
            </w:r>
            <w:proofErr w:type="spellEnd"/>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6B09" w:rsidRPr="009A7B0F" w:rsidRDefault="00616B09" w:rsidP="00470E50">
            <w:pPr>
              <w:ind w:right="-143" w:firstLine="44"/>
              <w:jc w:val="center"/>
              <w:rPr>
                <w:rFonts w:ascii="Times New Roman" w:hAnsi="Times New Roman" w:cs="Times New Roman"/>
                <w:b/>
                <w:bCs/>
                <w:color w:val="FF0000"/>
                <w:sz w:val="28"/>
                <w:szCs w:val="28"/>
                <w:lang w:eastAsia="ru-RU"/>
              </w:rPr>
            </w:pPr>
            <w:r w:rsidRPr="009A7B0F">
              <w:rPr>
                <w:rFonts w:ascii="Times New Roman" w:hAnsi="Times New Roman" w:cs="Times New Roman"/>
                <w:b/>
                <w:bCs/>
                <w:sz w:val="28"/>
                <w:szCs w:val="28"/>
                <w:lang w:eastAsia="ru-RU"/>
              </w:rPr>
              <w:t>2014*</w:t>
            </w:r>
          </w:p>
        </w:tc>
        <w:tc>
          <w:tcPr>
            <w:tcW w:w="13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2015</w:t>
            </w:r>
          </w:p>
        </w:tc>
        <w:tc>
          <w:tcPr>
            <w:tcW w:w="1331" w:type="dxa"/>
            <w:tcBorders>
              <w:top w:val="single" w:sz="8" w:space="0" w:color="auto"/>
              <w:left w:val="nil"/>
              <w:bottom w:val="nil"/>
              <w:right w:val="single" w:sz="8" w:space="0" w:color="auto"/>
            </w:tcBorders>
            <w:shd w:val="clear" w:color="auto" w:fill="auto"/>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2016</w:t>
            </w:r>
          </w:p>
        </w:tc>
        <w:tc>
          <w:tcPr>
            <w:tcW w:w="1311" w:type="dxa"/>
            <w:tcBorders>
              <w:top w:val="single" w:sz="8" w:space="0" w:color="auto"/>
              <w:left w:val="nil"/>
              <w:bottom w:val="nil"/>
              <w:right w:val="single" w:sz="8" w:space="0" w:color="auto"/>
            </w:tcBorders>
            <w:shd w:val="clear" w:color="auto" w:fill="auto"/>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2017</w:t>
            </w:r>
          </w:p>
        </w:tc>
      </w:tr>
      <w:tr w:rsidR="00616B09" w:rsidRPr="009A7B0F" w:rsidTr="00642A55">
        <w:trPr>
          <w:trHeight w:val="374"/>
        </w:trPr>
        <w:tc>
          <w:tcPr>
            <w:tcW w:w="4266" w:type="dxa"/>
            <w:vMerge/>
            <w:tcBorders>
              <w:top w:val="single" w:sz="8" w:space="0" w:color="auto"/>
              <w:left w:val="single" w:sz="8" w:space="0" w:color="auto"/>
              <w:bottom w:val="single" w:sz="8" w:space="0" w:color="000000"/>
              <w:right w:val="single" w:sz="8" w:space="0" w:color="auto"/>
            </w:tcBorders>
            <w:vAlign w:val="center"/>
            <w:hideMark/>
          </w:tcPr>
          <w:p w:rsidR="00616B09" w:rsidRPr="009A7B0F" w:rsidRDefault="00616B09" w:rsidP="00470E50">
            <w:pPr>
              <w:ind w:right="-143" w:firstLine="44"/>
              <w:rPr>
                <w:rFonts w:ascii="Times New Roman" w:hAnsi="Times New Roman" w:cs="Times New Roman"/>
                <w:b/>
                <w:bCs/>
                <w:color w:val="000000"/>
                <w:sz w:val="28"/>
                <w:szCs w:val="28"/>
                <w:lang w:eastAsia="ru-RU"/>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16B09" w:rsidRPr="009A7B0F" w:rsidRDefault="00616B09" w:rsidP="00470E50">
            <w:pPr>
              <w:ind w:right="-143" w:firstLine="44"/>
              <w:rPr>
                <w:rFonts w:ascii="Times New Roman" w:hAnsi="Times New Roman" w:cs="Times New Roman"/>
                <w:b/>
                <w:bCs/>
                <w:color w:val="FF0000"/>
                <w:sz w:val="28"/>
                <w:szCs w:val="28"/>
                <w:lang w:eastAsia="ru-RU"/>
              </w:rPr>
            </w:pPr>
          </w:p>
        </w:tc>
        <w:tc>
          <w:tcPr>
            <w:tcW w:w="1331" w:type="dxa"/>
            <w:vMerge/>
            <w:tcBorders>
              <w:top w:val="single" w:sz="8" w:space="0" w:color="auto"/>
              <w:left w:val="single" w:sz="8" w:space="0" w:color="auto"/>
              <w:bottom w:val="single" w:sz="8" w:space="0" w:color="000000"/>
              <w:right w:val="single" w:sz="8" w:space="0" w:color="auto"/>
            </w:tcBorders>
            <w:vAlign w:val="center"/>
            <w:hideMark/>
          </w:tcPr>
          <w:p w:rsidR="00616B09" w:rsidRPr="009A7B0F" w:rsidRDefault="00616B09" w:rsidP="00470E50">
            <w:pPr>
              <w:ind w:right="-143" w:firstLine="44"/>
              <w:rPr>
                <w:rFonts w:ascii="Times New Roman" w:hAnsi="Times New Roman" w:cs="Times New Roman"/>
                <w:b/>
                <w:bCs/>
                <w:color w:val="000000"/>
                <w:sz w:val="28"/>
                <w:szCs w:val="28"/>
                <w:lang w:eastAsia="ru-RU"/>
              </w:rPr>
            </w:pPr>
          </w:p>
        </w:tc>
        <w:tc>
          <w:tcPr>
            <w:tcW w:w="1331" w:type="dxa"/>
            <w:tcBorders>
              <w:top w:val="nil"/>
              <w:left w:val="nil"/>
              <w:bottom w:val="single" w:sz="8" w:space="0" w:color="auto"/>
              <w:right w:val="single" w:sz="8" w:space="0" w:color="auto"/>
            </w:tcBorders>
            <w:shd w:val="clear" w:color="auto" w:fill="auto"/>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c>
          <w:tcPr>
            <w:tcW w:w="1311" w:type="dxa"/>
            <w:tcBorders>
              <w:top w:val="nil"/>
              <w:left w:val="nil"/>
              <w:bottom w:val="single" w:sz="8" w:space="0" w:color="auto"/>
              <w:right w:val="single" w:sz="8" w:space="0" w:color="auto"/>
            </w:tcBorders>
            <w:shd w:val="clear" w:color="auto" w:fill="auto"/>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forecast</w:t>
            </w:r>
            <w:r w:rsidRPr="009A7B0F">
              <w:rPr>
                <w:rFonts w:ascii="Times New Roman" w:hAnsi="Times New Roman" w:cs="Times New Roman"/>
                <w:b/>
                <w:bCs/>
                <w:color w:val="000000"/>
                <w:sz w:val="28"/>
                <w:szCs w:val="28"/>
                <w:lang w:eastAsia="ru-RU"/>
              </w:rPr>
              <w:t>)</w:t>
            </w:r>
          </w:p>
        </w:tc>
      </w:tr>
      <w:tr w:rsidR="00616B09" w:rsidRPr="009A7B0F" w:rsidTr="00642A55">
        <w:trPr>
          <w:trHeight w:val="623"/>
        </w:trPr>
        <w:tc>
          <w:tcPr>
            <w:tcW w:w="4266" w:type="dxa"/>
            <w:tcBorders>
              <w:top w:val="nil"/>
              <w:left w:val="single" w:sz="8" w:space="0" w:color="auto"/>
              <w:bottom w:val="single" w:sz="8" w:space="0" w:color="auto"/>
              <w:right w:val="single" w:sz="8" w:space="0" w:color="auto"/>
            </w:tcBorders>
            <w:shd w:val="clear" w:color="auto" w:fill="auto"/>
            <w:vAlign w:val="center"/>
            <w:hideMark/>
          </w:tcPr>
          <w:p w:rsidR="00616B09" w:rsidRPr="009A7B0F" w:rsidRDefault="00616B09"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Interest expenses</w:t>
            </w:r>
          </w:p>
        </w:tc>
        <w:tc>
          <w:tcPr>
            <w:tcW w:w="1356"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20 724</w:t>
            </w:r>
          </w:p>
        </w:tc>
        <w:tc>
          <w:tcPr>
            <w:tcW w:w="133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20 289</w:t>
            </w:r>
          </w:p>
        </w:tc>
        <w:tc>
          <w:tcPr>
            <w:tcW w:w="133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15 818</w:t>
            </w:r>
          </w:p>
        </w:tc>
        <w:tc>
          <w:tcPr>
            <w:tcW w:w="131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16 606</w:t>
            </w:r>
          </w:p>
        </w:tc>
      </w:tr>
      <w:tr w:rsidR="00616B09" w:rsidRPr="009A7B0F" w:rsidTr="00642A55">
        <w:trPr>
          <w:trHeight w:val="374"/>
        </w:trPr>
        <w:tc>
          <w:tcPr>
            <w:tcW w:w="4266" w:type="dxa"/>
            <w:tcBorders>
              <w:top w:val="nil"/>
              <w:left w:val="single" w:sz="8" w:space="0" w:color="auto"/>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Other financial costs</w:t>
            </w:r>
          </w:p>
        </w:tc>
        <w:tc>
          <w:tcPr>
            <w:tcW w:w="1356"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3 294</w:t>
            </w:r>
          </w:p>
        </w:tc>
        <w:tc>
          <w:tcPr>
            <w:tcW w:w="133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3 123</w:t>
            </w:r>
          </w:p>
        </w:tc>
        <w:tc>
          <w:tcPr>
            <w:tcW w:w="133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6 219</w:t>
            </w:r>
          </w:p>
        </w:tc>
        <w:tc>
          <w:tcPr>
            <w:tcW w:w="131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5 594</w:t>
            </w:r>
          </w:p>
        </w:tc>
      </w:tr>
      <w:tr w:rsidR="00616B09" w:rsidRPr="009A7B0F" w:rsidTr="00642A55">
        <w:trPr>
          <w:trHeight w:val="374"/>
        </w:trPr>
        <w:tc>
          <w:tcPr>
            <w:tcW w:w="4266" w:type="dxa"/>
            <w:tcBorders>
              <w:top w:val="nil"/>
              <w:left w:val="single" w:sz="8" w:space="0" w:color="auto"/>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TOTAL</w:t>
            </w:r>
          </w:p>
        </w:tc>
        <w:tc>
          <w:tcPr>
            <w:tcW w:w="1356"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24 018</w:t>
            </w:r>
          </w:p>
        </w:tc>
        <w:tc>
          <w:tcPr>
            <w:tcW w:w="133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23 412</w:t>
            </w:r>
          </w:p>
        </w:tc>
        <w:tc>
          <w:tcPr>
            <w:tcW w:w="133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22 037</w:t>
            </w:r>
          </w:p>
        </w:tc>
        <w:tc>
          <w:tcPr>
            <w:tcW w:w="1311" w:type="dxa"/>
            <w:tcBorders>
              <w:top w:val="nil"/>
              <w:left w:val="nil"/>
              <w:bottom w:val="single" w:sz="8" w:space="0" w:color="auto"/>
              <w:right w:val="single" w:sz="8" w:space="0" w:color="auto"/>
            </w:tcBorders>
            <w:shd w:val="clear" w:color="auto" w:fill="auto"/>
            <w:noWrap/>
            <w:vAlign w:val="center"/>
            <w:hideMark/>
          </w:tcPr>
          <w:p w:rsidR="00616B09" w:rsidRPr="009A7B0F" w:rsidRDefault="00616B09"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22 200</w:t>
            </w:r>
          </w:p>
        </w:tc>
      </w:tr>
    </w:tbl>
    <w:p w:rsidR="00616B09" w:rsidRDefault="00616B09" w:rsidP="009A7B0F">
      <w:pPr>
        <w:spacing w:after="0"/>
        <w:ind w:right="-143" w:firstLine="709"/>
        <w:jc w:val="both"/>
        <w:rPr>
          <w:rFonts w:ascii="Times New Roman" w:hAnsi="Times New Roman" w:cs="Times New Roman"/>
          <w:i/>
          <w:sz w:val="24"/>
          <w:szCs w:val="24"/>
        </w:rPr>
      </w:pPr>
      <w:r w:rsidRPr="00720ABD">
        <w:rPr>
          <w:rFonts w:ascii="Times New Roman" w:hAnsi="Times New Roman" w:cs="Times New Roman"/>
          <w:i/>
          <w:sz w:val="24"/>
          <w:szCs w:val="24"/>
          <w:lang w:val="en-US"/>
        </w:rPr>
        <w:t>* For purposes of comparability, 2014 figures were recalculated for the transfer of subsidiaries and affiliates from discontinued operations to the full consolidation</w:t>
      </w:r>
    </w:p>
    <w:p w:rsidR="00FA1B91" w:rsidRPr="00FA1B91" w:rsidRDefault="00FA1B91" w:rsidP="009A7B0F">
      <w:pPr>
        <w:spacing w:after="0"/>
        <w:ind w:right="-143" w:firstLine="709"/>
        <w:jc w:val="both"/>
        <w:rPr>
          <w:rFonts w:ascii="Times New Roman" w:hAnsi="Times New Roman" w:cs="Times New Roman"/>
          <w:i/>
          <w:sz w:val="24"/>
          <w:szCs w:val="24"/>
          <w:lang w:val="en-US"/>
        </w:rPr>
      </w:pPr>
      <w:r w:rsidRPr="00FA1B91">
        <w:rPr>
          <w:rFonts w:ascii="Times New Roman" w:hAnsi="Times New Roman" w:cs="Times New Roman"/>
          <w:i/>
          <w:sz w:val="24"/>
          <w:szCs w:val="24"/>
          <w:lang w:val="en-US"/>
        </w:rPr>
        <w:t xml:space="preserve">** Financial expenses are shown together with foreign exchange loss in 2015 audit report.    </w:t>
      </w:r>
    </w:p>
    <w:p w:rsidR="00FA1B91" w:rsidRDefault="00FA1B91" w:rsidP="009A7B0F">
      <w:pPr>
        <w:spacing w:after="0"/>
        <w:ind w:right="-143" w:firstLine="709"/>
        <w:jc w:val="both"/>
        <w:rPr>
          <w:rFonts w:ascii="Times New Roman" w:hAnsi="Times New Roman" w:cs="Times New Roman"/>
          <w:sz w:val="28"/>
          <w:szCs w:val="28"/>
        </w:rPr>
      </w:pPr>
    </w:p>
    <w:p w:rsidR="00616B09" w:rsidRPr="009A7B0F" w:rsidRDefault="00616B09" w:rsidP="009A7B0F">
      <w:pPr>
        <w:spacing w:after="0"/>
        <w:ind w:right="-143" w:firstLine="709"/>
        <w:jc w:val="both"/>
        <w:rPr>
          <w:rFonts w:ascii="Times New Roman" w:hAnsi="Times New Roman" w:cs="Times New Roman"/>
          <w:sz w:val="28"/>
          <w:szCs w:val="28"/>
          <w:lang w:val="en-US"/>
        </w:rPr>
      </w:pPr>
      <w:bookmarkStart w:id="0" w:name="_GoBack"/>
      <w:bookmarkEnd w:id="0"/>
      <w:r w:rsidRPr="009A7B0F">
        <w:rPr>
          <w:rFonts w:ascii="Times New Roman" w:hAnsi="Times New Roman" w:cs="Times New Roman"/>
          <w:sz w:val="28"/>
          <w:szCs w:val="28"/>
          <w:lang w:val="en-US"/>
        </w:rPr>
        <w:t xml:space="preserve">Financial expenses for the end of 2015 amounted to 23 412 </w:t>
      </w:r>
      <w:proofErr w:type="spellStart"/>
      <w:r w:rsidRPr="009A7B0F">
        <w:rPr>
          <w:rFonts w:ascii="Times New Roman" w:hAnsi="Times New Roman" w:cs="Times New Roman"/>
          <w:sz w:val="28"/>
          <w:szCs w:val="28"/>
          <w:lang w:val="en-US"/>
        </w:rPr>
        <w:t>mln</w:t>
      </w:r>
      <w:proofErr w:type="spellEnd"/>
      <w:r w:rsidRPr="009A7B0F">
        <w:rPr>
          <w:rFonts w:ascii="Times New Roman" w:hAnsi="Times New Roman" w:cs="Times New Roman"/>
          <w:sz w:val="28"/>
          <w:szCs w:val="28"/>
          <w:lang w:val="en-US"/>
        </w:rPr>
        <w:t xml:space="preserve">. </w:t>
      </w:r>
      <w:proofErr w:type="spellStart"/>
      <w:proofErr w:type="gramStart"/>
      <w:r w:rsidRPr="009A7B0F">
        <w:rPr>
          <w:rFonts w:ascii="Times New Roman" w:hAnsi="Times New Roman" w:cs="Times New Roman"/>
          <w:sz w:val="28"/>
          <w:szCs w:val="28"/>
          <w:lang w:val="en-US"/>
        </w:rPr>
        <w:t>tenge</w:t>
      </w:r>
      <w:proofErr w:type="spellEnd"/>
      <w:proofErr w:type="gramEnd"/>
      <w:r w:rsidRPr="009A7B0F">
        <w:rPr>
          <w:rFonts w:ascii="Times New Roman" w:hAnsi="Times New Roman" w:cs="Times New Roman"/>
          <w:sz w:val="28"/>
          <w:szCs w:val="28"/>
          <w:lang w:val="en-US"/>
        </w:rPr>
        <w:t xml:space="preserve">, which is lower than the actual figure for  2014. Reduction is mainly due to the capitalization of a part of the loan obtained from the Fund for acquisition of </w:t>
      </w:r>
      <w:proofErr w:type="spellStart"/>
      <w:r w:rsidRPr="009A7B0F">
        <w:rPr>
          <w:rFonts w:ascii="Times New Roman" w:hAnsi="Times New Roman" w:cs="Times New Roman"/>
          <w:sz w:val="28"/>
          <w:szCs w:val="28"/>
          <w:lang w:val="en-US"/>
        </w:rPr>
        <w:t>Ekibastuz</w:t>
      </w:r>
      <w:proofErr w:type="spellEnd"/>
      <w:r w:rsidRPr="009A7B0F">
        <w:rPr>
          <w:rFonts w:ascii="Times New Roman" w:hAnsi="Times New Roman" w:cs="Times New Roman"/>
          <w:sz w:val="28"/>
          <w:szCs w:val="28"/>
          <w:lang w:val="en-US"/>
        </w:rPr>
        <w:t xml:space="preserve"> GRES-1.</w:t>
      </w:r>
    </w:p>
    <w:p w:rsidR="00910818" w:rsidRPr="009A7B0F" w:rsidRDefault="00616B09"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Forecast for the future term: In the forecast until 2016 financing costs were taken into account in accordance with the revised financing terms of current loans and changes in exchange rates.</w:t>
      </w:r>
    </w:p>
    <w:p w:rsidR="00CD58BC" w:rsidRPr="009A7B0F" w:rsidRDefault="00CD58BC" w:rsidP="009A7B0F">
      <w:pPr>
        <w:spacing w:after="0"/>
        <w:ind w:right="-143" w:firstLine="709"/>
        <w:jc w:val="both"/>
        <w:rPr>
          <w:rFonts w:ascii="Times New Roman" w:hAnsi="Times New Roman" w:cs="Times New Roman"/>
          <w:sz w:val="28"/>
          <w:szCs w:val="28"/>
          <w:lang w:val="en-US"/>
        </w:rPr>
      </w:pPr>
    </w:p>
    <w:p w:rsidR="00CD58BC" w:rsidRPr="009A7B0F" w:rsidRDefault="00CD58BC" w:rsidP="009A7B0F">
      <w:pPr>
        <w:spacing w:after="0"/>
        <w:ind w:right="-143" w:firstLine="709"/>
        <w:jc w:val="both"/>
        <w:rPr>
          <w:rFonts w:ascii="Times New Roman" w:hAnsi="Times New Roman" w:cs="Times New Roman"/>
          <w:b/>
          <w:sz w:val="28"/>
          <w:szCs w:val="28"/>
          <w:u w:val="single"/>
          <w:lang w:val="en-US"/>
        </w:rPr>
      </w:pPr>
      <w:r w:rsidRPr="009A7B0F">
        <w:rPr>
          <w:rFonts w:ascii="Times New Roman" w:hAnsi="Times New Roman" w:cs="Times New Roman"/>
          <w:b/>
          <w:sz w:val="28"/>
          <w:szCs w:val="28"/>
          <w:u w:val="single"/>
          <w:lang w:val="en-US"/>
        </w:rPr>
        <w:t xml:space="preserve">Analysis of capital resources </w:t>
      </w:r>
    </w:p>
    <w:p w:rsidR="00CD58BC" w:rsidRPr="009A7B0F" w:rsidRDefault="00CD58BC" w:rsidP="009A7B0F">
      <w:pPr>
        <w:spacing w:after="0"/>
        <w:ind w:right="-143" w:firstLine="709"/>
        <w:jc w:val="both"/>
        <w:rPr>
          <w:rFonts w:ascii="Times New Roman" w:hAnsi="Times New Roman" w:cs="Times New Roman"/>
          <w:sz w:val="28"/>
          <w:szCs w:val="28"/>
          <w:lang w:val="en-US"/>
        </w:rPr>
      </w:pPr>
    </w:p>
    <w:tbl>
      <w:tblPr>
        <w:tblW w:w="10170" w:type="dxa"/>
        <w:tblInd w:w="-826" w:type="dxa"/>
        <w:tblLook w:val="04A0" w:firstRow="1" w:lastRow="0" w:firstColumn="1" w:lastColumn="0" w:noHBand="0" w:noVBand="1"/>
      </w:tblPr>
      <w:tblGrid>
        <w:gridCol w:w="636"/>
        <w:gridCol w:w="4892"/>
        <w:gridCol w:w="1134"/>
        <w:gridCol w:w="1276"/>
        <w:gridCol w:w="1134"/>
        <w:gridCol w:w="1098"/>
      </w:tblGrid>
      <w:tr w:rsidR="00CD58BC" w:rsidRPr="009A7B0F" w:rsidTr="00CD58BC">
        <w:trPr>
          <w:trHeight w:val="315"/>
          <w:tblHeader/>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w:t>
            </w:r>
          </w:p>
        </w:tc>
        <w:tc>
          <w:tcPr>
            <w:tcW w:w="4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 xml:space="preserve">Subsidiaries and affiliates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2014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2015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2016</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2017</w:t>
            </w:r>
          </w:p>
        </w:tc>
      </w:tr>
      <w:tr w:rsidR="00CD58BC" w:rsidRPr="009A7B0F" w:rsidTr="00CD58BC">
        <w:trPr>
          <w:trHeight w:val="315"/>
          <w:tblHead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CD58BC" w:rsidRPr="009A7B0F" w:rsidRDefault="00CD58BC" w:rsidP="009A7B0F">
            <w:pPr>
              <w:spacing w:after="0" w:line="240" w:lineRule="auto"/>
              <w:ind w:right="-143" w:firstLine="709"/>
              <w:rPr>
                <w:rFonts w:ascii="Times New Roman" w:eastAsia="Times New Roman" w:hAnsi="Times New Roman" w:cs="Times New Roman"/>
                <w:b/>
                <w:bCs/>
                <w:sz w:val="28"/>
                <w:szCs w:val="28"/>
                <w:lang w:eastAsia="ru-RU"/>
              </w:rPr>
            </w:pPr>
          </w:p>
        </w:tc>
        <w:tc>
          <w:tcPr>
            <w:tcW w:w="4892" w:type="dxa"/>
            <w:vMerge/>
            <w:tcBorders>
              <w:top w:val="single" w:sz="4" w:space="0" w:color="auto"/>
              <w:left w:val="single" w:sz="4" w:space="0" w:color="auto"/>
              <w:bottom w:val="single" w:sz="4" w:space="0" w:color="auto"/>
              <w:right w:val="single" w:sz="4" w:space="0" w:color="auto"/>
            </w:tcBorders>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b/>
                <w:bCs/>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actual</w:t>
            </w:r>
          </w:p>
        </w:tc>
        <w:tc>
          <w:tcPr>
            <w:tcW w:w="1276" w:type="dxa"/>
            <w:tcBorders>
              <w:top w:val="nil"/>
              <w:left w:val="nil"/>
              <w:bottom w:val="single" w:sz="4" w:space="0" w:color="auto"/>
              <w:right w:val="single" w:sz="4" w:space="0" w:color="auto"/>
            </w:tcBorders>
            <w:shd w:val="clear" w:color="000000" w:fill="FFFFFF"/>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actual</w:t>
            </w:r>
          </w:p>
        </w:tc>
        <w:tc>
          <w:tcPr>
            <w:tcW w:w="1134"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plan</w:t>
            </w:r>
          </w:p>
        </w:tc>
        <w:tc>
          <w:tcPr>
            <w:tcW w:w="1098"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plan</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CD58BC" w:rsidRPr="009A7B0F" w:rsidRDefault="00CD58BC" w:rsidP="009A7B0F">
            <w:pPr>
              <w:spacing w:after="0" w:line="240" w:lineRule="auto"/>
              <w:ind w:right="-143" w:firstLine="709"/>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 </w:t>
            </w:r>
          </w:p>
        </w:tc>
        <w:tc>
          <w:tcPr>
            <w:tcW w:w="4892" w:type="dxa"/>
            <w:tcBorders>
              <w:top w:val="nil"/>
              <w:left w:val="nil"/>
              <w:bottom w:val="single" w:sz="4" w:space="0" w:color="auto"/>
              <w:right w:val="single" w:sz="4" w:space="0" w:color="auto"/>
            </w:tcBorders>
            <w:shd w:val="clear" w:color="000000" w:fill="FFFFFF"/>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 xml:space="preserve">Total </w:t>
            </w:r>
          </w:p>
        </w:tc>
        <w:tc>
          <w:tcPr>
            <w:tcW w:w="1134"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119 302</w:t>
            </w:r>
          </w:p>
        </w:tc>
        <w:tc>
          <w:tcPr>
            <w:tcW w:w="1276"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89 720</w:t>
            </w:r>
          </w:p>
        </w:tc>
        <w:tc>
          <w:tcPr>
            <w:tcW w:w="1134"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91 826</w:t>
            </w:r>
          </w:p>
        </w:tc>
        <w:tc>
          <w:tcPr>
            <w:tcW w:w="1098"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132 155</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1</w:t>
            </w:r>
          </w:p>
        </w:tc>
        <w:tc>
          <w:tcPr>
            <w:tcW w:w="4892" w:type="dxa"/>
            <w:tcBorders>
              <w:top w:val="nil"/>
              <w:left w:val="nil"/>
              <w:bottom w:val="single" w:sz="4" w:space="0" w:color="auto"/>
              <w:right w:val="single" w:sz="4" w:space="0" w:color="auto"/>
            </w:tcBorders>
            <w:shd w:val="clear" w:color="000000" w:fill="FFFFFF"/>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Investment projects including</w:t>
            </w:r>
          </w:p>
        </w:tc>
        <w:tc>
          <w:tcPr>
            <w:tcW w:w="1134"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73 945</w:t>
            </w:r>
          </w:p>
        </w:tc>
        <w:tc>
          <w:tcPr>
            <w:tcW w:w="1276"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46 873</w:t>
            </w:r>
          </w:p>
        </w:tc>
        <w:tc>
          <w:tcPr>
            <w:tcW w:w="1134"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41 366</w:t>
            </w:r>
          </w:p>
        </w:tc>
        <w:tc>
          <w:tcPr>
            <w:tcW w:w="1098"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55 954</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1.1</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rehabilitation of power unit 1 with installation of new ESP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1 211</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3 439</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4 323</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15 000</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1.2</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rehabilitation of power unit 2 with installation of new ESP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35 116</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2 909</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1.3</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xml:space="preserve">500 kV  OS upgrading </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1 722</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4 539</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7 820</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lastRenderedPageBreak/>
              <w:t>1.4</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xml:space="preserve">Expansion and reconstruction of </w:t>
            </w:r>
            <w:proofErr w:type="spellStart"/>
            <w:r w:rsidRPr="009A7B0F">
              <w:rPr>
                <w:rFonts w:ascii="Times New Roman" w:eastAsia="Times New Roman" w:hAnsi="Times New Roman" w:cs="Times New Roman"/>
                <w:sz w:val="28"/>
                <w:szCs w:val="28"/>
                <w:lang w:val="en-US" w:eastAsia="ru-RU"/>
              </w:rPr>
              <w:t>Ekibastuz</w:t>
            </w:r>
            <w:proofErr w:type="spellEnd"/>
            <w:r w:rsidRPr="009A7B0F">
              <w:rPr>
                <w:rFonts w:ascii="Times New Roman" w:eastAsia="Times New Roman" w:hAnsi="Times New Roman" w:cs="Times New Roman"/>
                <w:sz w:val="28"/>
                <w:szCs w:val="28"/>
                <w:lang w:val="en-US" w:eastAsia="ru-RU"/>
              </w:rPr>
              <w:t xml:space="preserve"> GRES-2 with installation of power unit No.3 (50%)</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5 711</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4 184</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5 751</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63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1.5</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Transition to cyclic-flow technology of production, transportation, blending and loading of coal at “</w:t>
            </w:r>
            <w:proofErr w:type="spellStart"/>
            <w:r w:rsidRPr="009A7B0F">
              <w:rPr>
                <w:rFonts w:ascii="Times New Roman" w:eastAsia="Times New Roman" w:hAnsi="Times New Roman" w:cs="Times New Roman"/>
                <w:sz w:val="28"/>
                <w:szCs w:val="28"/>
                <w:lang w:val="en-US" w:eastAsia="ru-RU"/>
              </w:rPr>
              <w:t>Bogatyr</w:t>
            </w:r>
            <w:proofErr w:type="spellEnd"/>
            <w:r w:rsidRPr="009A7B0F">
              <w:rPr>
                <w:rFonts w:ascii="Times New Roman" w:eastAsia="Times New Roman" w:hAnsi="Times New Roman" w:cs="Times New Roman"/>
                <w:sz w:val="28"/>
                <w:szCs w:val="28"/>
                <w:lang w:val="en-US" w:eastAsia="ru-RU"/>
              </w:rPr>
              <w:t>” mine (50%)</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226</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9 692</w:t>
            </w:r>
          </w:p>
        </w:tc>
      </w:tr>
      <w:tr w:rsidR="00CD58BC" w:rsidRPr="009A7B0F" w:rsidTr="00CD58BC">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1.6</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color w:val="000000"/>
                <w:sz w:val="28"/>
                <w:szCs w:val="28"/>
                <w:lang w:val="en-US" w:eastAsia="ru-RU"/>
              </w:rPr>
              <w:t xml:space="preserve">Development of power grids in </w:t>
            </w:r>
            <w:proofErr w:type="spellStart"/>
            <w:r w:rsidRPr="009A7B0F">
              <w:rPr>
                <w:rFonts w:ascii="Times New Roman" w:eastAsia="Times New Roman" w:hAnsi="Times New Roman" w:cs="Times New Roman"/>
                <w:color w:val="000000"/>
                <w:sz w:val="28"/>
                <w:szCs w:val="28"/>
                <w:lang w:val="en-US" w:eastAsia="ru-RU"/>
              </w:rPr>
              <w:t>Karasay</w:t>
            </w:r>
            <w:proofErr w:type="spellEnd"/>
            <w:r w:rsidRPr="009A7B0F">
              <w:rPr>
                <w:rFonts w:ascii="Times New Roman" w:eastAsia="Times New Roman" w:hAnsi="Times New Roman" w:cs="Times New Roman"/>
                <w:color w:val="000000"/>
                <w:sz w:val="28"/>
                <w:szCs w:val="28"/>
                <w:lang w:val="en-US" w:eastAsia="ru-RU"/>
              </w:rPr>
              <w:t xml:space="preserve"> district with construction of 110/10 kV substation “</w:t>
            </w:r>
            <w:proofErr w:type="spellStart"/>
            <w:r w:rsidRPr="009A7B0F">
              <w:rPr>
                <w:rFonts w:ascii="Times New Roman" w:eastAsia="Times New Roman" w:hAnsi="Times New Roman" w:cs="Times New Roman"/>
                <w:color w:val="000000"/>
                <w:sz w:val="28"/>
                <w:szCs w:val="28"/>
                <w:lang w:val="en-US" w:eastAsia="ru-RU"/>
              </w:rPr>
              <w:t>Shamalgan</w:t>
            </w:r>
            <w:proofErr w:type="spellEnd"/>
            <w:r w:rsidRPr="009A7B0F">
              <w:rPr>
                <w:rFonts w:ascii="Times New Roman" w:eastAsia="Times New Roman" w:hAnsi="Times New Roman" w:cs="Times New Roman"/>
                <w:color w:val="000000"/>
                <w:sz w:val="28"/>
                <w:szCs w:val="28"/>
                <w:lang w:val="en-US" w:eastAsia="ru-RU"/>
              </w:rPr>
              <w:t>” (</w:t>
            </w:r>
            <w:proofErr w:type="spellStart"/>
            <w:r w:rsidRPr="009A7B0F">
              <w:rPr>
                <w:rFonts w:ascii="Times New Roman" w:eastAsia="Times New Roman" w:hAnsi="Times New Roman" w:cs="Times New Roman"/>
                <w:color w:val="000000"/>
                <w:sz w:val="28"/>
                <w:szCs w:val="28"/>
                <w:lang w:val="en-US" w:eastAsia="ru-RU"/>
              </w:rPr>
              <w:t>Ushkonyr</w:t>
            </w:r>
            <w:proofErr w:type="spellEnd"/>
            <w:r w:rsidRPr="009A7B0F">
              <w:rPr>
                <w:rFonts w:ascii="Times New Roman" w:eastAsia="Times New Roman" w:hAnsi="Times New Roman" w:cs="Times New Roman"/>
                <w:color w:val="000000"/>
                <w:sz w:val="28"/>
                <w:szCs w:val="28"/>
                <w:lang w:val="en-US" w:eastAsia="ru-RU"/>
              </w:rPr>
              <w:t xml:space="preserve">) and 110/10 kV “Station </w:t>
            </w:r>
            <w:proofErr w:type="spellStart"/>
            <w:r w:rsidRPr="009A7B0F">
              <w:rPr>
                <w:rFonts w:ascii="Times New Roman" w:eastAsia="Times New Roman" w:hAnsi="Times New Roman" w:cs="Times New Roman"/>
                <w:color w:val="000000"/>
                <w:sz w:val="28"/>
                <w:szCs w:val="28"/>
                <w:lang w:val="en-US" w:eastAsia="ru-RU"/>
              </w:rPr>
              <w:t>Shamalgan</w:t>
            </w:r>
            <w:proofErr w:type="spellEnd"/>
            <w:r w:rsidRPr="009A7B0F">
              <w:rPr>
                <w:rFonts w:ascii="Times New Roman" w:eastAsia="Times New Roman" w:hAnsi="Times New Roman" w:cs="Times New Roman"/>
                <w:color w:val="000000"/>
                <w:sz w:val="28"/>
                <w:szCs w:val="28"/>
                <w:lang w:val="en-US" w:eastAsia="ru-RU"/>
              </w:rPr>
              <w:t>” with transfer of loads from nearby 35/10kV SS.</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59</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1.7</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CD58BC"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color w:val="000000"/>
                <w:sz w:val="28"/>
                <w:szCs w:val="28"/>
                <w:lang w:val="en-US" w:eastAsia="ru-RU"/>
              </w:rPr>
              <w:t>Reconstruction and expansion of Almaty CHP-2. III stage. Boiler unit of st.No.8</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8 655</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13 621</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215</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1.8</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663B5F"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Reconstruction of  combined ash disposal system at CHP-2</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2 707</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785</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1.9</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663B5F"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xml:space="preserve">Reconstruction and modernization of </w:t>
            </w:r>
            <w:proofErr w:type="spellStart"/>
            <w:r w:rsidRPr="009A7B0F">
              <w:rPr>
                <w:rFonts w:ascii="Times New Roman" w:eastAsia="Times New Roman" w:hAnsi="Times New Roman" w:cs="Times New Roman"/>
                <w:sz w:val="28"/>
                <w:szCs w:val="28"/>
                <w:lang w:val="en-US" w:eastAsia="ru-RU"/>
              </w:rPr>
              <w:t>Aktobe</w:t>
            </w:r>
            <w:proofErr w:type="spellEnd"/>
            <w:r w:rsidRPr="009A7B0F">
              <w:rPr>
                <w:rFonts w:ascii="Times New Roman" w:eastAsia="Times New Roman" w:hAnsi="Times New Roman" w:cs="Times New Roman"/>
                <w:sz w:val="28"/>
                <w:szCs w:val="28"/>
                <w:lang w:val="en-US" w:eastAsia="ru-RU"/>
              </w:rPr>
              <w:t xml:space="preserve"> CHP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615</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396</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1.10</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663B5F"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xml:space="preserve">Modernization of </w:t>
            </w:r>
            <w:proofErr w:type="spellStart"/>
            <w:r w:rsidRPr="009A7B0F">
              <w:rPr>
                <w:rFonts w:ascii="Times New Roman" w:eastAsia="Times New Roman" w:hAnsi="Times New Roman" w:cs="Times New Roman"/>
                <w:sz w:val="28"/>
                <w:szCs w:val="28"/>
                <w:lang w:val="en-US" w:eastAsia="ru-RU"/>
              </w:rPr>
              <w:t>Shardarinskaya</w:t>
            </w:r>
            <w:proofErr w:type="spellEnd"/>
            <w:r w:rsidRPr="009A7B0F">
              <w:rPr>
                <w:rFonts w:ascii="Times New Roman" w:eastAsia="Times New Roman" w:hAnsi="Times New Roman" w:cs="Times New Roman"/>
                <w:sz w:val="28"/>
                <w:szCs w:val="28"/>
                <w:lang w:val="en-US" w:eastAsia="ru-RU"/>
              </w:rPr>
              <w:t xml:space="preserve"> HPP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383</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1 762</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8 655</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20 119</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1.11</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663B5F"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xml:space="preserve">Construction of  45 MW WPP  </w:t>
            </w:r>
            <w:proofErr w:type="spellStart"/>
            <w:r w:rsidRPr="009A7B0F">
              <w:rPr>
                <w:rFonts w:ascii="Times New Roman" w:eastAsia="Times New Roman" w:hAnsi="Times New Roman" w:cs="Times New Roman"/>
                <w:sz w:val="28"/>
                <w:szCs w:val="28"/>
                <w:lang w:val="en-US" w:eastAsia="ru-RU"/>
              </w:rPr>
              <w:t>Yereimentau</w:t>
            </w:r>
            <w:proofErr w:type="spellEnd"/>
            <w:r w:rsidRPr="009A7B0F">
              <w:rPr>
                <w:rFonts w:ascii="Times New Roman" w:eastAsia="Times New Roman" w:hAnsi="Times New Roman" w:cs="Times New Roman"/>
                <w:sz w:val="28"/>
                <w:szCs w:val="28"/>
                <w:lang w:val="en-US" w:eastAsia="ru-RU"/>
              </w:rPr>
              <w:t xml:space="preserve"> (1st stage) </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9 874</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6 352</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 </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1.12</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663B5F"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xml:space="preserve">Construction of 50 MW WPP in </w:t>
            </w:r>
            <w:proofErr w:type="spellStart"/>
            <w:r w:rsidRPr="009A7B0F">
              <w:rPr>
                <w:rFonts w:ascii="Times New Roman" w:eastAsia="Times New Roman" w:hAnsi="Times New Roman" w:cs="Times New Roman"/>
                <w:sz w:val="28"/>
                <w:szCs w:val="28"/>
                <w:lang w:val="en-US" w:eastAsia="ru-RU"/>
              </w:rPr>
              <w:t>Yereimentau</w:t>
            </w:r>
            <w:proofErr w:type="spellEnd"/>
            <w:r w:rsidRPr="009A7B0F">
              <w:rPr>
                <w:rFonts w:ascii="Times New Roman" w:eastAsia="Times New Roman" w:hAnsi="Times New Roman" w:cs="Times New Roman"/>
                <w:sz w:val="28"/>
                <w:szCs w:val="28"/>
                <w:lang w:val="en-US" w:eastAsia="ru-RU"/>
              </w:rPr>
              <w:t xml:space="preserve"> </w:t>
            </w:r>
            <w:r w:rsidR="00910176" w:rsidRPr="009A7B0F">
              <w:rPr>
                <w:rFonts w:ascii="Times New Roman" w:eastAsia="Times New Roman" w:hAnsi="Times New Roman" w:cs="Times New Roman"/>
                <w:sz w:val="28"/>
                <w:szCs w:val="28"/>
                <w:lang w:val="en-US" w:eastAsia="ru-RU"/>
              </w:rPr>
              <w:t>(2nd stage)</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0</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364</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852</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8 681</w:t>
            </w:r>
          </w:p>
        </w:tc>
      </w:tr>
      <w:tr w:rsidR="00CD58BC" w:rsidRPr="009A7B0F" w:rsidTr="00CD58BC">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1.13</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 xml:space="preserve">construction of GTPP based on </w:t>
            </w:r>
            <w:proofErr w:type="spellStart"/>
            <w:r w:rsidRPr="009A7B0F">
              <w:rPr>
                <w:rFonts w:ascii="Times New Roman" w:eastAsia="Times New Roman" w:hAnsi="Times New Roman" w:cs="Times New Roman"/>
                <w:sz w:val="28"/>
                <w:szCs w:val="28"/>
                <w:lang w:val="en-US" w:eastAsia="ru-RU"/>
              </w:rPr>
              <w:t>Pridorozhnoe</w:t>
            </w:r>
            <w:proofErr w:type="spellEnd"/>
            <w:r w:rsidRPr="009A7B0F">
              <w:rPr>
                <w:rFonts w:ascii="Times New Roman" w:eastAsia="Times New Roman" w:hAnsi="Times New Roman" w:cs="Times New Roman"/>
                <w:sz w:val="28"/>
                <w:szCs w:val="28"/>
                <w:lang w:val="en-US" w:eastAsia="ru-RU"/>
              </w:rPr>
              <w:t xml:space="preserve"> gas field</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2 185</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2 072</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945</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915</w:t>
            </w:r>
          </w:p>
        </w:tc>
      </w:tr>
      <w:tr w:rsidR="00CD58BC" w:rsidRPr="009A7B0F" w:rsidTr="00CD58BC">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1.14</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Other projects</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5 765</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6 211</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12 747</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1 547</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2</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 xml:space="preserve">Maintenance of operating assets </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42 671</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39 380</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47 589</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66 509</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“EGRES-1” LLP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16 120</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19 532</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26 956</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39 219</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2.2</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Bogatyr</w:t>
            </w:r>
            <w:proofErr w:type="spellEnd"/>
            <w:r w:rsidRPr="009A7B0F">
              <w:rPr>
                <w:rFonts w:ascii="Times New Roman" w:eastAsia="Times New Roman" w:hAnsi="Times New Roman" w:cs="Times New Roman"/>
                <w:sz w:val="28"/>
                <w:szCs w:val="28"/>
                <w:lang w:val="en-US" w:eastAsia="ru-RU"/>
              </w:rPr>
              <w:t xml:space="preserve"> </w:t>
            </w:r>
            <w:proofErr w:type="spellStart"/>
            <w:r w:rsidRPr="009A7B0F">
              <w:rPr>
                <w:rFonts w:ascii="Times New Roman" w:eastAsia="Times New Roman" w:hAnsi="Times New Roman" w:cs="Times New Roman"/>
                <w:sz w:val="28"/>
                <w:szCs w:val="28"/>
                <w:lang w:val="en-US" w:eastAsia="ru-RU"/>
              </w:rPr>
              <w:t>Komir</w:t>
            </w:r>
            <w:proofErr w:type="spellEnd"/>
            <w:r w:rsidRPr="009A7B0F">
              <w:rPr>
                <w:rFonts w:ascii="Times New Roman" w:eastAsia="Times New Roman" w:hAnsi="Times New Roman" w:cs="Times New Roman"/>
                <w:sz w:val="28"/>
                <w:szCs w:val="28"/>
                <w:lang w:val="en-US" w:eastAsia="ru-RU"/>
              </w:rPr>
              <w:t>” LLP</w:t>
            </w:r>
            <w:r w:rsidR="00CD58BC" w:rsidRPr="009A7B0F">
              <w:rPr>
                <w:rFonts w:ascii="Times New Roman" w:eastAsia="Times New Roman" w:hAnsi="Times New Roman" w:cs="Times New Roman"/>
                <w:sz w:val="28"/>
                <w:szCs w:val="28"/>
                <w:lang w:eastAsia="ru-RU"/>
              </w:rPr>
              <w:t xml:space="preserve"> (50%)</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2 601</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1 338</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2 496</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1 099</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2.3</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val="en-US" w:eastAsia="ru-RU"/>
              </w:rPr>
              <w:t>“SEGRES-2”LLP</w:t>
            </w:r>
            <w:r w:rsidR="00CD58BC" w:rsidRPr="009A7B0F">
              <w:rPr>
                <w:rFonts w:ascii="Times New Roman" w:eastAsia="Times New Roman" w:hAnsi="Times New Roman" w:cs="Times New Roman"/>
                <w:sz w:val="28"/>
                <w:szCs w:val="28"/>
                <w:lang w:eastAsia="ru-RU"/>
              </w:rPr>
              <w:t xml:space="preserve"> (50%)</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4 502</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732</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1 010</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1 930</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2.4</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AZhC</w:t>
            </w:r>
            <w:proofErr w:type="spellEnd"/>
            <w:r w:rsidRPr="009A7B0F">
              <w:rPr>
                <w:rFonts w:ascii="Times New Roman" w:eastAsia="Times New Roman" w:hAnsi="Times New Roman" w:cs="Times New Roman"/>
                <w:sz w:val="28"/>
                <w:szCs w:val="28"/>
                <w:lang w:val="en-US" w:eastAsia="ru-RU"/>
              </w:rPr>
              <w:t>” JSC</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8 193</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8 708</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10 739</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12 074</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2.5</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“APP” JSC</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5 783</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3 663</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1 670</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4 766</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2.6</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Aktobe</w:t>
            </w:r>
            <w:proofErr w:type="spellEnd"/>
            <w:r w:rsidRPr="009A7B0F">
              <w:rPr>
                <w:rFonts w:ascii="Times New Roman" w:eastAsia="Times New Roman" w:hAnsi="Times New Roman" w:cs="Times New Roman"/>
                <w:sz w:val="28"/>
                <w:szCs w:val="28"/>
                <w:lang w:val="en-US" w:eastAsia="ru-RU"/>
              </w:rPr>
              <w:t xml:space="preserve"> CHP” JSC</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796</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1 082</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626</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742</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2.7</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Moynak</w:t>
            </w:r>
            <w:proofErr w:type="spellEnd"/>
            <w:r w:rsidRPr="009A7B0F">
              <w:rPr>
                <w:rFonts w:ascii="Times New Roman" w:eastAsia="Times New Roman" w:hAnsi="Times New Roman" w:cs="Times New Roman"/>
                <w:sz w:val="28"/>
                <w:szCs w:val="28"/>
                <w:lang w:val="en-US"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346</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355</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963</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128</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lastRenderedPageBreak/>
              <w:t>2.8</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“EK REC” JSC</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3 688</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3 391</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2 633</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3 105</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2.9</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Shardarinskaya</w:t>
            </w:r>
            <w:proofErr w:type="spellEnd"/>
            <w:r w:rsidRPr="009A7B0F">
              <w:rPr>
                <w:rFonts w:ascii="Times New Roman" w:eastAsia="Times New Roman" w:hAnsi="Times New Roman" w:cs="Times New Roman"/>
                <w:sz w:val="28"/>
                <w:szCs w:val="28"/>
                <w:lang w:val="en-US"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56</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51</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118</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2.10</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Mangistau</w:t>
            </w:r>
            <w:proofErr w:type="spellEnd"/>
            <w:r w:rsidRPr="009A7B0F">
              <w:rPr>
                <w:rFonts w:ascii="Times New Roman" w:eastAsia="Times New Roman" w:hAnsi="Times New Roman" w:cs="Times New Roman"/>
                <w:sz w:val="28"/>
                <w:szCs w:val="28"/>
                <w:lang w:val="en-US" w:eastAsia="ru-RU"/>
              </w:rPr>
              <w:t xml:space="preserve"> DPGC” JSC</w:t>
            </w:r>
          </w:p>
        </w:tc>
        <w:tc>
          <w:tcPr>
            <w:tcW w:w="1134"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220</w:t>
            </w:r>
          </w:p>
        </w:tc>
        <w:tc>
          <w:tcPr>
            <w:tcW w:w="1276"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365</w:t>
            </w:r>
          </w:p>
        </w:tc>
        <w:tc>
          <w:tcPr>
            <w:tcW w:w="1134"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249</w:t>
            </w:r>
          </w:p>
        </w:tc>
        <w:tc>
          <w:tcPr>
            <w:tcW w:w="1098" w:type="dxa"/>
            <w:tcBorders>
              <w:top w:val="nil"/>
              <w:left w:val="nil"/>
              <w:bottom w:val="single" w:sz="4" w:space="0" w:color="auto"/>
              <w:right w:val="single" w:sz="4" w:space="0" w:color="auto"/>
            </w:tcBorders>
            <w:shd w:val="clear" w:color="000000" w:fill="FFFFFF"/>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3 349</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2.11</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ZhGRES</w:t>
            </w:r>
            <w:proofErr w:type="spellEnd"/>
            <w:r w:rsidRPr="009A7B0F">
              <w:rPr>
                <w:rFonts w:ascii="Times New Roman" w:eastAsia="Times New Roman" w:hAnsi="Times New Roman" w:cs="Times New Roman"/>
                <w:sz w:val="28"/>
                <w:szCs w:val="28"/>
                <w:lang w:val="en-US" w:eastAsia="ru-RU"/>
              </w:rPr>
              <w:t>” JSC</w:t>
            </w:r>
            <w:r w:rsidR="00CD58BC" w:rsidRPr="009A7B0F">
              <w:rPr>
                <w:rFonts w:ascii="Times New Roman" w:eastAsia="Times New Roman" w:hAnsi="Times New Roman" w:cs="Times New Roman"/>
                <w:sz w:val="28"/>
                <w:szCs w:val="28"/>
                <w:lang w:eastAsia="ru-RU"/>
              </w:rPr>
              <w:t xml:space="preserve"> (50%)</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149</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2.12</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AlmatyEnergoSbyt</w:t>
            </w:r>
            <w:proofErr w:type="spellEnd"/>
            <w:r w:rsidRPr="009A7B0F">
              <w:rPr>
                <w:rFonts w:ascii="Times New Roman" w:eastAsia="Times New Roman" w:hAnsi="Times New Roman" w:cs="Times New Roman"/>
                <w:sz w:val="28"/>
                <w:szCs w:val="28"/>
                <w:lang w:val="en-US" w:eastAsia="ru-RU"/>
              </w:rPr>
              <w:t>” LLP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67</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76</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73</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48</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2.13</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910176"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w:t>
            </w:r>
            <w:proofErr w:type="spellStart"/>
            <w:r w:rsidR="00CD58BC" w:rsidRPr="009A7B0F">
              <w:rPr>
                <w:rFonts w:ascii="Times New Roman" w:eastAsia="Times New Roman" w:hAnsi="Times New Roman" w:cs="Times New Roman"/>
                <w:sz w:val="28"/>
                <w:szCs w:val="28"/>
                <w:lang w:eastAsia="ru-RU"/>
              </w:rPr>
              <w:t>Samruk-Green</w:t>
            </w:r>
            <w:proofErr w:type="spellEnd"/>
            <w:r w:rsidR="00CD58BC" w:rsidRPr="009A7B0F">
              <w:rPr>
                <w:rFonts w:ascii="Times New Roman" w:eastAsia="Times New Roman" w:hAnsi="Times New Roman" w:cs="Times New Roman"/>
                <w:sz w:val="28"/>
                <w:szCs w:val="28"/>
                <w:lang w:eastAsia="ru-RU"/>
              </w:rPr>
              <w:t xml:space="preserve"> </w:t>
            </w:r>
            <w:proofErr w:type="spellStart"/>
            <w:r w:rsidR="00CD58BC" w:rsidRPr="009A7B0F">
              <w:rPr>
                <w:rFonts w:ascii="Times New Roman" w:eastAsia="Times New Roman" w:hAnsi="Times New Roman" w:cs="Times New Roman"/>
                <w:sz w:val="28"/>
                <w:szCs w:val="28"/>
                <w:lang w:eastAsia="ru-RU"/>
              </w:rPr>
              <w:t>Energy</w:t>
            </w:r>
            <w:proofErr w:type="spellEnd"/>
            <w:r w:rsidRPr="009A7B0F">
              <w:rPr>
                <w:rFonts w:ascii="Times New Roman" w:eastAsia="Times New Roman" w:hAnsi="Times New Roman" w:cs="Times New Roman"/>
                <w:sz w:val="28"/>
                <w:szCs w:val="28"/>
                <w:lang w:val="en-US" w:eastAsia="ru-RU"/>
              </w:rPr>
              <w:t>” LLP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52</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2.14</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FB2DA7"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“FWPP” LLP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70</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52</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25</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 </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2.15</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FB2DA7" w:rsidP="00470E50">
            <w:pPr>
              <w:spacing w:after="0" w:line="240" w:lineRule="auto"/>
              <w:ind w:right="-143" w:firstLine="48"/>
              <w:rPr>
                <w:rFonts w:ascii="Times New Roman" w:eastAsia="Times New Roman" w:hAnsi="Times New Roman" w:cs="Times New Roman"/>
                <w:sz w:val="28"/>
                <w:szCs w:val="28"/>
                <w:lang w:val="en-US" w:eastAsia="ru-RU"/>
              </w:rPr>
            </w:pPr>
            <w:r w:rsidRPr="009A7B0F">
              <w:rPr>
                <w:rFonts w:ascii="Times New Roman" w:eastAsia="Times New Roman" w:hAnsi="Times New Roman" w:cs="Times New Roman"/>
                <w:sz w:val="28"/>
                <w:szCs w:val="28"/>
                <w:lang w:val="en-US" w:eastAsia="ru-RU"/>
              </w:rPr>
              <w:t>“</w:t>
            </w:r>
            <w:proofErr w:type="spellStart"/>
            <w:r w:rsidRPr="009A7B0F">
              <w:rPr>
                <w:rFonts w:ascii="Times New Roman" w:eastAsia="Times New Roman" w:hAnsi="Times New Roman" w:cs="Times New Roman"/>
                <w:sz w:val="28"/>
                <w:szCs w:val="28"/>
                <w:lang w:val="en-US" w:eastAsia="ru-RU"/>
              </w:rPr>
              <w:t>Shygysenergotrade</w:t>
            </w:r>
            <w:proofErr w:type="spellEnd"/>
            <w:r w:rsidRPr="009A7B0F">
              <w:rPr>
                <w:rFonts w:ascii="Times New Roman" w:eastAsia="Times New Roman" w:hAnsi="Times New Roman" w:cs="Times New Roman"/>
                <w:sz w:val="28"/>
                <w:szCs w:val="28"/>
                <w:lang w:val="en-US" w:eastAsia="ru-RU"/>
              </w:rPr>
              <w:t>” LLP</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28</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34</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25</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sz w:val="28"/>
                <w:szCs w:val="28"/>
                <w:lang w:eastAsia="ru-RU"/>
              </w:rPr>
            </w:pPr>
            <w:r w:rsidRPr="009A7B0F">
              <w:rPr>
                <w:rFonts w:ascii="Times New Roman" w:eastAsia="Times New Roman" w:hAnsi="Times New Roman" w:cs="Times New Roman"/>
                <w:sz w:val="28"/>
                <w:szCs w:val="28"/>
                <w:lang w:eastAsia="ru-RU"/>
              </w:rPr>
              <w:t>27</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3</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7D2529" w:rsidP="00470E50">
            <w:pPr>
              <w:spacing w:after="0" w:line="240" w:lineRule="auto"/>
              <w:ind w:right="-143" w:firstLine="48"/>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 xml:space="preserve">Maintenance of administrative assets </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2 051</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2 320</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1 064</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1 287</w:t>
            </w:r>
          </w:p>
        </w:tc>
      </w:tr>
      <w:tr w:rsidR="00CD58BC" w:rsidRPr="009A7B0F" w:rsidTr="00CD58BC">
        <w:trPr>
          <w:trHeight w:val="315"/>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rsidR="00CD58BC" w:rsidRPr="009A7B0F" w:rsidRDefault="00CD58BC" w:rsidP="009A7B0F">
            <w:pPr>
              <w:spacing w:after="0" w:line="240" w:lineRule="auto"/>
              <w:ind w:right="-143" w:firstLine="709"/>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4</w:t>
            </w:r>
          </w:p>
        </w:tc>
        <w:tc>
          <w:tcPr>
            <w:tcW w:w="4892" w:type="dxa"/>
            <w:tcBorders>
              <w:top w:val="nil"/>
              <w:left w:val="nil"/>
              <w:bottom w:val="single" w:sz="4" w:space="0" w:color="auto"/>
              <w:right w:val="single" w:sz="4" w:space="0" w:color="auto"/>
            </w:tcBorders>
            <w:shd w:val="clear" w:color="auto" w:fill="auto"/>
            <w:vAlign w:val="center"/>
            <w:hideMark/>
          </w:tcPr>
          <w:p w:rsidR="00CD58BC" w:rsidRPr="009A7B0F" w:rsidRDefault="007D2529" w:rsidP="00470E50">
            <w:pPr>
              <w:spacing w:after="0" w:line="240" w:lineRule="auto"/>
              <w:ind w:right="-143" w:firstLine="48"/>
              <w:rPr>
                <w:rFonts w:ascii="Times New Roman" w:eastAsia="Times New Roman" w:hAnsi="Times New Roman" w:cs="Times New Roman"/>
                <w:b/>
                <w:bCs/>
                <w:sz w:val="28"/>
                <w:szCs w:val="28"/>
                <w:lang w:val="en-US" w:eastAsia="ru-RU"/>
              </w:rPr>
            </w:pPr>
            <w:r w:rsidRPr="009A7B0F">
              <w:rPr>
                <w:rFonts w:ascii="Times New Roman" w:eastAsia="Times New Roman" w:hAnsi="Times New Roman" w:cs="Times New Roman"/>
                <w:b/>
                <w:bCs/>
                <w:sz w:val="28"/>
                <w:szCs w:val="28"/>
                <w:lang w:val="en-US" w:eastAsia="ru-RU"/>
              </w:rPr>
              <w:t>other</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636</w:t>
            </w:r>
          </w:p>
        </w:tc>
        <w:tc>
          <w:tcPr>
            <w:tcW w:w="1276"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1 148</w:t>
            </w:r>
          </w:p>
        </w:tc>
        <w:tc>
          <w:tcPr>
            <w:tcW w:w="1134"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1 807</w:t>
            </w:r>
          </w:p>
        </w:tc>
        <w:tc>
          <w:tcPr>
            <w:tcW w:w="1098" w:type="dxa"/>
            <w:tcBorders>
              <w:top w:val="nil"/>
              <w:left w:val="nil"/>
              <w:bottom w:val="single" w:sz="4" w:space="0" w:color="auto"/>
              <w:right w:val="single" w:sz="4" w:space="0" w:color="auto"/>
            </w:tcBorders>
            <w:shd w:val="clear" w:color="auto" w:fill="auto"/>
            <w:noWrap/>
            <w:vAlign w:val="center"/>
            <w:hideMark/>
          </w:tcPr>
          <w:p w:rsidR="00CD58BC" w:rsidRPr="009A7B0F" w:rsidRDefault="00CD58BC" w:rsidP="00470E50">
            <w:pPr>
              <w:spacing w:after="0" w:line="240" w:lineRule="auto"/>
              <w:ind w:right="-143" w:firstLine="48"/>
              <w:jc w:val="center"/>
              <w:rPr>
                <w:rFonts w:ascii="Times New Roman" w:eastAsia="Times New Roman" w:hAnsi="Times New Roman" w:cs="Times New Roman"/>
                <w:b/>
                <w:bCs/>
                <w:sz w:val="28"/>
                <w:szCs w:val="28"/>
                <w:lang w:eastAsia="ru-RU"/>
              </w:rPr>
            </w:pPr>
            <w:r w:rsidRPr="009A7B0F">
              <w:rPr>
                <w:rFonts w:ascii="Times New Roman" w:eastAsia="Times New Roman" w:hAnsi="Times New Roman" w:cs="Times New Roman"/>
                <w:b/>
                <w:bCs/>
                <w:sz w:val="28"/>
                <w:szCs w:val="28"/>
                <w:lang w:eastAsia="ru-RU"/>
              </w:rPr>
              <w:t>8 405</w:t>
            </w:r>
          </w:p>
        </w:tc>
      </w:tr>
    </w:tbl>
    <w:p w:rsidR="00094096" w:rsidRPr="009A7B0F" w:rsidRDefault="00094096" w:rsidP="009A7B0F">
      <w:pPr>
        <w:spacing w:after="0"/>
        <w:ind w:right="-143" w:firstLine="709"/>
        <w:jc w:val="both"/>
        <w:rPr>
          <w:rFonts w:ascii="Times New Roman" w:hAnsi="Times New Roman" w:cs="Times New Roman"/>
          <w:bCs/>
          <w:sz w:val="28"/>
          <w:szCs w:val="28"/>
          <w:lang w:val="en-US"/>
        </w:rPr>
      </w:pPr>
    </w:p>
    <w:p w:rsidR="00094096" w:rsidRPr="009A7B0F" w:rsidRDefault="00094096" w:rsidP="009A7B0F">
      <w:pPr>
        <w:spacing w:after="0"/>
        <w:ind w:right="-143" w:firstLine="709"/>
        <w:jc w:val="both"/>
        <w:rPr>
          <w:rFonts w:ascii="Times New Roman" w:hAnsi="Times New Roman" w:cs="Times New Roman"/>
          <w:bCs/>
          <w:i/>
          <w:sz w:val="28"/>
          <w:szCs w:val="28"/>
          <w:lang w:val="en-US"/>
        </w:rPr>
      </w:pPr>
      <w:r w:rsidRPr="009A7B0F">
        <w:rPr>
          <w:rFonts w:ascii="Times New Roman" w:hAnsi="Times New Roman" w:cs="Times New Roman"/>
          <w:bCs/>
          <w:i/>
          <w:sz w:val="28"/>
          <w:szCs w:val="28"/>
          <w:lang w:val="en-US"/>
        </w:rPr>
        <w:t>Projects implemented in 2015</w:t>
      </w:r>
    </w:p>
    <w:p w:rsidR="00094096" w:rsidRPr="009A7B0F" w:rsidRDefault="00094096" w:rsidP="009A7B0F">
      <w:pPr>
        <w:spacing w:after="0"/>
        <w:ind w:right="-143" w:firstLine="709"/>
        <w:jc w:val="both"/>
        <w:rPr>
          <w:rFonts w:ascii="Times New Roman" w:hAnsi="Times New Roman" w:cs="Times New Roman"/>
          <w:bCs/>
          <w:sz w:val="28"/>
          <w:szCs w:val="28"/>
          <w:lang w:val="en-US"/>
        </w:rPr>
      </w:pPr>
    </w:p>
    <w:p w:rsidR="00CD58BC" w:rsidRPr="009A7B0F" w:rsidRDefault="00094096" w:rsidP="009A7B0F">
      <w:pPr>
        <w:spacing w:after="0"/>
        <w:ind w:right="-143" w:firstLine="709"/>
        <w:jc w:val="both"/>
        <w:rPr>
          <w:rFonts w:ascii="Times New Roman" w:hAnsi="Times New Roman" w:cs="Times New Roman"/>
          <w:bCs/>
          <w:sz w:val="28"/>
          <w:szCs w:val="28"/>
          <w:lang w:val="en-US"/>
        </w:rPr>
      </w:pPr>
      <w:r w:rsidRPr="009A7B0F">
        <w:rPr>
          <w:rFonts w:ascii="Times New Roman" w:hAnsi="Times New Roman" w:cs="Times New Roman"/>
          <w:bCs/>
          <w:sz w:val="28"/>
          <w:szCs w:val="28"/>
          <w:lang w:val="en-US"/>
        </w:rPr>
        <w:t xml:space="preserve">Fourth stage of reconstruction of Almaty CHP-2 combined ash handling system   was completed. The certificate of acceptance committee was received on April 2, 2015. </w:t>
      </w:r>
    </w:p>
    <w:p w:rsidR="00094096" w:rsidRPr="009A7B0F" w:rsidRDefault="00094096" w:rsidP="009A7B0F">
      <w:pPr>
        <w:spacing w:after="0"/>
        <w:ind w:right="-143" w:firstLine="709"/>
        <w:jc w:val="both"/>
        <w:rPr>
          <w:rFonts w:ascii="Times New Roman" w:hAnsi="Times New Roman" w:cs="Times New Roman"/>
          <w:bCs/>
          <w:sz w:val="28"/>
          <w:szCs w:val="28"/>
          <w:lang w:val="en-US"/>
        </w:rPr>
      </w:pPr>
      <w:r w:rsidRPr="009A7B0F">
        <w:rPr>
          <w:rFonts w:ascii="Times New Roman" w:hAnsi="Times New Roman" w:cs="Times New Roman"/>
          <w:bCs/>
          <w:sz w:val="28"/>
          <w:szCs w:val="28"/>
          <w:lang w:val="en-US"/>
        </w:rPr>
        <w:t xml:space="preserve">The construction of 45 MW wind power plant in </w:t>
      </w:r>
      <w:proofErr w:type="spellStart"/>
      <w:r w:rsidRPr="009A7B0F">
        <w:rPr>
          <w:rFonts w:ascii="Times New Roman" w:hAnsi="Times New Roman" w:cs="Times New Roman"/>
          <w:bCs/>
          <w:sz w:val="28"/>
          <w:szCs w:val="28"/>
          <w:lang w:val="en-US"/>
        </w:rPr>
        <w:t>Yereimentau</w:t>
      </w:r>
      <w:proofErr w:type="spellEnd"/>
      <w:r w:rsidRPr="009A7B0F">
        <w:rPr>
          <w:rFonts w:ascii="Times New Roman" w:hAnsi="Times New Roman" w:cs="Times New Roman"/>
          <w:bCs/>
          <w:sz w:val="28"/>
          <w:szCs w:val="28"/>
          <w:lang w:val="en-US"/>
        </w:rPr>
        <w:t xml:space="preserve"> district was completed. The certificate of acceptance committee was received on August 14, 2015. </w:t>
      </w:r>
    </w:p>
    <w:p w:rsidR="00094096" w:rsidRPr="009A7B0F" w:rsidRDefault="00094096" w:rsidP="009A7B0F">
      <w:pPr>
        <w:spacing w:after="0"/>
        <w:ind w:right="-143" w:firstLine="709"/>
        <w:jc w:val="both"/>
        <w:rPr>
          <w:rFonts w:ascii="Times New Roman" w:hAnsi="Times New Roman" w:cs="Times New Roman"/>
          <w:bCs/>
          <w:sz w:val="28"/>
          <w:szCs w:val="28"/>
          <w:lang w:val="en-US"/>
        </w:rPr>
      </w:pPr>
    </w:p>
    <w:p w:rsidR="00094096" w:rsidRPr="009A7B0F" w:rsidRDefault="00094096" w:rsidP="009A7B0F">
      <w:pPr>
        <w:spacing w:after="0"/>
        <w:ind w:right="-143" w:firstLine="709"/>
        <w:jc w:val="both"/>
        <w:rPr>
          <w:rFonts w:ascii="Times New Roman" w:hAnsi="Times New Roman" w:cs="Times New Roman"/>
          <w:bCs/>
          <w:i/>
          <w:sz w:val="28"/>
          <w:szCs w:val="28"/>
          <w:lang w:val="en-US"/>
        </w:rPr>
      </w:pPr>
      <w:r w:rsidRPr="009A7B0F">
        <w:rPr>
          <w:rFonts w:ascii="Times New Roman" w:hAnsi="Times New Roman" w:cs="Times New Roman"/>
          <w:bCs/>
          <w:i/>
          <w:sz w:val="28"/>
          <w:szCs w:val="28"/>
          <w:lang w:val="en-US"/>
        </w:rPr>
        <w:t>Projects planned to be completed in 2016</w:t>
      </w:r>
    </w:p>
    <w:p w:rsidR="00094096" w:rsidRPr="009A7B0F" w:rsidRDefault="00094096" w:rsidP="009A7B0F">
      <w:pPr>
        <w:spacing w:after="0"/>
        <w:ind w:right="-143" w:firstLine="709"/>
        <w:jc w:val="both"/>
        <w:rPr>
          <w:rFonts w:ascii="Times New Roman" w:hAnsi="Times New Roman" w:cs="Times New Roman"/>
          <w:bCs/>
          <w:sz w:val="28"/>
          <w:szCs w:val="28"/>
          <w:lang w:val="en-US"/>
        </w:rPr>
      </w:pPr>
    </w:p>
    <w:p w:rsidR="00094096" w:rsidRPr="009A7B0F" w:rsidRDefault="00094096"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The reconstruction of boiler unit of plant No.8 of Almaty CHP-2 will be completed in June. The project will </w:t>
      </w:r>
      <w:r w:rsidR="00D26ED6" w:rsidRPr="009A7B0F">
        <w:rPr>
          <w:rFonts w:ascii="Times New Roman" w:hAnsi="Times New Roman" w:cs="Times New Roman"/>
          <w:sz w:val="28"/>
          <w:szCs w:val="28"/>
          <w:lang w:val="en-US"/>
        </w:rPr>
        <w:t xml:space="preserve">allow </w:t>
      </w:r>
      <w:r w:rsidRPr="009A7B0F">
        <w:rPr>
          <w:rFonts w:ascii="Times New Roman" w:hAnsi="Times New Roman" w:cs="Times New Roman"/>
          <w:sz w:val="28"/>
          <w:szCs w:val="28"/>
          <w:lang w:val="en-US"/>
        </w:rPr>
        <w:t>cover</w:t>
      </w:r>
      <w:r w:rsidR="00D26ED6" w:rsidRPr="009A7B0F">
        <w:rPr>
          <w:rFonts w:ascii="Times New Roman" w:hAnsi="Times New Roman" w:cs="Times New Roman"/>
          <w:sz w:val="28"/>
          <w:szCs w:val="28"/>
          <w:lang w:val="en-US"/>
        </w:rPr>
        <w:t>ing</w:t>
      </w:r>
      <w:r w:rsidRPr="009A7B0F">
        <w:rPr>
          <w:rFonts w:ascii="Times New Roman" w:hAnsi="Times New Roman" w:cs="Times New Roman"/>
          <w:sz w:val="28"/>
          <w:szCs w:val="28"/>
          <w:lang w:val="en-US"/>
        </w:rPr>
        <w:t xml:space="preserve"> the expected increase in heat loads and providing  "Universiade-2017"</w:t>
      </w:r>
      <w:r w:rsidR="00D26ED6" w:rsidRPr="009A7B0F">
        <w:rPr>
          <w:rFonts w:ascii="Times New Roman" w:hAnsi="Times New Roman" w:cs="Times New Roman"/>
          <w:sz w:val="28"/>
          <w:szCs w:val="28"/>
          <w:lang w:val="en-US"/>
        </w:rPr>
        <w:t xml:space="preserve"> facilities,</w:t>
      </w:r>
      <w:r w:rsidRPr="009A7B0F">
        <w:rPr>
          <w:rFonts w:ascii="Times New Roman" w:hAnsi="Times New Roman" w:cs="Times New Roman"/>
          <w:sz w:val="28"/>
          <w:szCs w:val="28"/>
          <w:lang w:val="en-US"/>
        </w:rPr>
        <w:t xml:space="preserve"> industrial zone and </w:t>
      </w:r>
      <w:r w:rsidR="00D26ED6" w:rsidRPr="009A7B0F">
        <w:rPr>
          <w:rFonts w:ascii="Times New Roman" w:hAnsi="Times New Roman" w:cs="Times New Roman"/>
          <w:sz w:val="28"/>
          <w:szCs w:val="28"/>
          <w:lang w:val="en-US"/>
        </w:rPr>
        <w:t xml:space="preserve">dwelling houses built under </w:t>
      </w:r>
      <w:r w:rsidRPr="009A7B0F">
        <w:rPr>
          <w:rFonts w:ascii="Times New Roman" w:hAnsi="Times New Roman" w:cs="Times New Roman"/>
          <w:sz w:val="28"/>
          <w:szCs w:val="28"/>
          <w:lang w:val="en-US"/>
        </w:rPr>
        <w:t>"Affordable Housing - 2020"</w:t>
      </w:r>
      <w:r w:rsidR="00D26ED6" w:rsidRPr="009A7B0F">
        <w:rPr>
          <w:rFonts w:ascii="Times New Roman" w:hAnsi="Times New Roman" w:cs="Times New Roman"/>
          <w:sz w:val="28"/>
          <w:szCs w:val="28"/>
          <w:lang w:val="en-US"/>
        </w:rPr>
        <w:t xml:space="preserve"> program with heat, as well as the project will enable producing ad</w:t>
      </w:r>
      <w:r w:rsidRPr="009A7B0F">
        <w:rPr>
          <w:rFonts w:ascii="Times New Roman" w:hAnsi="Times New Roman" w:cs="Times New Roman"/>
          <w:sz w:val="28"/>
          <w:szCs w:val="28"/>
          <w:lang w:val="en-US"/>
        </w:rPr>
        <w:t xml:space="preserve">ditional </w:t>
      </w:r>
      <w:r w:rsidR="00D26ED6" w:rsidRPr="009A7B0F">
        <w:rPr>
          <w:rFonts w:ascii="Times New Roman" w:hAnsi="Times New Roman" w:cs="Times New Roman"/>
          <w:sz w:val="28"/>
          <w:szCs w:val="28"/>
          <w:lang w:val="en-US"/>
        </w:rPr>
        <w:t xml:space="preserve">450 million kWh annually. </w:t>
      </w:r>
    </w:p>
    <w:p w:rsidR="00094096" w:rsidRPr="009A7B0F" w:rsidRDefault="00C9133F"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Completion of </w:t>
      </w:r>
      <w:r w:rsidR="00094096" w:rsidRPr="009A7B0F">
        <w:rPr>
          <w:rFonts w:ascii="Times New Roman" w:hAnsi="Times New Roman" w:cs="Times New Roman"/>
          <w:sz w:val="28"/>
          <w:szCs w:val="28"/>
          <w:lang w:val="en-US"/>
        </w:rPr>
        <w:t xml:space="preserve">"Reconstruction and modernization of </w:t>
      </w:r>
      <w:proofErr w:type="spellStart"/>
      <w:r w:rsidR="00094096" w:rsidRPr="009A7B0F">
        <w:rPr>
          <w:rFonts w:ascii="Times New Roman" w:hAnsi="Times New Roman" w:cs="Times New Roman"/>
          <w:sz w:val="28"/>
          <w:szCs w:val="28"/>
          <w:lang w:val="en-US"/>
        </w:rPr>
        <w:t>Aktobe</w:t>
      </w:r>
      <w:proofErr w:type="spellEnd"/>
      <w:r w:rsidR="00094096" w:rsidRPr="009A7B0F">
        <w:rPr>
          <w:rFonts w:ascii="Times New Roman" w:hAnsi="Times New Roman" w:cs="Times New Roman"/>
          <w:sz w:val="28"/>
          <w:szCs w:val="28"/>
          <w:lang w:val="en-US"/>
        </w:rPr>
        <w:t xml:space="preserve"> CHP"</w:t>
      </w:r>
      <w:r w:rsidRPr="009A7B0F">
        <w:rPr>
          <w:rFonts w:ascii="Times New Roman" w:hAnsi="Times New Roman" w:cs="Times New Roman"/>
          <w:sz w:val="28"/>
          <w:szCs w:val="28"/>
          <w:lang w:val="en-US"/>
        </w:rPr>
        <w:t xml:space="preserve"> project is expected in July</w:t>
      </w:r>
      <w:r w:rsidR="00094096" w:rsidRPr="009A7B0F">
        <w:rPr>
          <w:rFonts w:ascii="Times New Roman" w:hAnsi="Times New Roman" w:cs="Times New Roman"/>
          <w:sz w:val="28"/>
          <w:szCs w:val="28"/>
          <w:lang w:val="en-US"/>
        </w:rPr>
        <w:t xml:space="preserve">. The project involves the replacement of turbine unit </w:t>
      </w:r>
      <w:r w:rsidRPr="009A7B0F">
        <w:rPr>
          <w:rFonts w:ascii="Times New Roman" w:hAnsi="Times New Roman" w:cs="Times New Roman"/>
          <w:sz w:val="28"/>
          <w:szCs w:val="28"/>
          <w:lang w:val="en-US"/>
        </w:rPr>
        <w:t>at plant No.</w:t>
      </w:r>
      <w:r w:rsidR="00094096" w:rsidRPr="009A7B0F">
        <w:rPr>
          <w:rFonts w:ascii="Times New Roman" w:hAnsi="Times New Roman" w:cs="Times New Roman"/>
          <w:sz w:val="28"/>
          <w:szCs w:val="28"/>
          <w:lang w:val="en-US"/>
        </w:rPr>
        <w:t xml:space="preserve"> 3 in connection with the development of the resource of the existing equipment. The project will increase the installed capacity of the plant from 88 MW to 117 MW.</w:t>
      </w:r>
    </w:p>
    <w:p w:rsidR="00094096" w:rsidRPr="009A7B0F" w:rsidRDefault="00B24591"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w:t>
      </w:r>
      <w:r w:rsidR="00094096" w:rsidRPr="009A7B0F">
        <w:rPr>
          <w:rFonts w:ascii="Times New Roman" w:hAnsi="Times New Roman" w:cs="Times New Roman"/>
          <w:sz w:val="28"/>
          <w:szCs w:val="28"/>
          <w:lang w:val="en-US"/>
        </w:rPr>
        <w:t>he project "Modernization of 500 kV outdoor</w:t>
      </w:r>
      <w:r w:rsidRPr="009A7B0F">
        <w:rPr>
          <w:rFonts w:ascii="Times New Roman" w:hAnsi="Times New Roman" w:cs="Times New Roman"/>
          <w:sz w:val="28"/>
          <w:szCs w:val="28"/>
          <w:lang w:val="en-US"/>
        </w:rPr>
        <w:t xml:space="preserve"> switchgear of </w:t>
      </w:r>
      <w:proofErr w:type="spellStart"/>
      <w:r w:rsidRPr="009A7B0F">
        <w:rPr>
          <w:rFonts w:ascii="Times New Roman" w:hAnsi="Times New Roman" w:cs="Times New Roman"/>
          <w:sz w:val="28"/>
          <w:szCs w:val="28"/>
          <w:lang w:val="en-US"/>
        </w:rPr>
        <w:t>Ekibastuz</w:t>
      </w:r>
      <w:proofErr w:type="spellEnd"/>
      <w:r w:rsidRPr="009A7B0F">
        <w:rPr>
          <w:rFonts w:ascii="Times New Roman" w:hAnsi="Times New Roman" w:cs="Times New Roman"/>
          <w:sz w:val="28"/>
          <w:szCs w:val="28"/>
          <w:lang w:val="en-US"/>
        </w:rPr>
        <w:t xml:space="preserve"> GRES-1</w:t>
      </w:r>
      <w:r w:rsidR="00094096"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is expected to be completed in December. </w:t>
      </w:r>
      <w:r w:rsidR="00094096" w:rsidRPr="009A7B0F">
        <w:rPr>
          <w:rFonts w:ascii="Times New Roman" w:hAnsi="Times New Roman" w:cs="Times New Roman"/>
          <w:sz w:val="28"/>
          <w:szCs w:val="28"/>
          <w:lang w:val="en-US"/>
        </w:rPr>
        <w:t xml:space="preserve"> The project is aimed at improving the </w:t>
      </w:r>
      <w:r w:rsidR="00094096" w:rsidRPr="009A7B0F">
        <w:rPr>
          <w:rFonts w:ascii="Times New Roman" w:hAnsi="Times New Roman" w:cs="Times New Roman"/>
          <w:sz w:val="28"/>
          <w:szCs w:val="28"/>
          <w:lang w:val="en-US"/>
        </w:rPr>
        <w:lastRenderedPageBreak/>
        <w:t>reliability and quality of power supply</w:t>
      </w:r>
      <w:r w:rsidRPr="009A7B0F">
        <w:rPr>
          <w:rFonts w:ascii="Times New Roman" w:hAnsi="Times New Roman" w:cs="Times New Roman"/>
          <w:sz w:val="28"/>
          <w:szCs w:val="28"/>
          <w:lang w:val="en-US"/>
        </w:rPr>
        <w:t xml:space="preserve"> to consumers. </w:t>
      </w:r>
      <w:r w:rsidR="00094096" w:rsidRPr="009A7B0F">
        <w:rPr>
          <w:rFonts w:ascii="Times New Roman" w:hAnsi="Times New Roman" w:cs="Times New Roman"/>
          <w:sz w:val="28"/>
          <w:szCs w:val="28"/>
          <w:lang w:val="en-US"/>
        </w:rPr>
        <w:t xml:space="preserve"> The effect of the project is to prevent system crashes due to failure of equipment of 500 kV</w:t>
      </w:r>
      <w:r w:rsidRPr="009A7B0F">
        <w:rPr>
          <w:rFonts w:ascii="Times New Roman" w:hAnsi="Times New Roman" w:cs="Times New Roman"/>
          <w:sz w:val="28"/>
          <w:szCs w:val="28"/>
          <w:lang w:val="en-US"/>
        </w:rPr>
        <w:t xml:space="preserve"> OS</w:t>
      </w:r>
      <w:r w:rsidR="00094096" w:rsidRPr="009A7B0F">
        <w:rPr>
          <w:rFonts w:ascii="Times New Roman" w:hAnsi="Times New Roman" w:cs="Times New Roman"/>
          <w:sz w:val="28"/>
          <w:szCs w:val="28"/>
          <w:lang w:val="en-US"/>
        </w:rPr>
        <w:t xml:space="preserve"> and ensuring the reliability of </w:t>
      </w:r>
      <w:r w:rsidRPr="009A7B0F">
        <w:rPr>
          <w:rFonts w:ascii="Times New Roman" w:hAnsi="Times New Roman" w:cs="Times New Roman"/>
          <w:sz w:val="28"/>
          <w:szCs w:val="28"/>
          <w:lang w:val="en-US"/>
        </w:rPr>
        <w:t>sale</w:t>
      </w:r>
      <w:r w:rsidR="00094096" w:rsidRPr="009A7B0F">
        <w:rPr>
          <w:rFonts w:ascii="Times New Roman" w:hAnsi="Times New Roman" w:cs="Times New Roman"/>
          <w:sz w:val="28"/>
          <w:szCs w:val="28"/>
          <w:lang w:val="en-US"/>
        </w:rPr>
        <w:t xml:space="preserve"> and transmission </w:t>
      </w:r>
      <w:r w:rsidRPr="009A7B0F">
        <w:rPr>
          <w:rFonts w:ascii="Times New Roman" w:hAnsi="Times New Roman" w:cs="Times New Roman"/>
          <w:sz w:val="28"/>
          <w:szCs w:val="28"/>
          <w:lang w:val="en-US"/>
        </w:rPr>
        <w:t xml:space="preserve">of electricity to </w:t>
      </w:r>
      <w:r w:rsidR="00094096" w:rsidRPr="009A7B0F">
        <w:rPr>
          <w:rFonts w:ascii="Times New Roman" w:hAnsi="Times New Roman" w:cs="Times New Roman"/>
          <w:sz w:val="28"/>
          <w:szCs w:val="28"/>
          <w:lang w:val="en-US"/>
        </w:rPr>
        <w:t>Kazakhstan</w:t>
      </w:r>
      <w:r w:rsidRPr="009A7B0F">
        <w:rPr>
          <w:rFonts w:ascii="Times New Roman" w:hAnsi="Times New Roman" w:cs="Times New Roman"/>
          <w:sz w:val="28"/>
          <w:szCs w:val="28"/>
          <w:lang w:val="en-US"/>
        </w:rPr>
        <w:t>i</w:t>
      </w:r>
      <w:r w:rsidR="00094096" w:rsidRPr="009A7B0F">
        <w:rPr>
          <w:rFonts w:ascii="Times New Roman" w:hAnsi="Times New Roman" w:cs="Times New Roman"/>
          <w:sz w:val="28"/>
          <w:szCs w:val="28"/>
          <w:lang w:val="en-US"/>
        </w:rPr>
        <w:t xml:space="preserve"> and Russia</w:t>
      </w:r>
      <w:r w:rsidRPr="009A7B0F">
        <w:rPr>
          <w:rFonts w:ascii="Times New Roman" w:hAnsi="Times New Roman" w:cs="Times New Roman"/>
          <w:sz w:val="28"/>
          <w:szCs w:val="28"/>
          <w:lang w:val="en-US"/>
        </w:rPr>
        <w:t>n consumers</w:t>
      </w:r>
      <w:r w:rsidR="00094096" w:rsidRPr="009A7B0F">
        <w:rPr>
          <w:rFonts w:ascii="Times New Roman" w:hAnsi="Times New Roman" w:cs="Times New Roman"/>
          <w:sz w:val="28"/>
          <w:szCs w:val="28"/>
          <w:lang w:val="en-US"/>
        </w:rPr>
        <w:t>.</w:t>
      </w:r>
    </w:p>
    <w:p w:rsidR="00B24591" w:rsidRPr="009A7B0F" w:rsidRDefault="00B24591" w:rsidP="009A7B0F">
      <w:pPr>
        <w:spacing w:after="0"/>
        <w:ind w:right="-143" w:firstLine="709"/>
        <w:jc w:val="both"/>
        <w:rPr>
          <w:rFonts w:ascii="Times New Roman" w:hAnsi="Times New Roman" w:cs="Times New Roman"/>
          <w:sz w:val="28"/>
          <w:szCs w:val="28"/>
          <w:lang w:val="en-US"/>
        </w:rPr>
      </w:pPr>
    </w:p>
    <w:p w:rsidR="00094096" w:rsidRPr="009A7B0F" w:rsidRDefault="00094096" w:rsidP="009A7B0F">
      <w:pPr>
        <w:spacing w:after="0"/>
        <w:ind w:right="-143" w:firstLine="709"/>
        <w:jc w:val="both"/>
        <w:rPr>
          <w:rFonts w:ascii="Times New Roman" w:hAnsi="Times New Roman" w:cs="Times New Roman"/>
          <w:i/>
          <w:sz w:val="28"/>
          <w:szCs w:val="28"/>
          <w:lang w:val="en-US"/>
        </w:rPr>
      </w:pPr>
      <w:r w:rsidRPr="009A7B0F">
        <w:rPr>
          <w:rFonts w:ascii="Times New Roman" w:hAnsi="Times New Roman" w:cs="Times New Roman"/>
          <w:i/>
          <w:sz w:val="28"/>
          <w:szCs w:val="28"/>
          <w:lang w:val="en-US"/>
        </w:rPr>
        <w:t xml:space="preserve">Projects planned </w:t>
      </w:r>
      <w:r w:rsidR="00B24591" w:rsidRPr="009A7B0F">
        <w:rPr>
          <w:rFonts w:ascii="Times New Roman" w:hAnsi="Times New Roman" w:cs="Times New Roman"/>
          <w:i/>
          <w:sz w:val="28"/>
          <w:szCs w:val="28"/>
          <w:lang w:val="en-US"/>
        </w:rPr>
        <w:t>to be completed in</w:t>
      </w:r>
      <w:r w:rsidRPr="009A7B0F">
        <w:rPr>
          <w:rFonts w:ascii="Times New Roman" w:hAnsi="Times New Roman" w:cs="Times New Roman"/>
          <w:i/>
          <w:sz w:val="28"/>
          <w:szCs w:val="28"/>
          <w:lang w:val="en-US"/>
        </w:rPr>
        <w:t xml:space="preserve"> 2017</w:t>
      </w:r>
    </w:p>
    <w:p w:rsidR="00B24591" w:rsidRPr="009A7B0F" w:rsidRDefault="00B24591" w:rsidP="009A7B0F">
      <w:pPr>
        <w:spacing w:after="0"/>
        <w:ind w:right="-143" w:firstLine="709"/>
        <w:jc w:val="both"/>
        <w:rPr>
          <w:rFonts w:ascii="Times New Roman" w:hAnsi="Times New Roman" w:cs="Times New Roman"/>
          <w:i/>
          <w:sz w:val="28"/>
          <w:szCs w:val="28"/>
          <w:lang w:val="en-US"/>
        </w:rPr>
      </w:pPr>
    </w:p>
    <w:p w:rsidR="00094096" w:rsidRPr="009A7B0F" w:rsidRDefault="00B24591"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The </w:t>
      </w:r>
      <w:r w:rsidR="00094096" w:rsidRPr="009A7B0F">
        <w:rPr>
          <w:rFonts w:ascii="Times New Roman" w:hAnsi="Times New Roman" w:cs="Times New Roman"/>
          <w:sz w:val="28"/>
          <w:szCs w:val="28"/>
          <w:lang w:val="en-US"/>
        </w:rPr>
        <w:t xml:space="preserve">project "Construction of substation </w:t>
      </w:r>
      <w:proofErr w:type="spellStart"/>
      <w:r w:rsidR="00094096" w:rsidRPr="009A7B0F">
        <w:rPr>
          <w:rFonts w:ascii="Times New Roman" w:hAnsi="Times New Roman" w:cs="Times New Roman"/>
          <w:sz w:val="28"/>
          <w:szCs w:val="28"/>
          <w:lang w:val="en-US"/>
        </w:rPr>
        <w:t>Turksib</w:t>
      </w:r>
      <w:proofErr w:type="spellEnd"/>
      <w:r w:rsidR="00094096"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is expected to be completed in June </w:t>
      </w:r>
      <w:r w:rsidR="00094096" w:rsidRPr="009A7B0F">
        <w:rPr>
          <w:rFonts w:ascii="Times New Roman" w:hAnsi="Times New Roman" w:cs="Times New Roman"/>
          <w:sz w:val="28"/>
          <w:szCs w:val="28"/>
          <w:lang w:val="en-US"/>
        </w:rPr>
        <w:t xml:space="preserve">for reliable and uninterrupted power </w:t>
      </w:r>
      <w:r w:rsidR="00720ABD">
        <w:rPr>
          <w:rFonts w:ascii="Times New Roman" w:hAnsi="Times New Roman" w:cs="Times New Roman"/>
          <w:sz w:val="28"/>
          <w:szCs w:val="28"/>
          <w:lang w:val="en-US"/>
        </w:rPr>
        <w:t xml:space="preserve">supply to the northern part of </w:t>
      </w:r>
      <w:r w:rsidR="00094096" w:rsidRPr="009A7B0F">
        <w:rPr>
          <w:rFonts w:ascii="Times New Roman" w:hAnsi="Times New Roman" w:cs="Times New Roman"/>
          <w:sz w:val="28"/>
          <w:szCs w:val="28"/>
          <w:lang w:val="en-US"/>
        </w:rPr>
        <w:t>Almaty</w:t>
      </w:r>
      <w:r w:rsidRPr="009A7B0F">
        <w:rPr>
          <w:rFonts w:ascii="Times New Roman" w:hAnsi="Times New Roman" w:cs="Times New Roman"/>
          <w:sz w:val="28"/>
          <w:szCs w:val="28"/>
          <w:lang w:val="en-US"/>
        </w:rPr>
        <w:t xml:space="preserve"> city</w:t>
      </w:r>
      <w:r w:rsidR="00950C45" w:rsidRPr="009A7B0F">
        <w:rPr>
          <w:rFonts w:ascii="Times New Roman" w:hAnsi="Times New Roman" w:cs="Times New Roman"/>
          <w:sz w:val="28"/>
          <w:szCs w:val="28"/>
          <w:lang w:val="en-US"/>
        </w:rPr>
        <w:t xml:space="preserve"> where the loads are increasing; also</w:t>
      </w:r>
      <w:r w:rsidR="00094096" w:rsidRPr="009A7B0F">
        <w:rPr>
          <w:rFonts w:ascii="Times New Roman" w:hAnsi="Times New Roman" w:cs="Times New Roman"/>
          <w:sz w:val="28"/>
          <w:szCs w:val="28"/>
          <w:lang w:val="en-US"/>
        </w:rPr>
        <w:t xml:space="preserve"> the introduction of</w:t>
      </w:r>
      <w:r w:rsidR="00950C45" w:rsidRPr="009A7B0F">
        <w:rPr>
          <w:rFonts w:ascii="Times New Roman" w:hAnsi="Times New Roman" w:cs="Times New Roman"/>
          <w:sz w:val="28"/>
          <w:szCs w:val="28"/>
          <w:lang w:val="en-US"/>
        </w:rPr>
        <w:t xml:space="preserve"> transformer capacity of 80 MVA is expected. </w:t>
      </w:r>
    </w:p>
    <w:p w:rsidR="00094096" w:rsidRPr="009A7B0F" w:rsidRDefault="00950C45"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M</w:t>
      </w:r>
      <w:r w:rsidR="00094096" w:rsidRPr="009A7B0F">
        <w:rPr>
          <w:rFonts w:ascii="Times New Roman" w:hAnsi="Times New Roman" w:cs="Times New Roman"/>
          <w:sz w:val="28"/>
          <w:szCs w:val="28"/>
          <w:lang w:val="en-US"/>
        </w:rPr>
        <w:t xml:space="preserve">odernization of </w:t>
      </w:r>
      <w:proofErr w:type="spellStart"/>
      <w:r w:rsidR="00094096" w:rsidRPr="009A7B0F">
        <w:rPr>
          <w:rFonts w:ascii="Times New Roman" w:hAnsi="Times New Roman" w:cs="Times New Roman"/>
          <w:sz w:val="28"/>
          <w:szCs w:val="28"/>
          <w:lang w:val="en-US"/>
        </w:rPr>
        <w:t>Shardar</w:t>
      </w:r>
      <w:r w:rsidRPr="009A7B0F">
        <w:rPr>
          <w:rFonts w:ascii="Times New Roman" w:hAnsi="Times New Roman" w:cs="Times New Roman"/>
          <w:sz w:val="28"/>
          <w:szCs w:val="28"/>
          <w:lang w:val="en-US"/>
        </w:rPr>
        <w:t>inskaya</w:t>
      </w:r>
      <w:proofErr w:type="spellEnd"/>
      <w:r w:rsidRPr="009A7B0F">
        <w:rPr>
          <w:rFonts w:ascii="Times New Roman" w:hAnsi="Times New Roman" w:cs="Times New Roman"/>
          <w:sz w:val="28"/>
          <w:szCs w:val="28"/>
          <w:lang w:val="en-US"/>
        </w:rPr>
        <w:t xml:space="preserve"> HPP will be completed in December 2017</w:t>
      </w:r>
      <w:r w:rsidR="00094096" w:rsidRPr="009A7B0F">
        <w:rPr>
          <w:rFonts w:ascii="Times New Roman" w:hAnsi="Times New Roman" w:cs="Times New Roman"/>
          <w:sz w:val="28"/>
          <w:szCs w:val="28"/>
          <w:lang w:val="en-US"/>
        </w:rPr>
        <w:t>. The project will increase the installed capacity of the plant from 100 MW to 126 MW.</w:t>
      </w:r>
    </w:p>
    <w:p w:rsidR="0001275D" w:rsidRPr="009A7B0F" w:rsidRDefault="0001275D" w:rsidP="009A7B0F">
      <w:pPr>
        <w:spacing w:after="0"/>
        <w:ind w:right="-143" w:firstLine="709"/>
        <w:jc w:val="both"/>
        <w:rPr>
          <w:rFonts w:ascii="Times New Roman" w:hAnsi="Times New Roman" w:cs="Times New Roman"/>
          <w:sz w:val="28"/>
          <w:szCs w:val="28"/>
          <w:lang w:val="en-US"/>
        </w:rPr>
      </w:pPr>
    </w:p>
    <w:p w:rsidR="0001275D" w:rsidRPr="009A7B0F" w:rsidRDefault="0001275D" w:rsidP="009A7B0F">
      <w:pPr>
        <w:spacing w:after="0"/>
        <w:ind w:right="-143" w:firstLine="709"/>
        <w:jc w:val="both"/>
        <w:rPr>
          <w:rFonts w:ascii="Times New Roman" w:hAnsi="Times New Roman" w:cs="Times New Roman"/>
          <w:b/>
          <w:sz w:val="28"/>
          <w:szCs w:val="28"/>
          <w:u w:val="single"/>
          <w:lang w:val="en-US"/>
        </w:rPr>
      </w:pPr>
      <w:r w:rsidRPr="009A7B0F">
        <w:rPr>
          <w:rFonts w:ascii="Times New Roman" w:hAnsi="Times New Roman" w:cs="Times New Roman"/>
          <w:b/>
          <w:sz w:val="28"/>
          <w:szCs w:val="28"/>
          <w:u w:val="single"/>
          <w:lang w:val="en-US"/>
        </w:rPr>
        <w:t>Liquidity</w:t>
      </w:r>
    </w:p>
    <w:p w:rsidR="0001275D" w:rsidRPr="009A7B0F" w:rsidRDefault="0001275D" w:rsidP="009A7B0F">
      <w:pPr>
        <w:spacing w:after="0"/>
        <w:ind w:right="-143" w:firstLine="709"/>
        <w:jc w:val="both"/>
        <w:rPr>
          <w:rFonts w:ascii="Times New Roman" w:hAnsi="Times New Roman" w:cs="Times New Roman"/>
          <w:b/>
          <w:sz w:val="28"/>
          <w:szCs w:val="28"/>
          <w:u w:val="single"/>
          <w:lang w:val="en-US"/>
        </w:rPr>
      </w:pPr>
    </w:p>
    <w:tbl>
      <w:tblPr>
        <w:tblW w:w="9977" w:type="dxa"/>
        <w:tblInd w:w="98" w:type="dxa"/>
        <w:tblLook w:val="04A0" w:firstRow="1" w:lastRow="0" w:firstColumn="1" w:lastColumn="0" w:noHBand="0" w:noVBand="1"/>
      </w:tblPr>
      <w:tblGrid>
        <w:gridCol w:w="4264"/>
        <w:gridCol w:w="1241"/>
        <w:gridCol w:w="1525"/>
        <w:gridCol w:w="1551"/>
        <w:gridCol w:w="1396"/>
      </w:tblGrid>
      <w:tr w:rsidR="0001275D" w:rsidRPr="009A7B0F" w:rsidTr="00642A55">
        <w:trPr>
          <w:trHeight w:val="336"/>
        </w:trPr>
        <w:tc>
          <w:tcPr>
            <w:tcW w:w="42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75D" w:rsidRPr="009A7B0F" w:rsidRDefault="0001275D" w:rsidP="00470E50">
            <w:pPr>
              <w:ind w:right="-143" w:firstLine="44"/>
              <w:rPr>
                <w:rFonts w:ascii="Times New Roman" w:hAnsi="Times New Roman" w:cs="Times New Roman"/>
                <w:b/>
                <w:bCs/>
                <w:color w:val="000000"/>
                <w:sz w:val="28"/>
                <w:szCs w:val="28"/>
                <w:lang w:val="en-US" w:eastAsia="ru-RU"/>
              </w:rPr>
            </w:pPr>
            <w:r w:rsidRPr="009A7B0F">
              <w:rPr>
                <w:rFonts w:ascii="Times New Roman" w:hAnsi="Times New Roman" w:cs="Times New Roman"/>
                <w:b/>
                <w:bCs/>
                <w:color w:val="000000"/>
                <w:sz w:val="28"/>
                <w:szCs w:val="28"/>
                <w:lang w:val="en-US" w:eastAsia="ru-RU"/>
              </w:rPr>
              <w:t xml:space="preserve">Description </w:t>
            </w:r>
          </w:p>
        </w:tc>
        <w:tc>
          <w:tcPr>
            <w:tcW w:w="12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b/>
                <w:bCs/>
                <w:color w:val="FF0000"/>
                <w:sz w:val="28"/>
                <w:szCs w:val="28"/>
                <w:lang w:eastAsia="ru-RU"/>
              </w:rPr>
            </w:pPr>
            <w:r w:rsidRPr="009A7B0F">
              <w:rPr>
                <w:rFonts w:ascii="Times New Roman" w:hAnsi="Times New Roman" w:cs="Times New Roman"/>
                <w:b/>
                <w:bCs/>
                <w:sz w:val="28"/>
                <w:szCs w:val="28"/>
                <w:lang w:eastAsia="ru-RU"/>
              </w:rPr>
              <w:t>2014*</w:t>
            </w:r>
          </w:p>
        </w:tc>
        <w:tc>
          <w:tcPr>
            <w:tcW w:w="15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2015</w:t>
            </w:r>
          </w:p>
        </w:tc>
        <w:tc>
          <w:tcPr>
            <w:tcW w:w="1551" w:type="dxa"/>
            <w:tcBorders>
              <w:top w:val="single" w:sz="8" w:space="0" w:color="auto"/>
              <w:left w:val="nil"/>
              <w:bottom w:val="nil"/>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2016</w:t>
            </w:r>
          </w:p>
        </w:tc>
        <w:tc>
          <w:tcPr>
            <w:tcW w:w="1396" w:type="dxa"/>
            <w:tcBorders>
              <w:top w:val="single" w:sz="8" w:space="0" w:color="auto"/>
              <w:left w:val="nil"/>
              <w:bottom w:val="nil"/>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2017</w:t>
            </w:r>
          </w:p>
        </w:tc>
      </w:tr>
      <w:tr w:rsidR="0001275D" w:rsidRPr="009A7B0F" w:rsidTr="00642A55">
        <w:trPr>
          <w:trHeight w:val="353"/>
        </w:trPr>
        <w:tc>
          <w:tcPr>
            <w:tcW w:w="4264" w:type="dxa"/>
            <w:vMerge/>
            <w:tcBorders>
              <w:top w:val="single" w:sz="8" w:space="0" w:color="auto"/>
              <w:left w:val="single" w:sz="8" w:space="0" w:color="auto"/>
              <w:bottom w:val="single" w:sz="8" w:space="0" w:color="000000"/>
              <w:right w:val="single" w:sz="8" w:space="0" w:color="auto"/>
            </w:tcBorders>
            <w:vAlign w:val="center"/>
            <w:hideMark/>
          </w:tcPr>
          <w:p w:rsidR="0001275D" w:rsidRPr="009A7B0F" w:rsidRDefault="0001275D" w:rsidP="00470E50">
            <w:pPr>
              <w:ind w:right="-143" w:firstLine="44"/>
              <w:rPr>
                <w:rFonts w:ascii="Times New Roman" w:hAnsi="Times New Roman" w:cs="Times New Roman"/>
                <w:b/>
                <w:bCs/>
                <w:color w:val="000000"/>
                <w:sz w:val="28"/>
                <w:szCs w:val="28"/>
                <w:lang w:eastAsia="ru-RU"/>
              </w:rPr>
            </w:pPr>
          </w:p>
        </w:tc>
        <w:tc>
          <w:tcPr>
            <w:tcW w:w="1241" w:type="dxa"/>
            <w:vMerge/>
            <w:tcBorders>
              <w:top w:val="single" w:sz="8" w:space="0" w:color="auto"/>
              <w:left w:val="single" w:sz="8" w:space="0" w:color="auto"/>
              <w:bottom w:val="single" w:sz="8" w:space="0" w:color="000000"/>
              <w:right w:val="single" w:sz="8" w:space="0" w:color="auto"/>
            </w:tcBorders>
            <w:vAlign w:val="center"/>
            <w:hideMark/>
          </w:tcPr>
          <w:p w:rsidR="0001275D" w:rsidRPr="009A7B0F" w:rsidRDefault="0001275D" w:rsidP="00470E50">
            <w:pPr>
              <w:ind w:right="-143" w:firstLine="44"/>
              <w:rPr>
                <w:rFonts w:ascii="Times New Roman" w:hAnsi="Times New Roman" w:cs="Times New Roman"/>
                <w:b/>
                <w:bCs/>
                <w:color w:val="FF0000"/>
                <w:sz w:val="28"/>
                <w:szCs w:val="28"/>
                <w:lang w:eastAsia="ru-RU"/>
              </w:rPr>
            </w:pPr>
          </w:p>
        </w:tc>
        <w:tc>
          <w:tcPr>
            <w:tcW w:w="1525" w:type="dxa"/>
            <w:vMerge/>
            <w:tcBorders>
              <w:top w:val="single" w:sz="8" w:space="0" w:color="auto"/>
              <w:left w:val="single" w:sz="8" w:space="0" w:color="auto"/>
              <w:bottom w:val="single" w:sz="8" w:space="0" w:color="000000"/>
              <w:right w:val="single" w:sz="8" w:space="0" w:color="auto"/>
            </w:tcBorders>
            <w:vAlign w:val="center"/>
            <w:hideMark/>
          </w:tcPr>
          <w:p w:rsidR="0001275D" w:rsidRPr="009A7B0F" w:rsidRDefault="0001275D" w:rsidP="00470E50">
            <w:pPr>
              <w:ind w:right="-143" w:firstLine="44"/>
              <w:rPr>
                <w:rFonts w:ascii="Times New Roman" w:hAnsi="Times New Roman" w:cs="Times New Roman"/>
                <w:b/>
                <w:bCs/>
                <w:color w:val="000000"/>
                <w:sz w:val="28"/>
                <w:szCs w:val="28"/>
                <w:lang w:eastAsia="ru-RU"/>
              </w:rPr>
            </w:pPr>
          </w:p>
        </w:tc>
        <w:tc>
          <w:tcPr>
            <w:tcW w:w="1551"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plan</w:t>
            </w:r>
            <w:r w:rsidRPr="009A7B0F">
              <w:rPr>
                <w:rFonts w:ascii="Times New Roman" w:hAnsi="Times New Roman" w:cs="Times New Roman"/>
                <w:b/>
                <w:bCs/>
                <w:color w:val="000000"/>
                <w:sz w:val="28"/>
                <w:szCs w:val="28"/>
                <w:lang w:eastAsia="ru-RU"/>
              </w:rPr>
              <w:t>)</w:t>
            </w:r>
          </w:p>
        </w:tc>
        <w:tc>
          <w:tcPr>
            <w:tcW w:w="1396"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b/>
                <w:bCs/>
                <w:color w:val="000000"/>
                <w:sz w:val="28"/>
                <w:szCs w:val="28"/>
                <w:lang w:eastAsia="ru-RU"/>
              </w:rPr>
            </w:pPr>
            <w:r w:rsidRPr="009A7B0F">
              <w:rPr>
                <w:rFonts w:ascii="Times New Roman" w:hAnsi="Times New Roman" w:cs="Times New Roman"/>
                <w:b/>
                <w:bCs/>
                <w:color w:val="000000"/>
                <w:sz w:val="28"/>
                <w:szCs w:val="28"/>
                <w:lang w:eastAsia="ru-RU"/>
              </w:rPr>
              <w:t>(</w:t>
            </w:r>
            <w:r w:rsidRPr="009A7B0F">
              <w:rPr>
                <w:rFonts w:ascii="Times New Roman" w:hAnsi="Times New Roman" w:cs="Times New Roman"/>
                <w:b/>
                <w:bCs/>
                <w:color w:val="000000"/>
                <w:sz w:val="28"/>
                <w:szCs w:val="28"/>
                <w:lang w:val="en-US" w:eastAsia="ru-RU"/>
              </w:rPr>
              <w:t>plan</w:t>
            </w:r>
            <w:r w:rsidRPr="009A7B0F">
              <w:rPr>
                <w:rFonts w:ascii="Times New Roman" w:hAnsi="Times New Roman" w:cs="Times New Roman"/>
                <w:b/>
                <w:bCs/>
                <w:color w:val="000000"/>
                <w:sz w:val="28"/>
                <w:szCs w:val="28"/>
                <w:lang w:eastAsia="ru-RU"/>
              </w:rPr>
              <w:t>)</w:t>
            </w:r>
          </w:p>
        </w:tc>
      </w:tr>
      <w:tr w:rsidR="0001275D" w:rsidRPr="009A7B0F" w:rsidTr="00642A55">
        <w:trPr>
          <w:trHeight w:val="605"/>
        </w:trPr>
        <w:tc>
          <w:tcPr>
            <w:tcW w:w="4264" w:type="dxa"/>
            <w:tcBorders>
              <w:top w:val="nil"/>
              <w:left w:val="single" w:sz="8" w:space="0" w:color="auto"/>
              <w:bottom w:val="single" w:sz="8" w:space="0" w:color="auto"/>
              <w:right w:val="single" w:sz="8" w:space="0" w:color="auto"/>
            </w:tcBorders>
            <w:shd w:val="clear" w:color="auto" w:fill="auto"/>
            <w:vAlign w:val="center"/>
            <w:hideMark/>
          </w:tcPr>
          <w:p w:rsidR="0001275D" w:rsidRPr="009A7B0F" w:rsidRDefault="0001275D" w:rsidP="00470E50">
            <w:pPr>
              <w:ind w:right="-143" w:firstLine="44"/>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val="en-US" w:eastAsia="ru-RU"/>
              </w:rPr>
              <w:t>Debt</w:t>
            </w:r>
            <w:r w:rsidRPr="009A7B0F">
              <w:rPr>
                <w:rFonts w:ascii="Times New Roman" w:hAnsi="Times New Roman" w:cs="Times New Roman"/>
                <w:color w:val="000000"/>
                <w:sz w:val="28"/>
                <w:szCs w:val="28"/>
                <w:lang w:eastAsia="ru-RU"/>
              </w:rPr>
              <w:t>/EBITDA</w:t>
            </w:r>
          </w:p>
        </w:tc>
        <w:tc>
          <w:tcPr>
            <w:tcW w:w="1241"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4,25</w:t>
            </w:r>
          </w:p>
        </w:tc>
        <w:tc>
          <w:tcPr>
            <w:tcW w:w="1525"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4,84</w:t>
            </w:r>
          </w:p>
        </w:tc>
        <w:tc>
          <w:tcPr>
            <w:tcW w:w="1551"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5,3</w:t>
            </w:r>
          </w:p>
        </w:tc>
        <w:tc>
          <w:tcPr>
            <w:tcW w:w="1396"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3,59</w:t>
            </w:r>
          </w:p>
        </w:tc>
      </w:tr>
      <w:tr w:rsidR="0001275D" w:rsidRPr="009A7B0F" w:rsidTr="00642A55">
        <w:trPr>
          <w:trHeight w:val="622"/>
        </w:trPr>
        <w:tc>
          <w:tcPr>
            <w:tcW w:w="4264" w:type="dxa"/>
            <w:tcBorders>
              <w:top w:val="nil"/>
              <w:left w:val="single" w:sz="8" w:space="0" w:color="auto"/>
              <w:bottom w:val="single" w:sz="8" w:space="0" w:color="auto"/>
              <w:right w:val="single" w:sz="8" w:space="0" w:color="auto"/>
            </w:tcBorders>
            <w:shd w:val="clear" w:color="auto" w:fill="auto"/>
            <w:vAlign w:val="center"/>
            <w:hideMark/>
          </w:tcPr>
          <w:p w:rsidR="0001275D" w:rsidRPr="009A7B0F" w:rsidRDefault="0001275D"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Debt/equity</w:t>
            </w:r>
          </w:p>
        </w:tc>
        <w:tc>
          <w:tcPr>
            <w:tcW w:w="1241"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1,08</w:t>
            </w:r>
          </w:p>
        </w:tc>
        <w:tc>
          <w:tcPr>
            <w:tcW w:w="1525"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0,85</w:t>
            </w:r>
          </w:p>
        </w:tc>
        <w:tc>
          <w:tcPr>
            <w:tcW w:w="1551"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0,94</w:t>
            </w:r>
          </w:p>
        </w:tc>
        <w:tc>
          <w:tcPr>
            <w:tcW w:w="1396"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0,38</w:t>
            </w:r>
          </w:p>
        </w:tc>
      </w:tr>
      <w:tr w:rsidR="0001275D" w:rsidRPr="009A7B0F" w:rsidTr="00642A55">
        <w:trPr>
          <w:trHeight w:val="672"/>
        </w:trPr>
        <w:tc>
          <w:tcPr>
            <w:tcW w:w="4264" w:type="dxa"/>
            <w:tcBorders>
              <w:top w:val="nil"/>
              <w:left w:val="single" w:sz="8" w:space="0" w:color="auto"/>
              <w:bottom w:val="single" w:sz="8" w:space="0" w:color="auto"/>
              <w:right w:val="single" w:sz="8" w:space="0" w:color="auto"/>
            </w:tcBorders>
            <w:shd w:val="clear" w:color="auto" w:fill="auto"/>
            <w:vAlign w:val="center"/>
            <w:hideMark/>
          </w:tcPr>
          <w:p w:rsidR="0001275D" w:rsidRPr="009A7B0F" w:rsidRDefault="0001275D" w:rsidP="00470E50">
            <w:pPr>
              <w:ind w:right="-143" w:firstLine="44"/>
              <w:rPr>
                <w:rFonts w:ascii="Times New Roman" w:hAnsi="Times New Roman" w:cs="Times New Roman"/>
                <w:color w:val="000000"/>
                <w:sz w:val="28"/>
                <w:szCs w:val="28"/>
                <w:lang w:val="en-US" w:eastAsia="ru-RU"/>
              </w:rPr>
            </w:pPr>
            <w:r w:rsidRPr="009A7B0F">
              <w:rPr>
                <w:rFonts w:ascii="Times New Roman" w:hAnsi="Times New Roman" w:cs="Times New Roman"/>
                <w:color w:val="000000"/>
                <w:sz w:val="28"/>
                <w:szCs w:val="28"/>
                <w:lang w:val="en-US" w:eastAsia="ru-RU"/>
              </w:rPr>
              <w:t xml:space="preserve">Current liquidity </w:t>
            </w:r>
          </w:p>
        </w:tc>
        <w:tc>
          <w:tcPr>
            <w:tcW w:w="1241"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1,4</w:t>
            </w:r>
          </w:p>
        </w:tc>
        <w:tc>
          <w:tcPr>
            <w:tcW w:w="1525"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1,01</w:t>
            </w:r>
          </w:p>
        </w:tc>
        <w:tc>
          <w:tcPr>
            <w:tcW w:w="1551"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0,9</w:t>
            </w:r>
          </w:p>
        </w:tc>
        <w:tc>
          <w:tcPr>
            <w:tcW w:w="1396" w:type="dxa"/>
            <w:tcBorders>
              <w:top w:val="nil"/>
              <w:left w:val="nil"/>
              <w:bottom w:val="single" w:sz="8" w:space="0" w:color="auto"/>
              <w:right w:val="single" w:sz="8" w:space="0" w:color="auto"/>
            </w:tcBorders>
            <w:shd w:val="clear" w:color="auto" w:fill="auto"/>
            <w:vAlign w:val="center"/>
            <w:hideMark/>
          </w:tcPr>
          <w:p w:rsidR="0001275D" w:rsidRPr="009A7B0F" w:rsidRDefault="0001275D" w:rsidP="00470E50">
            <w:pPr>
              <w:ind w:right="-143" w:firstLine="44"/>
              <w:jc w:val="center"/>
              <w:rPr>
                <w:rFonts w:ascii="Times New Roman" w:hAnsi="Times New Roman" w:cs="Times New Roman"/>
                <w:color w:val="000000"/>
                <w:sz w:val="28"/>
                <w:szCs w:val="28"/>
                <w:lang w:eastAsia="ru-RU"/>
              </w:rPr>
            </w:pPr>
            <w:r w:rsidRPr="009A7B0F">
              <w:rPr>
                <w:rFonts w:ascii="Times New Roman" w:hAnsi="Times New Roman" w:cs="Times New Roman"/>
                <w:color w:val="000000"/>
                <w:sz w:val="28"/>
                <w:szCs w:val="28"/>
                <w:lang w:eastAsia="ru-RU"/>
              </w:rPr>
              <w:t>2,04</w:t>
            </w:r>
          </w:p>
        </w:tc>
      </w:tr>
    </w:tbl>
    <w:p w:rsidR="004D55FB" w:rsidRPr="009A7B0F" w:rsidRDefault="004D55FB" w:rsidP="009A7B0F">
      <w:pPr>
        <w:spacing w:after="0"/>
        <w:ind w:right="-143" w:firstLine="709"/>
        <w:jc w:val="both"/>
        <w:rPr>
          <w:rFonts w:ascii="Times New Roman" w:hAnsi="Times New Roman" w:cs="Times New Roman"/>
          <w:sz w:val="28"/>
          <w:szCs w:val="28"/>
          <w:lang w:val="en-US"/>
        </w:rPr>
      </w:pPr>
    </w:p>
    <w:p w:rsidR="004D55FB" w:rsidRPr="009A7B0F" w:rsidRDefault="004D55FB"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In general, chang</w:t>
      </w:r>
      <w:r w:rsidR="00CC331B" w:rsidRPr="009A7B0F">
        <w:rPr>
          <w:rFonts w:ascii="Times New Roman" w:hAnsi="Times New Roman" w:cs="Times New Roman"/>
          <w:sz w:val="28"/>
          <w:szCs w:val="28"/>
          <w:lang w:val="en-US"/>
        </w:rPr>
        <w:t>ing</w:t>
      </w:r>
      <w:r w:rsidRPr="009A7B0F">
        <w:rPr>
          <w:rFonts w:ascii="Times New Roman" w:hAnsi="Times New Roman" w:cs="Times New Roman"/>
          <w:sz w:val="28"/>
          <w:szCs w:val="28"/>
          <w:lang w:val="en-US"/>
        </w:rPr>
        <w:t xml:space="preserve"> of key financial and </w:t>
      </w:r>
      <w:r w:rsidR="00CC331B" w:rsidRPr="009A7B0F">
        <w:rPr>
          <w:rFonts w:ascii="Times New Roman" w:hAnsi="Times New Roman" w:cs="Times New Roman"/>
          <w:sz w:val="28"/>
          <w:szCs w:val="28"/>
          <w:lang w:val="en-US"/>
        </w:rPr>
        <w:t>operating results</w:t>
      </w:r>
      <w:r w:rsidRPr="009A7B0F">
        <w:rPr>
          <w:rFonts w:ascii="Times New Roman" w:hAnsi="Times New Roman" w:cs="Times New Roman"/>
          <w:sz w:val="28"/>
          <w:szCs w:val="28"/>
          <w:lang w:val="en-US"/>
        </w:rPr>
        <w:t xml:space="preserve"> affect</w:t>
      </w:r>
      <w:r w:rsidR="00CC331B" w:rsidRPr="009A7B0F">
        <w:rPr>
          <w:rFonts w:ascii="Times New Roman" w:hAnsi="Times New Roman" w:cs="Times New Roman"/>
          <w:sz w:val="28"/>
          <w:szCs w:val="28"/>
          <w:lang w:val="en-US"/>
        </w:rPr>
        <w:t>ed</w:t>
      </w:r>
      <w:r w:rsidRPr="009A7B0F">
        <w:rPr>
          <w:rFonts w:ascii="Times New Roman" w:hAnsi="Times New Roman" w:cs="Times New Roman"/>
          <w:sz w:val="28"/>
          <w:szCs w:val="28"/>
          <w:lang w:val="en-US"/>
        </w:rPr>
        <w:t xml:space="preserve"> the liquidity and financial stability. Deb</w:t>
      </w:r>
      <w:r w:rsidR="00CC331B" w:rsidRPr="009A7B0F">
        <w:rPr>
          <w:rFonts w:ascii="Times New Roman" w:hAnsi="Times New Roman" w:cs="Times New Roman"/>
          <w:sz w:val="28"/>
          <w:szCs w:val="28"/>
          <w:lang w:val="en-US"/>
        </w:rPr>
        <w:t>t / EBITDA ratio for 2015 was 4</w:t>
      </w:r>
      <w:proofErr w:type="gramStart"/>
      <w:r w:rsidR="00CC331B"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84</w:t>
      </w:r>
      <w:proofErr w:type="gramEnd"/>
      <w:r w:rsidRPr="009A7B0F">
        <w:rPr>
          <w:rFonts w:ascii="Times New Roman" w:hAnsi="Times New Roman" w:cs="Times New Roman"/>
          <w:sz w:val="28"/>
          <w:szCs w:val="28"/>
          <w:lang w:val="en-US"/>
        </w:rPr>
        <w:t>,</w:t>
      </w:r>
      <w:r w:rsidR="00CC331B"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 that is, within </w:t>
      </w:r>
      <w:r w:rsidR="00CC331B" w:rsidRPr="009A7B0F">
        <w:rPr>
          <w:rFonts w:ascii="Times New Roman" w:hAnsi="Times New Roman" w:cs="Times New Roman"/>
          <w:sz w:val="28"/>
          <w:szCs w:val="28"/>
          <w:lang w:val="en-US"/>
        </w:rPr>
        <w:t>the</w:t>
      </w:r>
      <w:r w:rsidRPr="009A7B0F">
        <w:rPr>
          <w:rFonts w:ascii="Times New Roman" w:hAnsi="Times New Roman" w:cs="Times New Roman"/>
          <w:sz w:val="28"/>
          <w:szCs w:val="28"/>
          <w:lang w:val="en-US"/>
        </w:rPr>
        <w:t xml:space="preserve"> </w:t>
      </w:r>
      <w:r w:rsidR="00CC331B" w:rsidRPr="009A7B0F">
        <w:rPr>
          <w:rFonts w:ascii="Times New Roman" w:hAnsi="Times New Roman" w:cs="Times New Roman"/>
          <w:sz w:val="28"/>
          <w:szCs w:val="28"/>
          <w:lang w:val="en-US"/>
        </w:rPr>
        <w:t>c</w:t>
      </w:r>
      <w:r w:rsidRPr="009A7B0F">
        <w:rPr>
          <w:rFonts w:ascii="Times New Roman" w:hAnsi="Times New Roman" w:cs="Times New Roman"/>
          <w:sz w:val="28"/>
          <w:szCs w:val="28"/>
          <w:lang w:val="en-US"/>
        </w:rPr>
        <w:t>ovenant established by the Fund</w:t>
      </w:r>
      <w:r w:rsidR="00CC331B" w:rsidRPr="009A7B0F">
        <w:rPr>
          <w:rFonts w:ascii="Times New Roman" w:hAnsi="Times New Roman" w:cs="Times New Roman"/>
          <w:sz w:val="28"/>
          <w:szCs w:val="28"/>
          <w:lang w:val="en-US"/>
        </w:rPr>
        <w:t>, which is 5,</w:t>
      </w:r>
      <w:r w:rsidRPr="009A7B0F">
        <w:rPr>
          <w:rFonts w:ascii="Times New Roman" w:hAnsi="Times New Roman" w:cs="Times New Roman"/>
          <w:sz w:val="28"/>
          <w:szCs w:val="28"/>
          <w:lang w:val="en-US"/>
        </w:rPr>
        <w:t>0.</w:t>
      </w:r>
    </w:p>
    <w:p w:rsidR="004D55FB" w:rsidRPr="009A7B0F" w:rsidRDefault="004D55FB"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Within the</w:t>
      </w:r>
      <w:r w:rsidR="00CC331B" w:rsidRPr="009A7B0F">
        <w:rPr>
          <w:rFonts w:ascii="Times New Roman" w:hAnsi="Times New Roman" w:cs="Times New Roman"/>
          <w:sz w:val="28"/>
          <w:szCs w:val="28"/>
          <w:lang w:val="en-US"/>
        </w:rPr>
        <w:t xml:space="preserve"> activities aimed at</w:t>
      </w:r>
      <w:r w:rsidRPr="009A7B0F">
        <w:rPr>
          <w:rFonts w:ascii="Times New Roman" w:hAnsi="Times New Roman" w:cs="Times New Roman"/>
          <w:sz w:val="28"/>
          <w:szCs w:val="28"/>
          <w:lang w:val="en-US"/>
        </w:rPr>
        <w:t xml:space="preserve"> compliance with </w:t>
      </w:r>
      <w:r w:rsidR="00CC331B" w:rsidRPr="009A7B0F">
        <w:rPr>
          <w:rFonts w:ascii="Times New Roman" w:hAnsi="Times New Roman" w:cs="Times New Roman"/>
          <w:sz w:val="28"/>
          <w:szCs w:val="28"/>
          <w:lang w:val="en-US"/>
        </w:rPr>
        <w:t>t</w:t>
      </w:r>
      <w:r w:rsidRPr="009A7B0F">
        <w:rPr>
          <w:rFonts w:ascii="Times New Roman" w:hAnsi="Times New Roman" w:cs="Times New Roman"/>
          <w:sz w:val="28"/>
          <w:szCs w:val="28"/>
          <w:lang w:val="en-US"/>
        </w:rPr>
        <w:t>he Company</w:t>
      </w:r>
      <w:r w:rsidR="00CC331B" w:rsidRPr="009A7B0F">
        <w:rPr>
          <w:rFonts w:ascii="Times New Roman" w:hAnsi="Times New Roman" w:cs="Times New Roman"/>
          <w:sz w:val="28"/>
          <w:szCs w:val="28"/>
          <w:lang w:val="en-US"/>
        </w:rPr>
        <w:t>’s covenants</w:t>
      </w:r>
      <w:r w:rsidRPr="009A7B0F">
        <w:rPr>
          <w:rFonts w:ascii="Times New Roman" w:hAnsi="Times New Roman" w:cs="Times New Roman"/>
          <w:sz w:val="28"/>
          <w:szCs w:val="28"/>
          <w:lang w:val="en-US"/>
        </w:rPr>
        <w:t xml:space="preserve">, in 2015 the Company conducted a </w:t>
      </w:r>
      <w:r w:rsidR="00CC331B" w:rsidRPr="009A7B0F">
        <w:rPr>
          <w:rFonts w:ascii="Times New Roman" w:hAnsi="Times New Roman" w:cs="Times New Roman"/>
          <w:sz w:val="28"/>
          <w:szCs w:val="28"/>
          <w:lang w:val="en-US"/>
        </w:rPr>
        <w:t>number of negotiations</w:t>
      </w:r>
      <w:r w:rsidRPr="009A7B0F">
        <w:rPr>
          <w:rFonts w:ascii="Times New Roman" w:hAnsi="Times New Roman" w:cs="Times New Roman"/>
          <w:sz w:val="28"/>
          <w:szCs w:val="28"/>
          <w:lang w:val="en-US"/>
        </w:rPr>
        <w:t xml:space="preserve"> with the European Bank</w:t>
      </w:r>
      <w:r w:rsidR="00CC331B" w:rsidRPr="009A7B0F">
        <w:rPr>
          <w:rFonts w:ascii="Times New Roman" w:hAnsi="Times New Roman" w:cs="Times New Roman"/>
          <w:sz w:val="28"/>
          <w:szCs w:val="28"/>
          <w:lang w:val="en-US"/>
        </w:rPr>
        <w:t xml:space="preserve"> for Reconstruction and Development</w:t>
      </w:r>
      <w:r w:rsidRPr="009A7B0F">
        <w:rPr>
          <w:rFonts w:ascii="Times New Roman" w:hAnsi="Times New Roman" w:cs="Times New Roman"/>
          <w:sz w:val="28"/>
          <w:szCs w:val="28"/>
          <w:lang w:val="en-US"/>
        </w:rPr>
        <w:t xml:space="preserve"> </w:t>
      </w:r>
      <w:r w:rsidR="002A5935" w:rsidRPr="009A7B0F">
        <w:rPr>
          <w:rFonts w:ascii="Times New Roman" w:hAnsi="Times New Roman" w:cs="Times New Roman"/>
          <w:sz w:val="28"/>
          <w:szCs w:val="28"/>
          <w:lang w:val="en-US"/>
        </w:rPr>
        <w:t xml:space="preserve">on </w:t>
      </w:r>
      <w:r w:rsidRPr="009A7B0F">
        <w:rPr>
          <w:rFonts w:ascii="Times New Roman" w:hAnsi="Times New Roman" w:cs="Times New Roman"/>
          <w:sz w:val="28"/>
          <w:szCs w:val="28"/>
          <w:lang w:val="en-US"/>
        </w:rPr>
        <w:t>discuss</w:t>
      </w:r>
      <w:r w:rsidR="00720ABD">
        <w:rPr>
          <w:rFonts w:ascii="Times New Roman" w:hAnsi="Times New Roman" w:cs="Times New Roman"/>
          <w:sz w:val="28"/>
          <w:szCs w:val="28"/>
          <w:lang w:val="en-US"/>
        </w:rPr>
        <w:t>ing</w:t>
      </w:r>
      <w:r w:rsidR="002A5935" w:rsidRPr="009A7B0F">
        <w:rPr>
          <w:rFonts w:ascii="Times New Roman" w:hAnsi="Times New Roman" w:cs="Times New Roman"/>
          <w:sz w:val="28"/>
          <w:szCs w:val="28"/>
          <w:lang w:val="en-US"/>
        </w:rPr>
        <w:t xml:space="preserve"> the possibility of granting </w:t>
      </w:r>
      <w:r w:rsidRPr="009A7B0F">
        <w:rPr>
          <w:rFonts w:ascii="Times New Roman" w:hAnsi="Times New Roman" w:cs="Times New Roman"/>
          <w:sz w:val="28"/>
          <w:szCs w:val="28"/>
          <w:lang w:val="en-US"/>
        </w:rPr>
        <w:t>a letter of</w:t>
      </w:r>
      <w:r w:rsidR="002A5935" w:rsidRPr="009A7B0F">
        <w:rPr>
          <w:rFonts w:ascii="Times New Roman" w:hAnsi="Times New Roman" w:cs="Times New Roman"/>
          <w:sz w:val="28"/>
          <w:szCs w:val="28"/>
          <w:lang w:val="en-US"/>
        </w:rPr>
        <w:t xml:space="preserve"> consent</w:t>
      </w:r>
      <w:r w:rsidRPr="009A7B0F">
        <w:rPr>
          <w:rFonts w:ascii="Times New Roman" w:hAnsi="Times New Roman" w:cs="Times New Roman"/>
          <w:sz w:val="28"/>
          <w:szCs w:val="28"/>
          <w:lang w:val="en-US"/>
        </w:rPr>
        <w:t xml:space="preserve"> (Waiver) </w:t>
      </w:r>
      <w:r w:rsidR="002A5935" w:rsidRPr="009A7B0F">
        <w:rPr>
          <w:rFonts w:ascii="Times New Roman" w:hAnsi="Times New Roman" w:cs="Times New Roman"/>
          <w:sz w:val="28"/>
          <w:szCs w:val="28"/>
          <w:lang w:val="en-US"/>
        </w:rPr>
        <w:t>on Debt / EBITDA covenant.</w:t>
      </w:r>
      <w:r w:rsidRPr="009A7B0F">
        <w:rPr>
          <w:rFonts w:ascii="Times New Roman" w:hAnsi="Times New Roman" w:cs="Times New Roman"/>
          <w:sz w:val="28"/>
          <w:szCs w:val="28"/>
          <w:lang w:val="en-US"/>
        </w:rPr>
        <w:t xml:space="preserve"> According to the results </w:t>
      </w:r>
      <w:r w:rsidR="002A5935" w:rsidRPr="009A7B0F">
        <w:rPr>
          <w:rFonts w:ascii="Times New Roman" w:hAnsi="Times New Roman" w:cs="Times New Roman"/>
          <w:sz w:val="28"/>
          <w:szCs w:val="28"/>
          <w:lang w:val="en-US"/>
        </w:rPr>
        <w:t>of performed</w:t>
      </w:r>
      <w:r w:rsidRPr="009A7B0F">
        <w:rPr>
          <w:rFonts w:ascii="Times New Roman" w:hAnsi="Times New Roman" w:cs="Times New Roman"/>
          <w:sz w:val="28"/>
          <w:szCs w:val="28"/>
          <w:lang w:val="en-US"/>
        </w:rPr>
        <w:t xml:space="preserve"> work</w:t>
      </w:r>
      <w:r w:rsidR="002A5935"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the Company received a letter of consent </w:t>
      </w:r>
      <w:r w:rsidR="002A5935" w:rsidRPr="009A7B0F">
        <w:rPr>
          <w:rFonts w:ascii="Times New Roman" w:hAnsi="Times New Roman" w:cs="Times New Roman"/>
          <w:sz w:val="28"/>
          <w:szCs w:val="28"/>
          <w:lang w:val="en-US"/>
        </w:rPr>
        <w:t>on</w:t>
      </w:r>
      <w:r w:rsidRPr="009A7B0F">
        <w:rPr>
          <w:rFonts w:ascii="Times New Roman" w:hAnsi="Times New Roman" w:cs="Times New Roman"/>
          <w:sz w:val="28"/>
          <w:szCs w:val="28"/>
          <w:lang w:val="en-US"/>
        </w:rPr>
        <w:t xml:space="preserve"> </w:t>
      </w:r>
      <w:r w:rsidR="002A5935" w:rsidRPr="009A7B0F">
        <w:rPr>
          <w:rFonts w:ascii="Times New Roman" w:hAnsi="Times New Roman" w:cs="Times New Roman"/>
          <w:sz w:val="28"/>
          <w:szCs w:val="28"/>
          <w:lang w:val="en-US"/>
        </w:rPr>
        <w:t>increasing the debt</w:t>
      </w:r>
      <w:r w:rsidRPr="009A7B0F">
        <w:rPr>
          <w:rFonts w:ascii="Times New Roman" w:hAnsi="Times New Roman" w:cs="Times New Roman"/>
          <w:sz w:val="28"/>
          <w:szCs w:val="28"/>
          <w:lang w:val="en-US"/>
        </w:rPr>
        <w:t xml:space="preserve"> / EBITDA</w:t>
      </w:r>
      <w:r w:rsidR="002A5935" w:rsidRPr="009A7B0F">
        <w:rPr>
          <w:rFonts w:ascii="Times New Roman" w:hAnsi="Times New Roman" w:cs="Times New Roman"/>
          <w:sz w:val="28"/>
          <w:szCs w:val="28"/>
          <w:lang w:val="en-US"/>
        </w:rPr>
        <w:t xml:space="preserve"> ration from</w:t>
      </w:r>
      <w:r w:rsidRPr="009A7B0F">
        <w:rPr>
          <w:rFonts w:ascii="Times New Roman" w:hAnsi="Times New Roman" w:cs="Times New Roman"/>
          <w:sz w:val="28"/>
          <w:szCs w:val="28"/>
          <w:lang w:val="en-US"/>
        </w:rPr>
        <w:t xml:space="preserve"> 4</w:t>
      </w:r>
      <w:proofErr w:type="gramStart"/>
      <w:r w:rsidRPr="009A7B0F">
        <w:rPr>
          <w:rFonts w:ascii="Times New Roman" w:hAnsi="Times New Roman" w:cs="Times New Roman"/>
          <w:sz w:val="28"/>
          <w:szCs w:val="28"/>
          <w:lang w:val="en-US"/>
        </w:rPr>
        <w:t>,5</w:t>
      </w:r>
      <w:proofErr w:type="gramEnd"/>
      <w:r w:rsidRPr="009A7B0F">
        <w:rPr>
          <w:rFonts w:ascii="Times New Roman" w:hAnsi="Times New Roman" w:cs="Times New Roman"/>
          <w:sz w:val="28"/>
          <w:szCs w:val="28"/>
          <w:lang w:val="en-US"/>
        </w:rPr>
        <w:t xml:space="preserve"> </w:t>
      </w:r>
      <w:r w:rsidR="002A5935" w:rsidRPr="009A7B0F">
        <w:rPr>
          <w:rFonts w:ascii="Times New Roman" w:hAnsi="Times New Roman" w:cs="Times New Roman"/>
          <w:sz w:val="28"/>
          <w:szCs w:val="28"/>
          <w:lang w:val="en-US"/>
        </w:rPr>
        <w:t>to</w:t>
      </w:r>
      <w:r w:rsidRPr="009A7B0F">
        <w:rPr>
          <w:rFonts w:ascii="Times New Roman" w:hAnsi="Times New Roman" w:cs="Times New Roman"/>
          <w:sz w:val="28"/>
          <w:szCs w:val="28"/>
          <w:lang w:val="en-US"/>
        </w:rPr>
        <w:t xml:space="preserve"> 5 for 2015</w:t>
      </w:r>
      <w:r w:rsidR="002A5935" w:rsidRPr="009A7B0F">
        <w:rPr>
          <w:rFonts w:ascii="Times New Roman" w:hAnsi="Times New Roman" w:cs="Times New Roman"/>
          <w:sz w:val="28"/>
          <w:szCs w:val="28"/>
          <w:lang w:val="en-US"/>
        </w:rPr>
        <w:t xml:space="preserve"> on September 17, 2015. </w:t>
      </w:r>
    </w:p>
    <w:p w:rsidR="004D55FB" w:rsidRPr="009A7B0F" w:rsidRDefault="004D55FB"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In order to ensure financial stability and compliance with the covenants of the Company in an unstable economic situation and high volatility of financial market,</w:t>
      </w:r>
      <w:r w:rsidR="00720ABD">
        <w:rPr>
          <w:rFonts w:ascii="Times New Roman" w:hAnsi="Times New Roman" w:cs="Times New Roman"/>
          <w:sz w:val="28"/>
          <w:szCs w:val="28"/>
          <w:lang w:val="en-US"/>
        </w:rPr>
        <w:t xml:space="preserve"> </w:t>
      </w:r>
      <w:r w:rsidR="004F6497" w:rsidRPr="009A7B0F">
        <w:rPr>
          <w:rFonts w:ascii="Times New Roman" w:hAnsi="Times New Roman" w:cs="Times New Roman"/>
          <w:sz w:val="28"/>
          <w:szCs w:val="28"/>
          <w:lang w:val="en-US"/>
        </w:rPr>
        <w:t>t</w:t>
      </w:r>
      <w:r w:rsidRPr="009A7B0F">
        <w:rPr>
          <w:rFonts w:ascii="Times New Roman" w:hAnsi="Times New Roman" w:cs="Times New Roman"/>
          <w:sz w:val="28"/>
          <w:szCs w:val="28"/>
          <w:lang w:val="en-US"/>
        </w:rPr>
        <w:t xml:space="preserve">he Company carried out strict monitoring of </w:t>
      </w:r>
      <w:r w:rsidR="004F6497" w:rsidRPr="009A7B0F">
        <w:rPr>
          <w:rFonts w:ascii="Times New Roman" w:hAnsi="Times New Roman" w:cs="Times New Roman"/>
          <w:sz w:val="28"/>
          <w:szCs w:val="28"/>
          <w:lang w:val="en-US"/>
        </w:rPr>
        <w:t>attracting funding across the</w:t>
      </w:r>
      <w:r w:rsidRPr="009A7B0F">
        <w:rPr>
          <w:rFonts w:ascii="Times New Roman" w:hAnsi="Times New Roman" w:cs="Times New Roman"/>
          <w:sz w:val="28"/>
          <w:szCs w:val="28"/>
          <w:lang w:val="en-US"/>
        </w:rPr>
        <w:t xml:space="preserve"> group</w:t>
      </w:r>
      <w:r w:rsidR="004F6497" w:rsidRPr="009A7B0F">
        <w:rPr>
          <w:rFonts w:ascii="Times New Roman" w:hAnsi="Times New Roman" w:cs="Times New Roman"/>
          <w:sz w:val="28"/>
          <w:szCs w:val="28"/>
          <w:lang w:val="en-US"/>
        </w:rPr>
        <w:t xml:space="preserve"> during 2015. The efforts undertaken by the</w:t>
      </w:r>
      <w:r w:rsidRPr="009A7B0F">
        <w:rPr>
          <w:rFonts w:ascii="Times New Roman" w:hAnsi="Times New Roman" w:cs="Times New Roman"/>
          <w:sz w:val="28"/>
          <w:szCs w:val="28"/>
          <w:lang w:val="en-US"/>
        </w:rPr>
        <w:t xml:space="preserve"> Company ensure</w:t>
      </w:r>
      <w:r w:rsidR="004F6497" w:rsidRPr="009A7B0F">
        <w:rPr>
          <w:rFonts w:ascii="Times New Roman" w:hAnsi="Times New Roman" w:cs="Times New Roman"/>
          <w:sz w:val="28"/>
          <w:szCs w:val="28"/>
          <w:lang w:val="en-US"/>
        </w:rPr>
        <w:t>d</w:t>
      </w:r>
      <w:r w:rsidRPr="009A7B0F">
        <w:rPr>
          <w:rFonts w:ascii="Times New Roman" w:hAnsi="Times New Roman" w:cs="Times New Roman"/>
          <w:sz w:val="28"/>
          <w:szCs w:val="28"/>
          <w:lang w:val="en-US"/>
        </w:rPr>
        <w:t xml:space="preserve"> compliance with financial </w:t>
      </w:r>
      <w:r w:rsidR="004F6497" w:rsidRPr="009A7B0F">
        <w:rPr>
          <w:rFonts w:ascii="Times New Roman" w:hAnsi="Times New Roman" w:cs="Times New Roman"/>
          <w:sz w:val="28"/>
          <w:szCs w:val="28"/>
          <w:lang w:val="en-US"/>
        </w:rPr>
        <w:t>covenants,</w:t>
      </w:r>
      <w:r w:rsidRPr="009A7B0F">
        <w:rPr>
          <w:rFonts w:ascii="Times New Roman" w:hAnsi="Times New Roman" w:cs="Times New Roman"/>
          <w:sz w:val="28"/>
          <w:szCs w:val="28"/>
          <w:lang w:val="en-US"/>
        </w:rPr>
        <w:t xml:space="preserve"> reduc</w:t>
      </w:r>
      <w:r w:rsidR="004F6497" w:rsidRPr="009A7B0F">
        <w:rPr>
          <w:rFonts w:ascii="Times New Roman" w:hAnsi="Times New Roman" w:cs="Times New Roman"/>
          <w:sz w:val="28"/>
          <w:szCs w:val="28"/>
          <w:lang w:val="en-US"/>
        </w:rPr>
        <w:t>tion of</w:t>
      </w:r>
      <w:r w:rsidRPr="009A7B0F">
        <w:rPr>
          <w:rFonts w:ascii="Times New Roman" w:hAnsi="Times New Roman" w:cs="Times New Roman"/>
          <w:sz w:val="28"/>
          <w:szCs w:val="28"/>
          <w:lang w:val="en-US"/>
        </w:rPr>
        <w:t xml:space="preserve"> debt and improve</w:t>
      </w:r>
      <w:r w:rsidR="004F6497" w:rsidRPr="009A7B0F">
        <w:rPr>
          <w:rFonts w:ascii="Times New Roman" w:hAnsi="Times New Roman" w:cs="Times New Roman"/>
          <w:sz w:val="28"/>
          <w:szCs w:val="28"/>
          <w:lang w:val="en-US"/>
        </w:rPr>
        <w:t>ment of</w:t>
      </w:r>
      <w:r w:rsidRPr="009A7B0F">
        <w:rPr>
          <w:rFonts w:ascii="Times New Roman" w:hAnsi="Times New Roman" w:cs="Times New Roman"/>
          <w:sz w:val="28"/>
          <w:szCs w:val="28"/>
          <w:lang w:val="en-US"/>
        </w:rPr>
        <w:t xml:space="preserve"> financial stability.</w:t>
      </w:r>
    </w:p>
    <w:p w:rsidR="004D55FB" w:rsidRPr="009A7B0F" w:rsidRDefault="004D55FB"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lastRenderedPageBreak/>
        <w:t>At the end of 2015, the Company ensured compliance with the covenant Debt / EBITDA with a value of 4</w:t>
      </w:r>
      <w:proofErr w:type="gramStart"/>
      <w:r w:rsidR="00066AAB"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84</w:t>
      </w:r>
      <w:proofErr w:type="gramEnd"/>
      <w:r w:rsidRPr="009A7B0F">
        <w:rPr>
          <w:rFonts w:ascii="Times New Roman" w:hAnsi="Times New Roman" w:cs="Times New Roman"/>
          <w:sz w:val="28"/>
          <w:szCs w:val="28"/>
          <w:lang w:val="en-US"/>
        </w:rPr>
        <w:t xml:space="preserve"> while the standard</w:t>
      </w:r>
      <w:r w:rsidR="00066AAB" w:rsidRPr="009A7B0F">
        <w:rPr>
          <w:rFonts w:ascii="Times New Roman" w:hAnsi="Times New Roman" w:cs="Times New Roman"/>
          <w:sz w:val="28"/>
          <w:szCs w:val="28"/>
          <w:lang w:val="en-US"/>
        </w:rPr>
        <w:t xml:space="preserve"> is</w:t>
      </w:r>
      <w:r w:rsidRPr="009A7B0F">
        <w:rPr>
          <w:rFonts w:ascii="Times New Roman" w:hAnsi="Times New Roman" w:cs="Times New Roman"/>
          <w:sz w:val="28"/>
          <w:szCs w:val="28"/>
          <w:lang w:val="en-US"/>
        </w:rPr>
        <w:t xml:space="preserve"> 5 (according to the Waiver from the EBRD </w:t>
      </w:r>
      <w:r w:rsidR="00066AAB" w:rsidRPr="009A7B0F">
        <w:rPr>
          <w:rFonts w:ascii="Times New Roman" w:hAnsi="Times New Roman" w:cs="Times New Roman"/>
          <w:sz w:val="28"/>
          <w:szCs w:val="28"/>
          <w:lang w:val="en-US"/>
        </w:rPr>
        <w:t>for</w:t>
      </w:r>
      <w:r w:rsidRPr="009A7B0F">
        <w:rPr>
          <w:rFonts w:ascii="Times New Roman" w:hAnsi="Times New Roman" w:cs="Times New Roman"/>
          <w:sz w:val="28"/>
          <w:szCs w:val="28"/>
          <w:lang w:val="en-US"/>
        </w:rPr>
        <w:t xml:space="preserve"> 2015).</w:t>
      </w:r>
    </w:p>
    <w:p w:rsidR="004D55FB" w:rsidRPr="009A7B0F" w:rsidRDefault="00066AAB"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D</w:t>
      </w:r>
      <w:r w:rsidR="004D55FB" w:rsidRPr="009A7B0F">
        <w:rPr>
          <w:rFonts w:ascii="Times New Roman" w:hAnsi="Times New Roman" w:cs="Times New Roman"/>
          <w:sz w:val="28"/>
          <w:szCs w:val="28"/>
          <w:lang w:val="en-US"/>
        </w:rPr>
        <w:t xml:space="preserve">ebt / EBITDA </w:t>
      </w:r>
      <w:r w:rsidRPr="009A7B0F">
        <w:rPr>
          <w:rFonts w:ascii="Times New Roman" w:hAnsi="Times New Roman" w:cs="Times New Roman"/>
          <w:sz w:val="28"/>
          <w:szCs w:val="28"/>
          <w:lang w:val="en-US"/>
        </w:rPr>
        <w:t xml:space="preserve">figure in the plan for 2016 </w:t>
      </w:r>
      <w:r w:rsidR="004D55FB" w:rsidRPr="009A7B0F">
        <w:rPr>
          <w:rFonts w:ascii="Times New Roman" w:hAnsi="Times New Roman" w:cs="Times New Roman"/>
          <w:sz w:val="28"/>
          <w:szCs w:val="28"/>
          <w:lang w:val="en-US"/>
        </w:rPr>
        <w:t xml:space="preserve">is </w:t>
      </w:r>
      <w:r w:rsidR="00B6738F" w:rsidRPr="009A7B0F">
        <w:rPr>
          <w:rFonts w:ascii="Times New Roman" w:hAnsi="Times New Roman" w:cs="Times New Roman"/>
          <w:sz w:val="28"/>
          <w:szCs w:val="28"/>
          <w:lang w:val="en-US"/>
        </w:rPr>
        <w:t>expected to</w:t>
      </w:r>
      <w:r w:rsidR="004D55FB" w:rsidRPr="009A7B0F">
        <w:rPr>
          <w:rFonts w:ascii="Times New Roman" w:hAnsi="Times New Roman" w:cs="Times New Roman"/>
          <w:sz w:val="28"/>
          <w:szCs w:val="28"/>
          <w:lang w:val="en-US"/>
        </w:rPr>
        <w:t xml:space="preserve"> be 5</w:t>
      </w:r>
      <w:proofErr w:type="gramStart"/>
      <w:r w:rsidRPr="009A7B0F">
        <w:rPr>
          <w:rFonts w:ascii="Times New Roman" w:hAnsi="Times New Roman" w:cs="Times New Roman"/>
          <w:sz w:val="28"/>
          <w:szCs w:val="28"/>
          <w:lang w:val="en-US"/>
        </w:rPr>
        <w:t>,</w:t>
      </w:r>
      <w:r w:rsidR="004D55FB" w:rsidRPr="009A7B0F">
        <w:rPr>
          <w:rFonts w:ascii="Times New Roman" w:hAnsi="Times New Roman" w:cs="Times New Roman"/>
          <w:sz w:val="28"/>
          <w:szCs w:val="28"/>
          <w:lang w:val="en-US"/>
        </w:rPr>
        <w:t>29</w:t>
      </w:r>
      <w:proofErr w:type="gramEnd"/>
      <w:r w:rsidR="004D55FB" w:rsidRPr="009A7B0F">
        <w:rPr>
          <w:rFonts w:ascii="Times New Roman" w:hAnsi="Times New Roman" w:cs="Times New Roman"/>
          <w:sz w:val="28"/>
          <w:szCs w:val="28"/>
          <w:lang w:val="en-US"/>
        </w:rPr>
        <w:t xml:space="preserve">. Change in </w:t>
      </w:r>
      <w:r w:rsidRPr="009A7B0F">
        <w:rPr>
          <w:rFonts w:ascii="Times New Roman" w:hAnsi="Times New Roman" w:cs="Times New Roman"/>
          <w:sz w:val="28"/>
          <w:szCs w:val="28"/>
          <w:lang w:val="en-US"/>
        </w:rPr>
        <w:t>the indicator is</w:t>
      </w:r>
      <w:r w:rsidR="004D55FB" w:rsidRPr="009A7B0F">
        <w:rPr>
          <w:rFonts w:ascii="Times New Roman" w:hAnsi="Times New Roman" w:cs="Times New Roman"/>
          <w:sz w:val="28"/>
          <w:szCs w:val="28"/>
          <w:lang w:val="en-US"/>
        </w:rPr>
        <w:t xml:space="preserve"> associated with an increase of</w:t>
      </w:r>
      <w:r w:rsidRPr="009A7B0F">
        <w:rPr>
          <w:rFonts w:ascii="Times New Roman" w:hAnsi="Times New Roman" w:cs="Times New Roman"/>
          <w:sz w:val="28"/>
          <w:szCs w:val="28"/>
          <w:lang w:val="en-US"/>
        </w:rPr>
        <w:t xml:space="preserve"> debt by</w:t>
      </w:r>
      <w:r w:rsidR="004D55FB" w:rsidRPr="009A7B0F">
        <w:rPr>
          <w:rFonts w:ascii="Times New Roman" w:hAnsi="Times New Roman" w:cs="Times New Roman"/>
          <w:sz w:val="28"/>
          <w:szCs w:val="28"/>
          <w:lang w:val="en-US"/>
        </w:rPr>
        <w:t xml:space="preserve"> 10% compared to 2015. The growth of  debt</w:t>
      </w:r>
      <w:r w:rsidRPr="009A7B0F">
        <w:rPr>
          <w:rFonts w:ascii="Times New Roman" w:hAnsi="Times New Roman" w:cs="Times New Roman"/>
          <w:sz w:val="28"/>
          <w:szCs w:val="28"/>
          <w:lang w:val="en-US"/>
        </w:rPr>
        <w:t xml:space="preserve"> is</w:t>
      </w:r>
      <w:r w:rsidR="004D55FB" w:rsidRPr="009A7B0F">
        <w:rPr>
          <w:rFonts w:ascii="Times New Roman" w:hAnsi="Times New Roman" w:cs="Times New Roman"/>
          <w:sz w:val="28"/>
          <w:szCs w:val="28"/>
          <w:lang w:val="en-US"/>
        </w:rPr>
        <w:t xml:space="preserve"> due to </w:t>
      </w:r>
      <w:r w:rsidRPr="009A7B0F">
        <w:rPr>
          <w:rFonts w:ascii="Times New Roman" w:hAnsi="Times New Roman" w:cs="Times New Roman"/>
          <w:sz w:val="28"/>
          <w:szCs w:val="28"/>
          <w:lang w:val="en-US"/>
        </w:rPr>
        <w:t xml:space="preserve">increase in exchange </w:t>
      </w:r>
      <w:r w:rsidR="004D55FB" w:rsidRPr="009A7B0F">
        <w:rPr>
          <w:rFonts w:ascii="Times New Roman" w:hAnsi="Times New Roman" w:cs="Times New Roman"/>
          <w:sz w:val="28"/>
          <w:szCs w:val="28"/>
          <w:lang w:val="en-US"/>
        </w:rPr>
        <w:t xml:space="preserve">rate for foreign currency loans </w:t>
      </w:r>
      <w:r w:rsidRPr="009A7B0F">
        <w:rPr>
          <w:rFonts w:ascii="Times New Roman" w:hAnsi="Times New Roman" w:cs="Times New Roman"/>
          <w:sz w:val="28"/>
          <w:szCs w:val="28"/>
          <w:lang w:val="en-US"/>
        </w:rPr>
        <w:t>as a result of applying the</w:t>
      </w:r>
      <w:r w:rsidR="004D55FB" w:rsidRPr="009A7B0F">
        <w:rPr>
          <w:rFonts w:ascii="Times New Roman" w:hAnsi="Times New Roman" w:cs="Times New Roman"/>
          <w:sz w:val="28"/>
          <w:szCs w:val="28"/>
          <w:lang w:val="en-US"/>
        </w:rPr>
        <w:t xml:space="preserve"> US dollar</w:t>
      </w:r>
      <w:r w:rsidRPr="009A7B0F">
        <w:rPr>
          <w:rFonts w:ascii="Times New Roman" w:hAnsi="Times New Roman" w:cs="Times New Roman"/>
          <w:sz w:val="28"/>
          <w:szCs w:val="28"/>
          <w:lang w:val="en-US"/>
        </w:rPr>
        <w:t xml:space="preserve"> exchange rate</w:t>
      </w:r>
      <w:r w:rsidR="004D55FB" w:rsidRPr="009A7B0F">
        <w:rPr>
          <w:rFonts w:ascii="Times New Roman" w:hAnsi="Times New Roman" w:cs="Times New Roman"/>
          <w:sz w:val="28"/>
          <w:szCs w:val="28"/>
          <w:lang w:val="en-US"/>
        </w:rPr>
        <w:t xml:space="preserve"> at a level of 360 </w:t>
      </w:r>
      <w:proofErr w:type="spellStart"/>
      <w:r w:rsidR="004D55FB" w:rsidRPr="009A7B0F">
        <w:rPr>
          <w:rFonts w:ascii="Times New Roman" w:hAnsi="Times New Roman" w:cs="Times New Roman"/>
          <w:sz w:val="28"/>
          <w:szCs w:val="28"/>
          <w:lang w:val="en-US"/>
        </w:rPr>
        <w:t>tenge</w:t>
      </w:r>
      <w:proofErr w:type="spellEnd"/>
      <w:r w:rsidR="004D55FB"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actual </w:t>
      </w:r>
      <w:r w:rsidR="004D55FB" w:rsidRPr="009A7B0F">
        <w:rPr>
          <w:rFonts w:ascii="Times New Roman" w:hAnsi="Times New Roman" w:cs="Times New Roman"/>
          <w:sz w:val="28"/>
          <w:szCs w:val="28"/>
          <w:lang w:val="en-US"/>
        </w:rPr>
        <w:t xml:space="preserve">340 </w:t>
      </w:r>
      <w:proofErr w:type="spellStart"/>
      <w:r w:rsidR="004D55FB" w:rsidRPr="009A7B0F">
        <w:rPr>
          <w:rFonts w:ascii="Times New Roman" w:hAnsi="Times New Roman" w:cs="Times New Roman"/>
          <w:sz w:val="28"/>
          <w:szCs w:val="28"/>
          <w:lang w:val="en-US"/>
        </w:rPr>
        <w:t>tenge</w:t>
      </w:r>
      <w:proofErr w:type="spellEnd"/>
      <w:r w:rsidRPr="009A7B0F">
        <w:rPr>
          <w:rFonts w:ascii="Times New Roman" w:hAnsi="Times New Roman" w:cs="Times New Roman"/>
          <w:sz w:val="28"/>
          <w:szCs w:val="28"/>
          <w:lang w:val="en-US"/>
        </w:rPr>
        <w:t>) in the plan</w:t>
      </w:r>
      <w:r w:rsidR="004D55FB" w:rsidRPr="009A7B0F">
        <w:rPr>
          <w:rFonts w:ascii="Times New Roman" w:hAnsi="Times New Roman" w:cs="Times New Roman"/>
          <w:sz w:val="28"/>
          <w:szCs w:val="28"/>
          <w:lang w:val="en-US"/>
        </w:rPr>
        <w:t xml:space="preserve"> and financing of investment projects: construction of</w:t>
      </w:r>
      <w:r w:rsidRPr="009A7B0F">
        <w:rPr>
          <w:rFonts w:ascii="Times New Roman" w:hAnsi="Times New Roman" w:cs="Times New Roman"/>
          <w:sz w:val="28"/>
          <w:szCs w:val="28"/>
          <w:lang w:val="en-US"/>
        </w:rPr>
        <w:t xml:space="preserve"> 50 MW</w:t>
      </w:r>
      <w:r w:rsidR="004D55FB" w:rsidRPr="009A7B0F">
        <w:rPr>
          <w:rFonts w:ascii="Times New Roman" w:hAnsi="Times New Roman" w:cs="Times New Roman"/>
          <w:sz w:val="28"/>
          <w:szCs w:val="28"/>
          <w:lang w:val="en-US"/>
        </w:rPr>
        <w:t xml:space="preserve"> WPP </w:t>
      </w:r>
      <w:proofErr w:type="spellStart"/>
      <w:r w:rsidR="004D55FB" w:rsidRPr="009A7B0F">
        <w:rPr>
          <w:rFonts w:ascii="Times New Roman" w:hAnsi="Times New Roman" w:cs="Times New Roman"/>
          <w:sz w:val="28"/>
          <w:szCs w:val="28"/>
          <w:lang w:val="en-US"/>
        </w:rPr>
        <w:t>Yereimentau</w:t>
      </w:r>
      <w:proofErr w:type="spellEnd"/>
      <w:r w:rsidR="004D55FB" w:rsidRPr="009A7B0F">
        <w:rPr>
          <w:rFonts w:ascii="Times New Roman" w:hAnsi="Times New Roman" w:cs="Times New Roman"/>
          <w:sz w:val="28"/>
          <w:szCs w:val="28"/>
          <w:lang w:val="en-US"/>
        </w:rPr>
        <w:t xml:space="preserve"> and modernization of </w:t>
      </w:r>
      <w:proofErr w:type="spellStart"/>
      <w:r w:rsidR="004D55FB" w:rsidRPr="009A7B0F">
        <w:rPr>
          <w:rFonts w:ascii="Times New Roman" w:hAnsi="Times New Roman" w:cs="Times New Roman"/>
          <w:sz w:val="28"/>
          <w:szCs w:val="28"/>
          <w:lang w:val="en-US"/>
        </w:rPr>
        <w:t>Shardar</w:t>
      </w:r>
      <w:r w:rsidRPr="009A7B0F">
        <w:rPr>
          <w:rFonts w:ascii="Times New Roman" w:hAnsi="Times New Roman" w:cs="Times New Roman"/>
          <w:sz w:val="28"/>
          <w:szCs w:val="28"/>
          <w:lang w:val="en-US"/>
        </w:rPr>
        <w:t>inskaya</w:t>
      </w:r>
      <w:proofErr w:type="spellEnd"/>
      <w:r w:rsidR="004D55FB" w:rsidRPr="009A7B0F">
        <w:rPr>
          <w:rFonts w:ascii="Times New Roman" w:hAnsi="Times New Roman" w:cs="Times New Roman"/>
          <w:sz w:val="28"/>
          <w:szCs w:val="28"/>
          <w:lang w:val="en-US"/>
        </w:rPr>
        <w:t xml:space="preserve"> HPP. In 2017, this indicator improve</w:t>
      </w:r>
      <w:r w:rsidR="00B6738F" w:rsidRPr="009A7B0F">
        <w:rPr>
          <w:rFonts w:ascii="Times New Roman" w:hAnsi="Times New Roman" w:cs="Times New Roman"/>
          <w:sz w:val="28"/>
          <w:szCs w:val="28"/>
          <w:lang w:val="en-US"/>
        </w:rPr>
        <w:t>s</w:t>
      </w:r>
      <w:r w:rsidR="004D55FB" w:rsidRPr="009A7B0F">
        <w:rPr>
          <w:rFonts w:ascii="Times New Roman" w:hAnsi="Times New Roman" w:cs="Times New Roman"/>
          <w:sz w:val="28"/>
          <w:szCs w:val="28"/>
          <w:lang w:val="en-US"/>
        </w:rPr>
        <w:t xml:space="preserve"> to 3.59 in connection with redemption of Eurobonds.</w:t>
      </w:r>
    </w:p>
    <w:p w:rsidR="004D55FB" w:rsidRPr="009A7B0F" w:rsidRDefault="00210378"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Financial leverage indicator</w:t>
      </w:r>
      <w:r w:rsidR="004D55FB" w:rsidRPr="009A7B0F">
        <w:rPr>
          <w:rFonts w:ascii="Times New Roman" w:hAnsi="Times New Roman" w:cs="Times New Roman"/>
          <w:sz w:val="28"/>
          <w:szCs w:val="28"/>
          <w:lang w:val="en-US"/>
        </w:rPr>
        <w:t xml:space="preserve"> (debt / equity) was 0</w:t>
      </w:r>
      <w:r w:rsidRPr="009A7B0F">
        <w:rPr>
          <w:rFonts w:ascii="Times New Roman" w:hAnsi="Times New Roman" w:cs="Times New Roman"/>
          <w:sz w:val="28"/>
          <w:szCs w:val="28"/>
          <w:lang w:val="en-US"/>
        </w:rPr>
        <w:t>,</w:t>
      </w:r>
      <w:r w:rsidR="004D55FB" w:rsidRPr="009A7B0F">
        <w:rPr>
          <w:rFonts w:ascii="Times New Roman" w:hAnsi="Times New Roman" w:cs="Times New Roman"/>
          <w:sz w:val="28"/>
          <w:szCs w:val="28"/>
          <w:lang w:val="en-US"/>
        </w:rPr>
        <w:t>85</w:t>
      </w:r>
      <w:r w:rsidRPr="009A7B0F">
        <w:rPr>
          <w:rFonts w:ascii="Times New Roman" w:hAnsi="Times New Roman" w:cs="Times New Roman"/>
          <w:sz w:val="28"/>
          <w:szCs w:val="28"/>
          <w:lang w:val="en-US"/>
        </w:rPr>
        <w:t xml:space="preserve"> in 2015</w:t>
      </w:r>
      <w:r w:rsidR="004D55FB" w:rsidRPr="009A7B0F">
        <w:rPr>
          <w:rFonts w:ascii="Times New Roman" w:hAnsi="Times New Roman" w:cs="Times New Roman"/>
          <w:sz w:val="28"/>
          <w:szCs w:val="28"/>
          <w:lang w:val="en-US"/>
        </w:rPr>
        <w:t>, chang</w:t>
      </w:r>
      <w:r w:rsidR="00B6738F" w:rsidRPr="009A7B0F">
        <w:rPr>
          <w:rFonts w:ascii="Times New Roman" w:hAnsi="Times New Roman" w:cs="Times New Roman"/>
          <w:sz w:val="28"/>
          <w:szCs w:val="28"/>
          <w:lang w:val="en-US"/>
        </w:rPr>
        <w:t>ing of the</w:t>
      </w:r>
      <w:r w:rsidR="004D55FB" w:rsidRPr="009A7B0F">
        <w:rPr>
          <w:rFonts w:ascii="Times New Roman" w:hAnsi="Times New Roman" w:cs="Times New Roman"/>
          <w:sz w:val="28"/>
          <w:szCs w:val="28"/>
          <w:lang w:val="en-US"/>
        </w:rPr>
        <w:t xml:space="preserve"> </w:t>
      </w:r>
      <w:r w:rsidR="00B6738F" w:rsidRPr="009A7B0F">
        <w:rPr>
          <w:rFonts w:ascii="Times New Roman" w:hAnsi="Times New Roman" w:cs="Times New Roman"/>
          <w:sz w:val="28"/>
          <w:szCs w:val="28"/>
          <w:lang w:val="en-US"/>
        </w:rPr>
        <w:t xml:space="preserve">figure </w:t>
      </w:r>
      <w:r w:rsidR="004D55FB" w:rsidRPr="009A7B0F">
        <w:rPr>
          <w:rFonts w:ascii="Times New Roman" w:hAnsi="Times New Roman" w:cs="Times New Roman"/>
          <w:sz w:val="28"/>
          <w:szCs w:val="28"/>
          <w:lang w:val="en-US"/>
        </w:rPr>
        <w:t xml:space="preserve">compared to the fact </w:t>
      </w:r>
      <w:r w:rsidRPr="009A7B0F">
        <w:rPr>
          <w:rFonts w:ascii="Times New Roman" w:hAnsi="Times New Roman" w:cs="Times New Roman"/>
          <w:sz w:val="28"/>
          <w:szCs w:val="28"/>
          <w:lang w:val="en-US"/>
        </w:rPr>
        <w:t>of</w:t>
      </w:r>
      <w:r w:rsidR="004D55FB" w:rsidRPr="009A7B0F">
        <w:rPr>
          <w:rFonts w:ascii="Times New Roman" w:hAnsi="Times New Roman" w:cs="Times New Roman"/>
          <w:sz w:val="28"/>
          <w:szCs w:val="28"/>
          <w:lang w:val="en-US"/>
        </w:rPr>
        <w:t xml:space="preserve"> the same period (1</w:t>
      </w:r>
      <w:r w:rsidRPr="009A7B0F">
        <w:rPr>
          <w:rFonts w:ascii="Times New Roman" w:hAnsi="Times New Roman" w:cs="Times New Roman"/>
          <w:sz w:val="28"/>
          <w:szCs w:val="28"/>
          <w:lang w:val="en-US"/>
        </w:rPr>
        <w:t>,</w:t>
      </w:r>
      <w:r w:rsidR="004D55FB" w:rsidRPr="009A7B0F">
        <w:rPr>
          <w:rFonts w:ascii="Times New Roman" w:hAnsi="Times New Roman" w:cs="Times New Roman"/>
          <w:sz w:val="28"/>
          <w:szCs w:val="28"/>
          <w:lang w:val="en-US"/>
        </w:rPr>
        <w:t>08)</w:t>
      </w:r>
      <w:r w:rsidRPr="009A7B0F">
        <w:rPr>
          <w:rFonts w:ascii="Times New Roman" w:hAnsi="Times New Roman" w:cs="Times New Roman"/>
          <w:sz w:val="28"/>
          <w:szCs w:val="28"/>
          <w:lang w:val="en-US"/>
        </w:rPr>
        <w:t xml:space="preserve"> is</w:t>
      </w:r>
      <w:r w:rsidR="004D55FB" w:rsidRPr="009A7B0F">
        <w:rPr>
          <w:rFonts w:ascii="Times New Roman" w:hAnsi="Times New Roman" w:cs="Times New Roman"/>
          <w:sz w:val="28"/>
          <w:szCs w:val="28"/>
          <w:lang w:val="en-US"/>
        </w:rPr>
        <w:t xml:space="preserve"> due to a decrease in equity </w:t>
      </w:r>
      <w:r w:rsidR="00B6738F" w:rsidRPr="009A7B0F">
        <w:rPr>
          <w:rFonts w:ascii="Times New Roman" w:hAnsi="Times New Roman" w:cs="Times New Roman"/>
          <w:sz w:val="28"/>
          <w:szCs w:val="28"/>
          <w:lang w:val="en-US"/>
        </w:rPr>
        <w:t xml:space="preserve">by </w:t>
      </w:r>
      <w:r w:rsidR="004D55FB" w:rsidRPr="009A7B0F">
        <w:rPr>
          <w:rFonts w:ascii="Times New Roman" w:hAnsi="Times New Roman" w:cs="Times New Roman"/>
          <w:sz w:val="28"/>
          <w:szCs w:val="28"/>
          <w:lang w:val="en-US"/>
        </w:rPr>
        <w:t xml:space="preserve">10 529 </w:t>
      </w:r>
      <w:proofErr w:type="spellStart"/>
      <w:r w:rsidR="004D55FB" w:rsidRPr="009A7B0F">
        <w:rPr>
          <w:rFonts w:ascii="Times New Roman" w:hAnsi="Times New Roman" w:cs="Times New Roman"/>
          <w:sz w:val="28"/>
          <w:szCs w:val="28"/>
          <w:lang w:val="en-US"/>
        </w:rPr>
        <w:t>m</w:t>
      </w:r>
      <w:r w:rsidR="00B6738F" w:rsidRPr="009A7B0F">
        <w:rPr>
          <w:rFonts w:ascii="Times New Roman" w:hAnsi="Times New Roman" w:cs="Times New Roman"/>
          <w:sz w:val="28"/>
          <w:szCs w:val="28"/>
          <w:lang w:val="en-US"/>
        </w:rPr>
        <w:t>ln.tenge</w:t>
      </w:r>
      <w:proofErr w:type="spellEnd"/>
      <w:r w:rsidR="004D55FB" w:rsidRPr="009A7B0F">
        <w:rPr>
          <w:rFonts w:ascii="Times New Roman" w:hAnsi="Times New Roman" w:cs="Times New Roman"/>
          <w:sz w:val="28"/>
          <w:szCs w:val="28"/>
          <w:lang w:val="en-US"/>
        </w:rPr>
        <w:t xml:space="preserve"> </w:t>
      </w:r>
      <w:r w:rsidR="00B6738F" w:rsidRPr="009A7B0F">
        <w:rPr>
          <w:rFonts w:ascii="Times New Roman" w:hAnsi="Times New Roman" w:cs="Times New Roman"/>
          <w:sz w:val="28"/>
          <w:szCs w:val="28"/>
          <w:lang w:val="en-US"/>
        </w:rPr>
        <w:t xml:space="preserve">in connection with reduction </w:t>
      </w:r>
      <w:r w:rsidR="004D55FB" w:rsidRPr="009A7B0F">
        <w:rPr>
          <w:rFonts w:ascii="Times New Roman" w:hAnsi="Times New Roman" w:cs="Times New Roman"/>
          <w:sz w:val="28"/>
          <w:szCs w:val="28"/>
          <w:lang w:val="en-US"/>
        </w:rPr>
        <w:t xml:space="preserve"> in retained earnings </w:t>
      </w:r>
      <w:r w:rsidR="00B6738F" w:rsidRPr="009A7B0F">
        <w:rPr>
          <w:rFonts w:ascii="Times New Roman" w:hAnsi="Times New Roman" w:cs="Times New Roman"/>
          <w:sz w:val="28"/>
          <w:szCs w:val="28"/>
          <w:lang w:val="en-US"/>
        </w:rPr>
        <w:t xml:space="preserve">as a result of </w:t>
      </w:r>
      <w:r w:rsidR="004D55FB" w:rsidRPr="009A7B0F">
        <w:rPr>
          <w:rFonts w:ascii="Times New Roman" w:hAnsi="Times New Roman" w:cs="Times New Roman"/>
          <w:sz w:val="28"/>
          <w:szCs w:val="28"/>
          <w:lang w:val="en-US"/>
        </w:rPr>
        <w:t xml:space="preserve"> loss in 2015 (- 77 835) </w:t>
      </w:r>
      <w:proofErr w:type="spellStart"/>
      <w:r w:rsidR="004D55FB" w:rsidRPr="009A7B0F">
        <w:rPr>
          <w:rFonts w:ascii="Times New Roman" w:hAnsi="Times New Roman" w:cs="Times New Roman"/>
          <w:sz w:val="28"/>
          <w:szCs w:val="28"/>
          <w:lang w:val="en-US"/>
        </w:rPr>
        <w:t>m</w:t>
      </w:r>
      <w:r w:rsidR="00B6738F" w:rsidRPr="009A7B0F">
        <w:rPr>
          <w:rFonts w:ascii="Times New Roman" w:hAnsi="Times New Roman" w:cs="Times New Roman"/>
          <w:sz w:val="28"/>
          <w:szCs w:val="28"/>
          <w:lang w:val="en-US"/>
        </w:rPr>
        <w:t>l</w:t>
      </w:r>
      <w:r w:rsidR="004D55FB" w:rsidRPr="009A7B0F">
        <w:rPr>
          <w:rFonts w:ascii="Times New Roman" w:hAnsi="Times New Roman" w:cs="Times New Roman"/>
          <w:sz w:val="28"/>
          <w:szCs w:val="28"/>
          <w:lang w:val="en-US"/>
        </w:rPr>
        <w:t>n</w:t>
      </w:r>
      <w:proofErr w:type="spellEnd"/>
      <w:r w:rsidR="00B6738F" w:rsidRPr="009A7B0F">
        <w:rPr>
          <w:rFonts w:ascii="Times New Roman" w:hAnsi="Times New Roman" w:cs="Times New Roman"/>
          <w:sz w:val="28"/>
          <w:szCs w:val="28"/>
          <w:lang w:val="en-US"/>
        </w:rPr>
        <w:t>.</w:t>
      </w:r>
      <w:r w:rsidR="004D55FB" w:rsidRPr="009A7B0F">
        <w:rPr>
          <w:rFonts w:ascii="Times New Roman" w:hAnsi="Times New Roman" w:cs="Times New Roman"/>
          <w:sz w:val="28"/>
          <w:szCs w:val="28"/>
          <w:lang w:val="en-US"/>
        </w:rPr>
        <w:t xml:space="preserve"> </w:t>
      </w:r>
      <w:proofErr w:type="spellStart"/>
      <w:proofErr w:type="gramStart"/>
      <w:r w:rsidR="004D55FB" w:rsidRPr="009A7B0F">
        <w:rPr>
          <w:rFonts w:ascii="Times New Roman" w:hAnsi="Times New Roman" w:cs="Times New Roman"/>
          <w:sz w:val="28"/>
          <w:szCs w:val="28"/>
          <w:lang w:val="en-US"/>
        </w:rPr>
        <w:t>tenge</w:t>
      </w:r>
      <w:proofErr w:type="spellEnd"/>
      <w:proofErr w:type="gramEnd"/>
      <w:r w:rsidR="004D55FB" w:rsidRPr="009A7B0F">
        <w:rPr>
          <w:rFonts w:ascii="Times New Roman" w:hAnsi="Times New Roman" w:cs="Times New Roman"/>
          <w:sz w:val="28"/>
          <w:szCs w:val="28"/>
          <w:lang w:val="en-US"/>
        </w:rPr>
        <w:t xml:space="preserve"> and an increase in </w:t>
      </w:r>
      <w:r w:rsidR="00B6738F" w:rsidRPr="009A7B0F">
        <w:rPr>
          <w:rFonts w:ascii="Times New Roman" w:hAnsi="Times New Roman" w:cs="Times New Roman"/>
          <w:sz w:val="28"/>
          <w:szCs w:val="28"/>
          <w:lang w:val="en-US"/>
        </w:rPr>
        <w:t>debt</w:t>
      </w:r>
      <w:r w:rsidR="004D55FB" w:rsidRPr="009A7B0F">
        <w:rPr>
          <w:rFonts w:ascii="Times New Roman" w:hAnsi="Times New Roman" w:cs="Times New Roman"/>
          <w:sz w:val="28"/>
          <w:szCs w:val="28"/>
          <w:lang w:val="en-US"/>
        </w:rPr>
        <w:t xml:space="preserve"> capital</w:t>
      </w:r>
      <w:r w:rsidR="00B6738F" w:rsidRPr="009A7B0F">
        <w:rPr>
          <w:rFonts w:ascii="Times New Roman" w:hAnsi="Times New Roman" w:cs="Times New Roman"/>
          <w:sz w:val="28"/>
          <w:szCs w:val="28"/>
          <w:lang w:val="en-US"/>
        </w:rPr>
        <w:t xml:space="preserve"> by</w:t>
      </w:r>
      <w:r w:rsidR="004D55FB" w:rsidRPr="009A7B0F">
        <w:rPr>
          <w:rFonts w:ascii="Times New Roman" w:hAnsi="Times New Roman" w:cs="Times New Roman"/>
          <w:sz w:val="28"/>
          <w:szCs w:val="28"/>
          <w:lang w:val="en-US"/>
        </w:rPr>
        <w:t xml:space="preserve"> 86 977 </w:t>
      </w:r>
      <w:proofErr w:type="spellStart"/>
      <w:r w:rsidR="004D55FB" w:rsidRPr="009A7B0F">
        <w:rPr>
          <w:rFonts w:ascii="Times New Roman" w:hAnsi="Times New Roman" w:cs="Times New Roman"/>
          <w:sz w:val="28"/>
          <w:szCs w:val="28"/>
          <w:lang w:val="en-US"/>
        </w:rPr>
        <w:t>m</w:t>
      </w:r>
      <w:r w:rsidR="00B6738F" w:rsidRPr="009A7B0F">
        <w:rPr>
          <w:rFonts w:ascii="Times New Roman" w:hAnsi="Times New Roman" w:cs="Times New Roman"/>
          <w:sz w:val="28"/>
          <w:szCs w:val="28"/>
          <w:lang w:val="en-US"/>
        </w:rPr>
        <w:t>ln.tenge</w:t>
      </w:r>
      <w:proofErr w:type="spellEnd"/>
      <w:r w:rsidR="00B6738F" w:rsidRPr="009A7B0F">
        <w:rPr>
          <w:rFonts w:ascii="Times New Roman" w:hAnsi="Times New Roman" w:cs="Times New Roman"/>
          <w:sz w:val="28"/>
          <w:szCs w:val="28"/>
          <w:lang w:val="en-US"/>
        </w:rPr>
        <w:t xml:space="preserve">. </w:t>
      </w:r>
    </w:p>
    <w:p w:rsidR="004D55FB" w:rsidRPr="009A7B0F" w:rsidRDefault="00B6738F"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This figure is expected to improve in 2016-2017</w:t>
      </w:r>
      <w:r w:rsidR="004D55FB"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at the end of 2017 it</w:t>
      </w:r>
      <w:r w:rsidR="004D55FB" w:rsidRPr="009A7B0F">
        <w:rPr>
          <w:rFonts w:ascii="Times New Roman" w:hAnsi="Times New Roman" w:cs="Times New Roman"/>
          <w:sz w:val="28"/>
          <w:szCs w:val="28"/>
          <w:lang w:val="en-US"/>
        </w:rPr>
        <w:t xml:space="preserve"> is forecast</w:t>
      </w:r>
      <w:r w:rsidRPr="009A7B0F">
        <w:rPr>
          <w:rFonts w:ascii="Times New Roman" w:hAnsi="Times New Roman" w:cs="Times New Roman"/>
          <w:sz w:val="28"/>
          <w:szCs w:val="28"/>
          <w:lang w:val="en-US"/>
        </w:rPr>
        <w:t>ed</w:t>
      </w:r>
      <w:r w:rsidR="004D55FB" w:rsidRPr="009A7B0F">
        <w:rPr>
          <w:rFonts w:ascii="Times New Roman" w:hAnsi="Times New Roman" w:cs="Times New Roman"/>
          <w:sz w:val="28"/>
          <w:szCs w:val="28"/>
          <w:lang w:val="en-US"/>
        </w:rPr>
        <w:t xml:space="preserve"> at 0</w:t>
      </w:r>
      <w:proofErr w:type="gramStart"/>
      <w:r w:rsidRPr="009A7B0F">
        <w:rPr>
          <w:rFonts w:ascii="Times New Roman" w:hAnsi="Times New Roman" w:cs="Times New Roman"/>
          <w:sz w:val="28"/>
          <w:szCs w:val="28"/>
          <w:lang w:val="en-US"/>
        </w:rPr>
        <w:t>,</w:t>
      </w:r>
      <w:r w:rsidR="004D55FB" w:rsidRPr="009A7B0F">
        <w:rPr>
          <w:rFonts w:ascii="Times New Roman" w:hAnsi="Times New Roman" w:cs="Times New Roman"/>
          <w:sz w:val="28"/>
          <w:szCs w:val="28"/>
          <w:lang w:val="en-US"/>
        </w:rPr>
        <w:t>38</w:t>
      </w:r>
      <w:proofErr w:type="gramEnd"/>
      <w:r w:rsidR="004D55FB" w:rsidRPr="009A7B0F">
        <w:rPr>
          <w:rFonts w:ascii="Times New Roman" w:hAnsi="Times New Roman" w:cs="Times New Roman"/>
          <w:sz w:val="28"/>
          <w:szCs w:val="28"/>
          <w:lang w:val="en-US"/>
        </w:rPr>
        <w:t xml:space="preserve">, which is </w:t>
      </w:r>
      <w:r w:rsidRPr="009A7B0F">
        <w:rPr>
          <w:rFonts w:ascii="Times New Roman" w:hAnsi="Times New Roman" w:cs="Times New Roman"/>
          <w:sz w:val="28"/>
          <w:szCs w:val="28"/>
          <w:lang w:val="en-US"/>
        </w:rPr>
        <w:t>connected</w:t>
      </w:r>
      <w:r w:rsidR="004D55FB" w:rsidRPr="009A7B0F">
        <w:rPr>
          <w:rFonts w:ascii="Times New Roman" w:hAnsi="Times New Roman" w:cs="Times New Roman"/>
          <w:sz w:val="28"/>
          <w:szCs w:val="28"/>
          <w:lang w:val="en-US"/>
        </w:rPr>
        <w:t xml:space="preserve"> with repayment </w:t>
      </w:r>
      <w:r w:rsidRPr="009A7B0F">
        <w:rPr>
          <w:rFonts w:ascii="Times New Roman" w:hAnsi="Times New Roman" w:cs="Times New Roman"/>
          <w:sz w:val="28"/>
          <w:szCs w:val="28"/>
          <w:lang w:val="en-US"/>
        </w:rPr>
        <w:t xml:space="preserve">of </w:t>
      </w:r>
      <w:r w:rsidR="004D55FB" w:rsidRPr="009A7B0F">
        <w:rPr>
          <w:rFonts w:ascii="Times New Roman" w:hAnsi="Times New Roman" w:cs="Times New Roman"/>
          <w:sz w:val="28"/>
          <w:szCs w:val="28"/>
          <w:lang w:val="en-US"/>
        </w:rPr>
        <w:t>obligations on Eurobonds.</w:t>
      </w:r>
    </w:p>
    <w:p w:rsidR="00851BEC" w:rsidRPr="009A7B0F" w:rsidRDefault="0031774D" w:rsidP="009A7B0F">
      <w:pPr>
        <w:spacing w:after="0"/>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 current liquidity indicator for 2015 made 1,01,  there have been</w:t>
      </w:r>
      <w:r w:rsidR="004D55FB" w:rsidRPr="009A7B0F">
        <w:rPr>
          <w:rFonts w:ascii="Times New Roman" w:hAnsi="Times New Roman" w:cs="Times New Roman"/>
          <w:sz w:val="28"/>
          <w:szCs w:val="28"/>
          <w:lang w:val="en-US"/>
        </w:rPr>
        <w:t xml:space="preserve"> a slight decrease</w:t>
      </w:r>
      <w:r w:rsidRPr="009A7B0F">
        <w:rPr>
          <w:rFonts w:ascii="Times New Roman" w:hAnsi="Times New Roman" w:cs="Times New Roman"/>
          <w:sz w:val="28"/>
          <w:szCs w:val="28"/>
          <w:lang w:val="en-US"/>
        </w:rPr>
        <w:t xml:space="preserve"> in comparison with the same period</w:t>
      </w:r>
      <w:r w:rsidR="004D55FB" w:rsidRPr="009A7B0F">
        <w:rPr>
          <w:rFonts w:ascii="Times New Roman" w:hAnsi="Times New Roman" w:cs="Times New Roman"/>
          <w:sz w:val="28"/>
          <w:szCs w:val="28"/>
          <w:lang w:val="en-US"/>
        </w:rPr>
        <w:t xml:space="preserve">, but remains within the established norms. </w:t>
      </w:r>
      <w:r w:rsidRPr="009A7B0F">
        <w:rPr>
          <w:rFonts w:ascii="Times New Roman" w:hAnsi="Times New Roman" w:cs="Times New Roman"/>
          <w:sz w:val="28"/>
          <w:szCs w:val="28"/>
          <w:lang w:val="en-US"/>
        </w:rPr>
        <w:t>This indicator improves</w:t>
      </w:r>
      <w:r w:rsidR="004D55FB" w:rsidRPr="009A7B0F">
        <w:rPr>
          <w:rFonts w:ascii="Times New Roman" w:hAnsi="Times New Roman" w:cs="Times New Roman"/>
          <w:sz w:val="28"/>
          <w:szCs w:val="28"/>
          <w:lang w:val="en-US"/>
        </w:rPr>
        <w:t xml:space="preserve"> to 2</w:t>
      </w:r>
      <w:proofErr w:type="gramStart"/>
      <w:r w:rsidRPr="009A7B0F">
        <w:rPr>
          <w:rFonts w:ascii="Times New Roman" w:hAnsi="Times New Roman" w:cs="Times New Roman"/>
          <w:sz w:val="28"/>
          <w:szCs w:val="28"/>
          <w:lang w:val="en-US"/>
        </w:rPr>
        <w:t>,</w:t>
      </w:r>
      <w:r w:rsidR="004D55FB" w:rsidRPr="009A7B0F">
        <w:rPr>
          <w:rFonts w:ascii="Times New Roman" w:hAnsi="Times New Roman" w:cs="Times New Roman"/>
          <w:sz w:val="28"/>
          <w:szCs w:val="28"/>
          <w:lang w:val="en-US"/>
        </w:rPr>
        <w:t>04</w:t>
      </w:r>
      <w:proofErr w:type="gramEnd"/>
      <w:r w:rsidRPr="009A7B0F">
        <w:rPr>
          <w:rFonts w:ascii="Times New Roman" w:hAnsi="Times New Roman" w:cs="Times New Roman"/>
          <w:sz w:val="28"/>
          <w:szCs w:val="28"/>
          <w:lang w:val="en-US"/>
        </w:rPr>
        <w:t xml:space="preserve"> until 2017</w:t>
      </w:r>
      <w:r w:rsidR="00851BEC" w:rsidRPr="009A7B0F">
        <w:rPr>
          <w:rFonts w:ascii="Times New Roman" w:hAnsi="Times New Roman" w:cs="Times New Roman"/>
          <w:sz w:val="28"/>
          <w:szCs w:val="28"/>
          <w:lang w:val="en-US"/>
        </w:rPr>
        <w:t xml:space="preserve">. </w:t>
      </w:r>
    </w:p>
    <w:p w:rsidR="00851BEC" w:rsidRPr="009A7B0F" w:rsidRDefault="00851BEC" w:rsidP="009A7B0F">
      <w:pPr>
        <w:spacing w:after="0"/>
        <w:ind w:right="-143" w:firstLine="709"/>
        <w:jc w:val="both"/>
        <w:rPr>
          <w:rFonts w:ascii="Times New Roman" w:hAnsi="Times New Roman" w:cs="Times New Roman"/>
          <w:sz w:val="28"/>
          <w:szCs w:val="28"/>
          <w:lang w:val="en-US"/>
        </w:rPr>
      </w:pPr>
    </w:p>
    <w:p w:rsidR="00851BEC" w:rsidRPr="009A7B0F" w:rsidRDefault="00873E69" w:rsidP="009A7B0F">
      <w:pPr>
        <w:spacing w:after="0" w:line="240" w:lineRule="auto"/>
        <w:ind w:right="-143" w:firstLine="709"/>
        <w:rPr>
          <w:rFonts w:ascii="Times New Roman" w:hAnsi="Times New Roman" w:cs="Times New Roman"/>
          <w:b/>
          <w:sz w:val="28"/>
          <w:szCs w:val="28"/>
          <w:lang w:val="en-US"/>
        </w:rPr>
      </w:pPr>
      <w:r w:rsidRPr="009A7B0F">
        <w:rPr>
          <w:rFonts w:ascii="Times New Roman" w:hAnsi="Times New Roman" w:cs="Times New Roman"/>
          <w:b/>
          <w:sz w:val="28"/>
          <w:szCs w:val="28"/>
          <w:lang w:val="en-US"/>
        </w:rPr>
        <w:t xml:space="preserve">Loan portfolio </w:t>
      </w:r>
      <w:proofErr w:type="gramStart"/>
      <w:r w:rsidRPr="009A7B0F">
        <w:rPr>
          <w:rFonts w:ascii="Times New Roman" w:hAnsi="Times New Roman" w:cs="Times New Roman"/>
          <w:b/>
          <w:sz w:val="28"/>
          <w:szCs w:val="28"/>
          <w:lang w:val="en-US"/>
        </w:rPr>
        <w:t>of  “</w:t>
      </w:r>
      <w:proofErr w:type="spellStart"/>
      <w:proofErr w:type="gramEnd"/>
      <w:r w:rsidRPr="009A7B0F">
        <w:rPr>
          <w:rFonts w:ascii="Times New Roman" w:hAnsi="Times New Roman" w:cs="Times New Roman"/>
          <w:b/>
          <w:sz w:val="28"/>
          <w:szCs w:val="28"/>
          <w:lang w:val="en-US"/>
        </w:rPr>
        <w:t>Samruk</w:t>
      </w:r>
      <w:proofErr w:type="spellEnd"/>
      <w:r w:rsidRPr="009A7B0F">
        <w:rPr>
          <w:rFonts w:ascii="Times New Roman" w:hAnsi="Times New Roman" w:cs="Times New Roman"/>
          <w:b/>
          <w:sz w:val="28"/>
          <w:szCs w:val="28"/>
          <w:lang w:val="en-US"/>
        </w:rPr>
        <w:t>-Energy” J</w:t>
      </w:r>
      <w:r w:rsidR="00935244" w:rsidRPr="009A7B0F">
        <w:rPr>
          <w:rFonts w:ascii="Times New Roman" w:hAnsi="Times New Roman" w:cs="Times New Roman"/>
          <w:b/>
          <w:sz w:val="28"/>
          <w:szCs w:val="28"/>
          <w:lang w:val="en-US"/>
        </w:rPr>
        <w:t>S</w:t>
      </w:r>
      <w:r w:rsidRPr="009A7B0F">
        <w:rPr>
          <w:rFonts w:ascii="Times New Roman" w:hAnsi="Times New Roman" w:cs="Times New Roman"/>
          <w:b/>
          <w:sz w:val="28"/>
          <w:szCs w:val="28"/>
          <w:lang w:val="en-US"/>
        </w:rPr>
        <w:t>C for</w:t>
      </w:r>
      <w:r w:rsidR="00851BEC" w:rsidRPr="009A7B0F">
        <w:rPr>
          <w:rFonts w:ascii="Times New Roman" w:hAnsi="Times New Roman" w:cs="Times New Roman"/>
          <w:b/>
          <w:sz w:val="28"/>
          <w:szCs w:val="28"/>
          <w:lang w:val="en-US"/>
        </w:rPr>
        <w:t xml:space="preserve"> 2014-2015 </w:t>
      </w:r>
    </w:p>
    <w:p w:rsidR="00851BEC" w:rsidRPr="00411DE3" w:rsidRDefault="00F45FB9" w:rsidP="009A7B0F">
      <w:pPr>
        <w:spacing w:after="0" w:line="240" w:lineRule="auto"/>
        <w:ind w:right="-143" w:firstLine="709"/>
        <w:jc w:val="right"/>
        <w:rPr>
          <w:rFonts w:ascii="Times New Roman" w:hAnsi="Times New Roman" w:cs="Times New Roman"/>
          <w:sz w:val="24"/>
          <w:szCs w:val="24"/>
          <w:lang w:val="en-US"/>
        </w:rPr>
      </w:pPr>
      <w:proofErr w:type="spellStart"/>
      <w:r w:rsidRPr="00411DE3">
        <w:rPr>
          <w:rFonts w:ascii="Times New Roman" w:hAnsi="Times New Roman" w:cs="Times New Roman"/>
          <w:sz w:val="24"/>
          <w:szCs w:val="24"/>
          <w:lang w:val="en-US"/>
        </w:rPr>
        <w:t>m</w:t>
      </w:r>
      <w:r w:rsidR="00873E69" w:rsidRPr="00411DE3">
        <w:rPr>
          <w:rFonts w:ascii="Times New Roman" w:hAnsi="Times New Roman" w:cs="Times New Roman"/>
          <w:sz w:val="24"/>
          <w:szCs w:val="24"/>
          <w:lang w:val="en-US"/>
        </w:rPr>
        <w:t>ln.tenge</w:t>
      </w:r>
      <w:proofErr w:type="spellEnd"/>
    </w:p>
    <w:tbl>
      <w:tblPr>
        <w:tblpPr w:leftFromText="180" w:rightFromText="180" w:vertAnchor="text" w:horzAnchor="margin" w:tblpY="17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3686"/>
      </w:tblGrid>
      <w:tr w:rsidR="00851BEC" w:rsidRPr="009A7B0F" w:rsidTr="00642A55">
        <w:tc>
          <w:tcPr>
            <w:tcW w:w="3510" w:type="dxa"/>
            <w:shd w:val="clear" w:color="auto" w:fill="auto"/>
          </w:tcPr>
          <w:p w:rsidR="00851BEC" w:rsidRPr="009A7B0F" w:rsidRDefault="00873E69" w:rsidP="00470E50">
            <w:pPr>
              <w:ind w:right="-143"/>
              <w:rPr>
                <w:rFonts w:ascii="Times New Roman" w:eastAsia="Times New Roman" w:hAnsi="Times New Roman" w:cs="Times New Roman"/>
                <w:b/>
                <w:sz w:val="28"/>
                <w:szCs w:val="28"/>
                <w:lang w:val="en-US"/>
              </w:rPr>
            </w:pPr>
            <w:r w:rsidRPr="009A7B0F">
              <w:rPr>
                <w:rFonts w:ascii="Times New Roman" w:eastAsia="Times New Roman" w:hAnsi="Times New Roman" w:cs="Times New Roman"/>
                <w:b/>
                <w:sz w:val="28"/>
                <w:szCs w:val="28"/>
                <w:lang w:val="en-US"/>
              </w:rPr>
              <w:t xml:space="preserve">Description </w:t>
            </w:r>
          </w:p>
        </w:tc>
        <w:tc>
          <w:tcPr>
            <w:tcW w:w="2977" w:type="dxa"/>
            <w:shd w:val="clear" w:color="auto" w:fill="auto"/>
          </w:tcPr>
          <w:p w:rsidR="00851BEC" w:rsidRPr="009A7B0F" w:rsidRDefault="00851BEC" w:rsidP="00470E50">
            <w:pPr>
              <w:ind w:right="-143"/>
              <w:jc w:val="center"/>
              <w:rPr>
                <w:rFonts w:ascii="Times New Roman" w:eastAsia="Times New Roman" w:hAnsi="Times New Roman" w:cs="Times New Roman"/>
                <w:b/>
                <w:sz w:val="28"/>
                <w:szCs w:val="28"/>
              </w:rPr>
            </w:pPr>
            <w:r w:rsidRPr="009A7B0F">
              <w:rPr>
                <w:rFonts w:ascii="Times New Roman" w:eastAsia="Times New Roman" w:hAnsi="Times New Roman" w:cs="Times New Roman"/>
                <w:b/>
                <w:sz w:val="28"/>
                <w:szCs w:val="28"/>
              </w:rPr>
              <w:t xml:space="preserve">2014 </w:t>
            </w:r>
          </w:p>
        </w:tc>
        <w:tc>
          <w:tcPr>
            <w:tcW w:w="3686" w:type="dxa"/>
            <w:shd w:val="clear" w:color="auto" w:fill="auto"/>
          </w:tcPr>
          <w:p w:rsidR="00851BEC" w:rsidRPr="009A7B0F" w:rsidRDefault="00851BEC" w:rsidP="00470E50">
            <w:pPr>
              <w:ind w:right="-143"/>
              <w:jc w:val="center"/>
              <w:rPr>
                <w:rFonts w:ascii="Times New Roman" w:eastAsia="Times New Roman" w:hAnsi="Times New Roman" w:cs="Times New Roman"/>
                <w:b/>
                <w:sz w:val="28"/>
                <w:szCs w:val="28"/>
              </w:rPr>
            </w:pPr>
            <w:r w:rsidRPr="009A7B0F">
              <w:rPr>
                <w:rFonts w:ascii="Times New Roman" w:eastAsia="Times New Roman" w:hAnsi="Times New Roman" w:cs="Times New Roman"/>
                <w:b/>
                <w:sz w:val="28"/>
                <w:szCs w:val="28"/>
              </w:rPr>
              <w:t>2015</w:t>
            </w:r>
          </w:p>
        </w:tc>
      </w:tr>
      <w:tr w:rsidR="00851BEC" w:rsidRPr="009A7B0F" w:rsidTr="00642A55">
        <w:tc>
          <w:tcPr>
            <w:tcW w:w="3510" w:type="dxa"/>
            <w:shd w:val="clear" w:color="auto" w:fill="auto"/>
          </w:tcPr>
          <w:p w:rsidR="00851BEC" w:rsidRPr="009A7B0F" w:rsidRDefault="00873E69" w:rsidP="00470E50">
            <w:pPr>
              <w:ind w:right="-143"/>
              <w:rPr>
                <w:rFonts w:ascii="Times New Roman" w:eastAsia="Times New Roman" w:hAnsi="Times New Roman" w:cs="Times New Roman"/>
                <w:b/>
                <w:i/>
                <w:sz w:val="28"/>
                <w:szCs w:val="28"/>
                <w:lang w:val="en-US"/>
              </w:rPr>
            </w:pPr>
            <w:r w:rsidRPr="009A7B0F">
              <w:rPr>
                <w:rFonts w:ascii="Times New Roman" w:eastAsia="Times New Roman" w:hAnsi="Times New Roman" w:cs="Times New Roman"/>
                <w:b/>
                <w:i/>
                <w:sz w:val="28"/>
                <w:szCs w:val="28"/>
                <w:lang w:val="en-US"/>
              </w:rPr>
              <w:t xml:space="preserve">Total debt including </w:t>
            </w:r>
          </w:p>
        </w:tc>
        <w:tc>
          <w:tcPr>
            <w:tcW w:w="2977" w:type="dxa"/>
            <w:shd w:val="clear" w:color="auto" w:fill="auto"/>
          </w:tcPr>
          <w:p w:rsidR="00851BEC" w:rsidRPr="009A7B0F" w:rsidRDefault="00851BEC" w:rsidP="00470E50">
            <w:pPr>
              <w:ind w:right="-143"/>
              <w:jc w:val="center"/>
              <w:rPr>
                <w:rFonts w:ascii="Times New Roman" w:eastAsia="Times New Roman" w:hAnsi="Times New Roman" w:cs="Times New Roman"/>
                <w:b/>
                <w:i/>
                <w:sz w:val="28"/>
                <w:szCs w:val="28"/>
              </w:rPr>
            </w:pPr>
            <w:r w:rsidRPr="009A7B0F">
              <w:rPr>
                <w:rFonts w:ascii="Times New Roman" w:eastAsia="Times New Roman" w:hAnsi="Times New Roman" w:cs="Times New Roman"/>
                <w:b/>
                <w:i/>
                <w:sz w:val="28"/>
                <w:szCs w:val="28"/>
              </w:rPr>
              <w:t>319 166</w:t>
            </w:r>
          </w:p>
        </w:tc>
        <w:tc>
          <w:tcPr>
            <w:tcW w:w="3686" w:type="dxa"/>
            <w:shd w:val="clear" w:color="auto" w:fill="auto"/>
          </w:tcPr>
          <w:p w:rsidR="00851BEC" w:rsidRPr="009A7B0F" w:rsidRDefault="00851BEC" w:rsidP="00470E50">
            <w:pPr>
              <w:ind w:right="-143"/>
              <w:jc w:val="center"/>
              <w:rPr>
                <w:rFonts w:ascii="Times New Roman" w:eastAsia="Times New Roman" w:hAnsi="Times New Roman" w:cs="Times New Roman"/>
                <w:b/>
                <w:i/>
                <w:sz w:val="28"/>
                <w:szCs w:val="28"/>
              </w:rPr>
            </w:pPr>
            <w:r w:rsidRPr="009A7B0F">
              <w:rPr>
                <w:rFonts w:ascii="Times New Roman" w:eastAsia="Times New Roman" w:hAnsi="Times New Roman" w:cs="Times New Roman"/>
                <w:b/>
                <w:i/>
                <w:sz w:val="28"/>
                <w:szCs w:val="28"/>
              </w:rPr>
              <w:t>411 003</w:t>
            </w:r>
          </w:p>
        </w:tc>
      </w:tr>
      <w:tr w:rsidR="00851BEC" w:rsidRPr="009A7B0F" w:rsidTr="00642A55">
        <w:tc>
          <w:tcPr>
            <w:tcW w:w="3510" w:type="dxa"/>
            <w:shd w:val="clear" w:color="auto" w:fill="auto"/>
          </w:tcPr>
          <w:p w:rsidR="00851BEC" w:rsidRPr="009A7B0F" w:rsidRDefault="00873E69" w:rsidP="00470E50">
            <w:pPr>
              <w:ind w:right="-143"/>
              <w:rPr>
                <w:rFonts w:ascii="Times New Roman" w:eastAsia="Times New Roman" w:hAnsi="Times New Roman" w:cs="Times New Roman"/>
                <w:sz w:val="28"/>
                <w:szCs w:val="28"/>
                <w:lang w:val="en-US"/>
              </w:rPr>
            </w:pPr>
            <w:r w:rsidRPr="009A7B0F">
              <w:rPr>
                <w:rFonts w:ascii="Times New Roman" w:eastAsia="Times New Roman" w:hAnsi="Times New Roman" w:cs="Times New Roman"/>
                <w:sz w:val="28"/>
                <w:szCs w:val="28"/>
                <w:lang w:val="en-US"/>
              </w:rPr>
              <w:t>“</w:t>
            </w:r>
            <w:proofErr w:type="spellStart"/>
            <w:r w:rsidRPr="009A7B0F">
              <w:rPr>
                <w:rFonts w:ascii="Times New Roman" w:eastAsia="Times New Roman" w:hAnsi="Times New Roman" w:cs="Times New Roman"/>
                <w:sz w:val="28"/>
                <w:szCs w:val="28"/>
                <w:lang w:val="en-US"/>
              </w:rPr>
              <w:t>Samruk</w:t>
            </w:r>
            <w:proofErr w:type="spellEnd"/>
            <w:r w:rsidRPr="009A7B0F">
              <w:rPr>
                <w:rFonts w:ascii="Times New Roman" w:eastAsia="Times New Roman" w:hAnsi="Times New Roman" w:cs="Times New Roman"/>
                <w:sz w:val="28"/>
                <w:szCs w:val="28"/>
                <w:lang w:val="en-US"/>
              </w:rPr>
              <w:t>-Energy” JSC</w:t>
            </w:r>
          </w:p>
        </w:tc>
        <w:tc>
          <w:tcPr>
            <w:tcW w:w="2977" w:type="dxa"/>
            <w:shd w:val="clear" w:color="auto" w:fill="auto"/>
          </w:tcPr>
          <w:p w:rsidR="00851BEC" w:rsidRPr="009A7B0F" w:rsidRDefault="00851BEC" w:rsidP="00470E50">
            <w:pPr>
              <w:ind w:right="-143"/>
              <w:jc w:val="center"/>
              <w:rPr>
                <w:rFonts w:ascii="Times New Roman" w:eastAsia="Times New Roman" w:hAnsi="Times New Roman" w:cs="Times New Roman"/>
                <w:sz w:val="28"/>
                <w:szCs w:val="28"/>
              </w:rPr>
            </w:pPr>
            <w:r w:rsidRPr="009A7B0F">
              <w:rPr>
                <w:rFonts w:ascii="Times New Roman" w:eastAsia="Times New Roman" w:hAnsi="Times New Roman" w:cs="Times New Roman"/>
                <w:sz w:val="28"/>
                <w:szCs w:val="28"/>
              </w:rPr>
              <w:t>233 020</w:t>
            </w:r>
          </w:p>
        </w:tc>
        <w:tc>
          <w:tcPr>
            <w:tcW w:w="3686" w:type="dxa"/>
            <w:shd w:val="clear" w:color="auto" w:fill="auto"/>
          </w:tcPr>
          <w:p w:rsidR="00851BEC" w:rsidRPr="009A7B0F" w:rsidRDefault="00851BEC" w:rsidP="00470E50">
            <w:pPr>
              <w:ind w:right="-143"/>
              <w:jc w:val="center"/>
              <w:rPr>
                <w:rFonts w:ascii="Times New Roman" w:eastAsia="Times New Roman" w:hAnsi="Times New Roman" w:cs="Times New Roman"/>
                <w:sz w:val="28"/>
                <w:szCs w:val="28"/>
              </w:rPr>
            </w:pPr>
            <w:r w:rsidRPr="009A7B0F">
              <w:rPr>
                <w:rFonts w:ascii="Times New Roman" w:eastAsia="Times New Roman" w:hAnsi="Times New Roman" w:cs="Times New Roman"/>
                <w:sz w:val="28"/>
                <w:szCs w:val="28"/>
              </w:rPr>
              <w:t>248 505</w:t>
            </w:r>
          </w:p>
        </w:tc>
      </w:tr>
      <w:tr w:rsidR="00851BEC" w:rsidRPr="009A7B0F" w:rsidTr="00642A55">
        <w:trPr>
          <w:trHeight w:val="544"/>
        </w:trPr>
        <w:tc>
          <w:tcPr>
            <w:tcW w:w="3510" w:type="dxa"/>
            <w:shd w:val="clear" w:color="auto" w:fill="auto"/>
          </w:tcPr>
          <w:p w:rsidR="00851BEC" w:rsidRPr="009A7B0F" w:rsidRDefault="00873E69" w:rsidP="00470E50">
            <w:pPr>
              <w:spacing w:line="240" w:lineRule="auto"/>
              <w:ind w:right="-143"/>
              <w:rPr>
                <w:rFonts w:ascii="Times New Roman" w:eastAsia="Times New Roman" w:hAnsi="Times New Roman" w:cs="Times New Roman"/>
                <w:sz w:val="28"/>
                <w:szCs w:val="28"/>
                <w:lang w:val="en-US"/>
              </w:rPr>
            </w:pPr>
            <w:r w:rsidRPr="009A7B0F">
              <w:rPr>
                <w:rFonts w:ascii="Times New Roman" w:eastAsia="Times New Roman" w:hAnsi="Times New Roman" w:cs="Times New Roman"/>
                <w:sz w:val="28"/>
                <w:szCs w:val="28"/>
                <w:lang w:val="en-US"/>
              </w:rPr>
              <w:t xml:space="preserve">Other subsidiaries and affiliates </w:t>
            </w:r>
          </w:p>
        </w:tc>
        <w:tc>
          <w:tcPr>
            <w:tcW w:w="2977" w:type="dxa"/>
            <w:shd w:val="clear" w:color="auto" w:fill="auto"/>
            <w:vAlign w:val="bottom"/>
          </w:tcPr>
          <w:p w:rsidR="00851BEC" w:rsidRPr="009A7B0F" w:rsidRDefault="00851BEC" w:rsidP="00470E50">
            <w:pPr>
              <w:spacing w:line="240" w:lineRule="auto"/>
              <w:ind w:right="-143"/>
              <w:jc w:val="center"/>
              <w:rPr>
                <w:rFonts w:ascii="Times New Roman" w:eastAsia="Times New Roman" w:hAnsi="Times New Roman" w:cs="Times New Roman"/>
                <w:color w:val="000000"/>
                <w:sz w:val="28"/>
                <w:szCs w:val="28"/>
              </w:rPr>
            </w:pPr>
            <w:r w:rsidRPr="009A7B0F">
              <w:rPr>
                <w:rFonts w:ascii="Times New Roman" w:eastAsia="Times New Roman" w:hAnsi="Times New Roman" w:cs="Times New Roman"/>
                <w:color w:val="000000"/>
                <w:sz w:val="28"/>
                <w:szCs w:val="28"/>
              </w:rPr>
              <w:t>86 146</w:t>
            </w:r>
          </w:p>
        </w:tc>
        <w:tc>
          <w:tcPr>
            <w:tcW w:w="3686" w:type="dxa"/>
            <w:shd w:val="clear" w:color="auto" w:fill="auto"/>
            <w:vAlign w:val="bottom"/>
          </w:tcPr>
          <w:p w:rsidR="00851BEC" w:rsidRPr="009A7B0F" w:rsidRDefault="00851BEC" w:rsidP="00470E50">
            <w:pPr>
              <w:spacing w:line="240" w:lineRule="auto"/>
              <w:ind w:right="-143"/>
              <w:jc w:val="center"/>
              <w:rPr>
                <w:rFonts w:ascii="Times New Roman" w:eastAsia="Times New Roman" w:hAnsi="Times New Roman" w:cs="Times New Roman"/>
                <w:color w:val="000000"/>
                <w:sz w:val="28"/>
                <w:szCs w:val="28"/>
              </w:rPr>
            </w:pPr>
            <w:r w:rsidRPr="009A7B0F">
              <w:rPr>
                <w:rFonts w:ascii="Times New Roman" w:eastAsia="Times New Roman" w:hAnsi="Times New Roman" w:cs="Times New Roman"/>
                <w:color w:val="000000"/>
                <w:sz w:val="28"/>
                <w:szCs w:val="28"/>
              </w:rPr>
              <w:t>162 498</w:t>
            </w:r>
          </w:p>
        </w:tc>
      </w:tr>
    </w:tbl>
    <w:p w:rsidR="00851BEC" w:rsidRPr="00411DE3" w:rsidRDefault="00873E69" w:rsidP="009A7B0F">
      <w:pPr>
        <w:spacing w:after="120" w:line="240" w:lineRule="auto"/>
        <w:ind w:right="-143" w:firstLine="709"/>
        <w:jc w:val="both"/>
        <w:rPr>
          <w:rFonts w:ascii="Times New Roman" w:hAnsi="Times New Roman" w:cs="Times New Roman"/>
          <w:i/>
          <w:sz w:val="24"/>
          <w:szCs w:val="24"/>
          <w:lang w:val="en-US"/>
        </w:rPr>
      </w:pPr>
      <w:r w:rsidRPr="00411DE3">
        <w:rPr>
          <w:rFonts w:ascii="Times New Roman" w:hAnsi="Times New Roman" w:cs="Times New Roman"/>
          <w:i/>
          <w:sz w:val="24"/>
          <w:szCs w:val="24"/>
          <w:lang w:val="en-US"/>
        </w:rPr>
        <w:t xml:space="preserve">According to financial statement </w:t>
      </w:r>
    </w:p>
    <w:p w:rsidR="00080E62" w:rsidRPr="009A7B0F" w:rsidRDefault="0051260C"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 Company widely uses</w:t>
      </w:r>
      <w:r w:rsidR="00080E62" w:rsidRPr="009A7B0F">
        <w:rPr>
          <w:rFonts w:ascii="Times New Roman" w:hAnsi="Times New Roman" w:cs="Times New Roman"/>
          <w:sz w:val="28"/>
          <w:szCs w:val="28"/>
          <w:lang w:val="en-US"/>
        </w:rPr>
        <w:t xml:space="preserve"> instruments such as loans and bonds</w:t>
      </w:r>
      <w:r w:rsidRPr="009A7B0F">
        <w:rPr>
          <w:rFonts w:ascii="Times New Roman" w:hAnsi="Times New Roman" w:cs="Times New Roman"/>
          <w:sz w:val="28"/>
          <w:szCs w:val="28"/>
          <w:lang w:val="en-US"/>
        </w:rPr>
        <w:t xml:space="preserve"> for attracting financial resources</w:t>
      </w:r>
      <w:r w:rsidR="00080E62" w:rsidRPr="009A7B0F">
        <w:rPr>
          <w:rFonts w:ascii="Times New Roman" w:hAnsi="Times New Roman" w:cs="Times New Roman"/>
          <w:sz w:val="28"/>
          <w:szCs w:val="28"/>
          <w:lang w:val="en-US"/>
        </w:rPr>
        <w:t>, as well as attract</w:t>
      </w:r>
      <w:r w:rsidRPr="009A7B0F">
        <w:rPr>
          <w:rFonts w:ascii="Times New Roman" w:hAnsi="Times New Roman" w:cs="Times New Roman"/>
          <w:sz w:val="28"/>
          <w:szCs w:val="28"/>
          <w:lang w:val="en-US"/>
        </w:rPr>
        <w:t>s</w:t>
      </w:r>
      <w:r w:rsidR="00080E62" w:rsidRPr="009A7B0F">
        <w:rPr>
          <w:rFonts w:ascii="Times New Roman" w:hAnsi="Times New Roman" w:cs="Times New Roman"/>
          <w:sz w:val="28"/>
          <w:szCs w:val="28"/>
          <w:lang w:val="en-US"/>
        </w:rPr>
        <w:t xml:space="preserve"> funds from the republican budget to finance social projects. At the same time, the Company u</w:t>
      </w:r>
      <w:r w:rsidRPr="009A7B0F">
        <w:rPr>
          <w:rFonts w:ascii="Times New Roman" w:hAnsi="Times New Roman" w:cs="Times New Roman"/>
          <w:sz w:val="28"/>
          <w:szCs w:val="28"/>
          <w:lang w:val="en-US"/>
        </w:rPr>
        <w:t>se</w:t>
      </w:r>
      <w:r w:rsidR="00080E62" w:rsidRPr="009A7B0F">
        <w:rPr>
          <w:rFonts w:ascii="Times New Roman" w:hAnsi="Times New Roman" w:cs="Times New Roman"/>
          <w:sz w:val="28"/>
          <w:szCs w:val="28"/>
          <w:lang w:val="en-US"/>
        </w:rPr>
        <w:t>s both internal sources of financing, and external, such as the European Bank for Reconstruction and Development, the Eurasian Development Bank, etc.</w:t>
      </w:r>
    </w:p>
    <w:p w:rsidR="00080E62" w:rsidRPr="009A7B0F" w:rsidRDefault="00854403"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w:t>
      </w:r>
      <w:r w:rsidR="00080E62"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A</w:t>
      </w:r>
      <w:r w:rsidR="00080E62" w:rsidRPr="009A7B0F">
        <w:rPr>
          <w:rFonts w:ascii="Times New Roman" w:hAnsi="Times New Roman" w:cs="Times New Roman"/>
          <w:sz w:val="28"/>
          <w:szCs w:val="28"/>
          <w:lang w:val="en-US"/>
        </w:rPr>
        <w:t xml:space="preserve">greement on the organization of financing </w:t>
      </w:r>
      <w:r w:rsidRPr="009A7B0F">
        <w:rPr>
          <w:rFonts w:ascii="Times New Roman" w:hAnsi="Times New Roman" w:cs="Times New Roman"/>
          <w:sz w:val="28"/>
          <w:szCs w:val="28"/>
          <w:lang w:val="en-US"/>
        </w:rPr>
        <w:t xml:space="preserve">of the project </w:t>
      </w:r>
      <w:r w:rsidR="003F6665" w:rsidRPr="009A7B0F">
        <w:rPr>
          <w:rFonts w:ascii="Times New Roman" w:hAnsi="Times New Roman" w:cs="Times New Roman"/>
          <w:sz w:val="28"/>
          <w:szCs w:val="28"/>
          <w:lang w:val="en-US"/>
        </w:rPr>
        <w:t>"Construction of 60 MW</w:t>
      </w:r>
      <w:r w:rsidR="00080E62" w:rsidRPr="009A7B0F">
        <w:rPr>
          <w:rFonts w:ascii="Times New Roman" w:hAnsi="Times New Roman" w:cs="Times New Roman"/>
          <w:sz w:val="28"/>
          <w:szCs w:val="28"/>
          <w:lang w:val="en-US"/>
        </w:rPr>
        <w:t xml:space="preserve"> wind farm in </w:t>
      </w:r>
      <w:proofErr w:type="spellStart"/>
      <w:r w:rsidR="003F6665" w:rsidRPr="009A7B0F">
        <w:rPr>
          <w:rFonts w:ascii="Times New Roman" w:hAnsi="Times New Roman" w:cs="Times New Roman"/>
          <w:sz w:val="28"/>
          <w:szCs w:val="28"/>
          <w:lang w:val="en-US"/>
        </w:rPr>
        <w:t>Shelek</w:t>
      </w:r>
      <w:proofErr w:type="spellEnd"/>
      <w:r w:rsidR="00080E62" w:rsidRPr="009A7B0F">
        <w:rPr>
          <w:rFonts w:ascii="Times New Roman" w:hAnsi="Times New Roman" w:cs="Times New Roman"/>
          <w:sz w:val="28"/>
          <w:szCs w:val="28"/>
          <w:lang w:val="en-US"/>
        </w:rPr>
        <w:t xml:space="preserve"> corridor</w:t>
      </w:r>
      <w:r w:rsidR="003F6665" w:rsidRPr="009A7B0F">
        <w:rPr>
          <w:rFonts w:ascii="Times New Roman" w:hAnsi="Times New Roman" w:cs="Times New Roman"/>
          <w:sz w:val="28"/>
          <w:szCs w:val="28"/>
          <w:lang w:val="en-US"/>
        </w:rPr>
        <w:t xml:space="preserve"> with</w:t>
      </w:r>
      <w:r w:rsidR="00080E62" w:rsidRPr="009A7B0F">
        <w:rPr>
          <w:rFonts w:ascii="Times New Roman" w:hAnsi="Times New Roman" w:cs="Times New Roman"/>
          <w:sz w:val="28"/>
          <w:szCs w:val="28"/>
          <w:lang w:val="en-US"/>
        </w:rPr>
        <w:t xml:space="preserve"> the prospect of expansion</w:t>
      </w:r>
      <w:r w:rsidR="003F6665" w:rsidRPr="009A7B0F">
        <w:rPr>
          <w:rFonts w:ascii="Times New Roman" w:hAnsi="Times New Roman" w:cs="Times New Roman"/>
          <w:sz w:val="28"/>
          <w:szCs w:val="28"/>
          <w:lang w:val="en-US"/>
        </w:rPr>
        <w:t xml:space="preserve"> up</w:t>
      </w:r>
      <w:r w:rsidR="00080E62" w:rsidRPr="009A7B0F">
        <w:rPr>
          <w:rFonts w:ascii="Times New Roman" w:hAnsi="Times New Roman" w:cs="Times New Roman"/>
          <w:sz w:val="28"/>
          <w:szCs w:val="28"/>
          <w:lang w:val="en-US"/>
        </w:rPr>
        <w:t xml:space="preserve"> to 300 MW" between "</w:t>
      </w:r>
      <w:proofErr w:type="spellStart"/>
      <w:r w:rsidR="00080E62" w:rsidRPr="009A7B0F">
        <w:rPr>
          <w:rFonts w:ascii="Times New Roman" w:hAnsi="Times New Roman" w:cs="Times New Roman"/>
          <w:sz w:val="28"/>
          <w:szCs w:val="28"/>
          <w:lang w:val="en-US"/>
        </w:rPr>
        <w:t>Samruk</w:t>
      </w:r>
      <w:proofErr w:type="spellEnd"/>
      <w:r w:rsidR="00080E62" w:rsidRPr="009A7B0F">
        <w:rPr>
          <w:rFonts w:ascii="Times New Roman" w:hAnsi="Times New Roman" w:cs="Times New Roman"/>
          <w:sz w:val="28"/>
          <w:szCs w:val="28"/>
          <w:lang w:val="en-US"/>
        </w:rPr>
        <w:t>-Energ</w:t>
      </w:r>
      <w:r w:rsidR="003F6665" w:rsidRPr="009A7B0F">
        <w:rPr>
          <w:rFonts w:ascii="Times New Roman" w:hAnsi="Times New Roman" w:cs="Times New Roman"/>
          <w:sz w:val="28"/>
          <w:szCs w:val="28"/>
          <w:lang w:val="en-US"/>
        </w:rPr>
        <w:t>y</w:t>
      </w:r>
      <w:r w:rsidR="00080E62" w:rsidRPr="009A7B0F">
        <w:rPr>
          <w:rFonts w:ascii="Times New Roman" w:hAnsi="Times New Roman" w:cs="Times New Roman"/>
          <w:sz w:val="28"/>
          <w:szCs w:val="28"/>
          <w:lang w:val="en-US"/>
        </w:rPr>
        <w:t>"</w:t>
      </w:r>
      <w:r w:rsidR="003F6665" w:rsidRPr="009A7B0F">
        <w:rPr>
          <w:rFonts w:ascii="Times New Roman" w:hAnsi="Times New Roman" w:cs="Times New Roman"/>
          <w:sz w:val="28"/>
          <w:szCs w:val="28"/>
          <w:lang w:val="en-US"/>
        </w:rPr>
        <w:t xml:space="preserve"> JSC</w:t>
      </w:r>
      <w:r w:rsidR="00080E62" w:rsidRPr="009A7B0F">
        <w:rPr>
          <w:rFonts w:ascii="Times New Roman" w:hAnsi="Times New Roman" w:cs="Times New Roman"/>
          <w:sz w:val="28"/>
          <w:szCs w:val="28"/>
          <w:lang w:val="en-US"/>
        </w:rPr>
        <w:t xml:space="preserve">, </w:t>
      </w:r>
      <w:r w:rsidR="003F6665" w:rsidRPr="009A7B0F">
        <w:rPr>
          <w:rFonts w:ascii="Times New Roman" w:hAnsi="Times New Roman" w:cs="Times New Roman"/>
          <w:sz w:val="28"/>
          <w:szCs w:val="28"/>
          <w:lang w:val="en-US"/>
        </w:rPr>
        <w:t>CDB</w:t>
      </w:r>
      <w:r w:rsidR="00080E62" w:rsidRPr="009A7B0F">
        <w:rPr>
          <w:rFonts w:ascii="Times New Roman" w:hAnsi="Times New Roman" w:cs="Times New Roman"/>
          <w:sz w:val="28"/>
          <w:szCs w:val="28"/>
          <w:lang w:val="en-US"/>
        </w:rPr>
        <w:t xml:space="preserve"> and </w:t>
      </w:r>
      <w:r w:rsidR="003F6665" w:rsidRPr="009A7B0F">
        <w:rPr>
          <w:rFonts w:ascii="Times New Roman" w:hAnsi="Times New Roman" w:cs="Times New Roman"/>
          <w:sz w:val="28"/>
          <w:szCs w:val="28"/>
          <w:lang w:val="en-US"/>
        </w:rPr>
        <w:t>KDB</w:t>
      </w:r>
      <w:r w:rsidRPr="009A7B0F">
        <w:rPr>
          <w:rFonts w:ascii="Times New Roman" w:hAnsi="Times New Roman" w:cs="Times New Roman"/>
          <w:sz w:val="28"/>
          <w:szCs w:val="28"/>
          <w:lang w:val="en-US"/>
        </w:rPr>
        <w:t xml:space="preserve"> was signed on September 1, 2015 during the visit of President of Kazakhstan to China.</w:t>
      </w:r>
    </w:p>
    <w:p w:rsidR="00080E62" w:rsidRPr="009A7B0F" w:rsidRDefault="00642A55"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lastRenderedPageBreak/>
        <w:t xml:space="preserve">The </w:t>
      </w:r>
      <w:r w:rsidR="00080E62" w:rsidRPr="009A7B0F">
        <w:rPr>
          <w:rFonts w:ascii="Times New Roman" w:hAnsi="Times New Roman" w:cs="Times New Roman"/>
          <w:sz w:val="28"/>
          <w:szCs w:val="28"/>
          <w:lang w:val="en-US"/>
        </w:rPr>
        <w:t>European Bank for Reconstruction and Development and "</w:t>
      </w:r>
      <w:proofErr w:type="spellStart"/>
      <w:r w:rsidR="00080E62" w:rsidRPr="009A7B0F">
        <w:rPr>
          <w:rFonts w:ascii="Times New Roman" w:hAnsi="Times New Roman" w:cs="Times New Roman"/>
          <w:sz w:val="28"/>
          <w:szCs w:val="28"/>
          <w:lang w:val="en-US"/>
        </w:rPr>
        <w:t>Shardar</w:t>
      </w:r>
      <w:r w:rsidRPr="009A7B0F">
        <w:rPr>
          <w:rFonts w:ascii="Times New Roman" w:hAnsi="Times New Roman" w:cs="Times New Roman"/>
          <w:sz w:val="28"/>
          <w:szCs w:val="28"/>
          <w:lang w:val="en-US"/>
        </w:rPr>
        <w:t>inskaya</w:t>
      </w:r>
      <w:proofErr w:type="spellEnd"/>
      <w:r w:rsidR="00080E62" w:rsidRPr="009A7B0F">
        <w:rPr>
          <w:rFonts w:ascii="Times New Roman" w:hAnsi="Times New Roman" w:cs="Times New Roman"/>
          <w:sz w:val="28"/>
          <w:szCs w:val="28"/>
          <w:lang w:val="en-US"/>
        </w:rPr>
        <w:t xml:space="preserve"> HPP"</w:t>
      </w:r>
      <w:r w:rsidRPr="009A7B0F">
        <w:rPr>
          <w:rFonts w:ascii="Times New Roman" w:hAnsi="Times New Roman" w:cs="Times New Roman"/>
          <w:sz w:val="28"/>
          <w:szCs w:val="28"/>
          <w:lang w:val="en-US"/>
        </w:rPr>
        <w:t xml:space="preserve"> JSC</w:t>
      </w:r>
      <w:r w:rsidR="00080E62" w:rsidRPr="009A7B0F">
        <w:rPr>
          <w:rFonts w:ascii="Times New Roman" w:hAnsi="Times New Roman" w:cs="Times New Roman"/>
          <w:sz w:val="28"/>
          <w:szCs w:val="28"/>
          <w:lang w:val="en-US"/>
        </w:rPr>
        <w:t xml:space="preserve"> entered into a </w:t>
      </w:r>
      <w:r w:rsidRPr="009A7B0F">
        <w:rPr>
          <w:rFonts w:ascii="Times New Roman" w:hAnsi="Times New Roman" w:cs="Times New Roman"/>
          <w:sz w:val="28"/>
          <w:szCs w:val="28"/>
          <w:lang w:val="en-US"/>
        </w:rPr>
        <w:t>loan</w:t>
      </w:r>
      <w:r w:rsidR="00080E62" w:rsidRPr="009A7B0F">
        <w:rPr>
          <w:rFonts w:ascii="Times New Roman" w:hAnsi="Times New Roman" w:cs="Times New Roman"/>
          <w:sz w:val="28"/>
          <w:szCs w:val="28"/>
          <w:lang w:val="en-US"/>
        </w:rPr>
        <w:t xml:space="preserve"> agreement for financing the project "Modernization of </w:t>
      </w:r>
      <w:proofErr w:type="spellStart"/>
      <w:r w:rsidR="00080E62" w:rsidRPr="009A7B0F">
        <w:rPr>
          <w:rFonts w:ascii="Times New Roman" w:hAnsi="Times New Roman" w:cs="Times New Roman"/>
          <w:sz w:val="28"/>
          <w:szCs w:val="28"/>
          <w:lang w:val="en-US"/>
        </w:rPr>
        <w:t>Shardar</w:t>
      </w:r>
      <w:r w:rsidRPr="009A7B0F">
        <w:rPr>
          <w:rFonts w:ascii="Times New Roman" w:hAnsi="Times New Roman" w:cs="Times New Roman"/>
          <w:sz w:val="28"/>
          <w:szCs w:val="28"/>
          <w:lang w:val="en-US"/>
        </w:rPr>
        <w:t>inskaya</w:t>
      </w:r>
      <w:proofErr w:type="spellEnd"/>
      <w:r w:rsidR="00080E62" w:rsidRPr="009A7B0F">
        <w:rPr>
          <w:rFonts w:ascii="Times New Roman" w:hAnsi="Times New Roman" w:cs="Times New Roman"/>
          <w:sz w:val="28"/>
          <w:szCs w:val="28"/>
          <w:lang w:val="en-US"/>
        </w:rPr>
        <w:t xml:space="preserve"> HPP"</w:t>
      </w:r>
      <w:r w:rsidRPr="009A7B0F">
        <w:rPr>
          <w:rFonts w:ascii="Times New Roman" w:hAnsi="Times New Roman" w:cs="Times New Roman"/>
          <w:sz w:val="28"/>
          <w:szCs w:val="28"/>
          <w:lang w:val="en-US"/>
        </w:rPr>
        <w:t xml:space="preserve"> on August 24, 2012</w:t>
      </w:r>
      <w:r w:rsidR="00080E62"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The access to loan proceeds of the Bank was opened on December 2, 2015</w:t>
      </w:r>
      <w:r w:rsidR="00080E62" w:rsidRPr="009A7B0F">
        <w:rPr>
          <w:rFonts w:ascii="Times New Roman" w:hAnsi="Times New Roman" w:cs="Times New Roman"/>
          <w:sz w:val="28"/>
          <w:szCs w:val="28"/>
          <w:lang w:val="en-US"/>
        </w:rPr>
        <w:t xml:space="preserve"> </w:t>
      </w:r>
      <w:r w:rsidRPr="009A7B0F">
        <w:rPr>
          <w:rFonts w:ascii="Times New Roman" w:hAnsi="Times New Roman" w:cs="Times New Roman"/>
          <w:sz w:val="28"/>
          <w:szCs w:val="28"/>
          <w:lang w:val="en-US"/>
        </w:rPr>
        <w:t xml:space="preserve">within the agreement </w:t>
      </w:r>
      <w:r w:rsidR="00080E62" w:rsidRPr="009A7B0F">
        <w:rPr>
          <w:rFonts w:ascii="Times New Roman" w:hAnsi="Times New Roman" w:cs="Times New Roman"/>
          <w:sz w:val="28"/>
          <w:szCs w:val="28"/>
          <w:lang w:val="en-US"/>
        </w:rPr>
        <w:t xml:space="preserve">and the first disbursement </w:t>
      </w:r>
      <w:r w:rsidRPr="009A7B0F">
        <w:rPr>
          <w:rFonts w:ascii="Times New Roman" w:hAnsi="Times New Roman" w:cs="Times New Roman"/>
          <w:sz w:val="28"/>
          <w:szCs w:val="28"/>
          <w:lang w:val="en-US"/>
        </w:rPr>
        <w:t>of</w:t>
      </w:r>
      <w:r w:rsidR="00080E62" w:rsidRPr="009A7B0F">
        <w:rPr>
          <w:rFonts w:ascii="Times New Roman" w:hAnsi="Times New Roman" w:cs="Times New Roman"/>
          <w:sz w:val="28"/>
          <w:szCs w:val="28"/>
          <w:lang w:val="en-US"/>
        </w:rPr>
        <w:t xml:space="preserve"> funds under the credit line</w:t>
      </w:r>
      <w:r w:rsidRPr="009A7B0F">
        <w:rPr>
          <w:rFonts w:ascii="Times New Roman" w:hAnsi="Times New Roman" w:cs="Times New Roman"/>
          <w:sz w:val="28"/>
          <w:szCs w:val="28"/>
          <w:lang w:val="en-US"/>
        </w:rPr>
        <w:t xml:space="preserve"> was made</w:t>
      </w:r>
      <w:r w:rsidR="00080E62" w:rsidRPr="009A7B0F">
        <w:rPr>
          <w:rFonts w:ascii="Times New Roman" w:hAnsi="Times New Roman" w:cs="Times New Roman"/>
          <w:sz w:val="28"/>
          <w:szCs w:val="28"/>
          <w:lang w:val="en-US"/>
        </w:rPr>
        <w:t>.</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p>
    <w:p w:rsidR="00080E62" w:rsidRPr="009A7B0F" w:rsidRDefault="00080E62" w:rsidP="009A7B0F">
      <w:pPr>
        <w:spacing w:after="120" w:line="240" w:lineRule="auto"/>
        <w:ind w:right="-143" w:firstLine="709"/>
        <w:jc w:val="both"/>
        <w:rPr>
          <w:rFonts w:ascii="Times New Roman" w:hAnsi="Times New Roman" w:cs="Times New Roman"/>
          <w:b/>
          <w:sz w:val="28"/>
          <w:szCs w:val="28"/>
          <w:u w:val="single"/>
          <w:lang w:val="en-US"/>
        </w:rPr>
      </w:pPr>
      <w:r w:rsidRPr="009A7B0F">
        <w:rPr>
          <w:rFonts w:ascii="Times New Roman" w:hAnsi="Times New Roman" w:cs="Times New Roman"/>
          <w:b/>
          <w:sz w:val="28"/>
          <w:szCs w:val="28"/>
          <w:u w:val="single"/>
          <w:lang w:val="en-US"/>
        </w:rPr>
        <w:t>6. Contingent liabilities, contractual obligations</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In accordance with environmental legislation, the Company has a legal obligation to restore ash d</w:t>
      </w:r>
      <w:r w:rsidR="00642A55" w:rsidRPr="009A7B0F">
        <w:rPr>
          <w:rFonts w:ascii="Times New Roman" w:hAnsi="Times New Roman" w:cs="Times New Roman"/>
          <w:sz w:val="28"/>
          <w:szCs w:val="28"/>
          <w:lang w:val="en-US"/>
        </w:rPr>
        <w:t>isposal</w:t>
      </w:r>
      <w:r w:rsidRPr="009A7B0F">
        <w:rPr>
          <w:rFonts w:ascii="Times New Roman" w:hAnsi="Times New Roman" w:cs="Times New Roman"/>
          <w:sz w:val="28"/>
          <w:szCs w:val="28"/>
          <w:lang w:val="en-US"/>
        </w:rPr>
        <w:t xml:space="preserve"> site</w:t>
      </w:r>
      <w:r w:rsidR="00642A55" w:rsidRPr="009A7B0F">
        <w:rPr>
          <w:rFonts w:ascii="Times New Roman" w:hAnsi="Times New Roman" w:cs="Times New Roman"/>
          <w:sz w:val="28"/>
          <w:szCs w:val="28"/>
          <w:lang w:val="en-US"/>
        </w:rPr>
        <w:t xml:space="preserve"> that</w:t>
      </w:r>
      <w:r w:rsidRPr="009A7B0F">
        <w:rPr>
          <w:rFonts w:ascii="Times New Roman" w:hAnsi="Times New Roman" w:cs="Times New Roman"/>
          <w:sz w:val="28"/>
          <w:szCs w:val="28"/>
          <w:lang w:val="en-US"/>
        </w:rPr>
        <w:t xml:space="preserve"> represent</w:t>
      </w:r>
      <w:r w:rsidR="00642A55" w:rsidRPr="009A7B0F">
        <w:rPr>
          <w:rFonts w:ascii="Times New Roman" w:hAnsi="Times New Roman" w:cs="Times New Roman"/>
          <w:sz w:val="28"/>
          <w:szCs w:val="28"/>
          <w:lang w:val="en-US"/>
        </w:rPr>
        <w:t>s</w:t>
      </w:r>
      <w:r w:rsidRPr="009A7B0F">
        <w:rPr>
          <w:rFonts w:ascii="Times New Roman" w:hAnsi="Times New Roman" w:cs="Times New Roman"/>
          <w:sz w:val="28"/>
          <w:szCs w:val="28"/>
          <w:lang w:val="en-US"/>
        </w:rPr>
        <w:t xml:space="preserve"> polygon</w:t>
      </w:r>
      <w:r w:rsidR="00642A55" w:rsidRPr="009A7B0F">
        <w:rPr>
          <w:rFonts w:ascii="Times New Roman" w:hAnsi="Times New Roman" w:cs="Times New Roman"/>
          <w:sz w:val="28"/>
          <w:szCs w:val="28"/>
          <w:lang w:val="en-US"/>
        </w:rPr>
        <w:t>s of operations waste placement.</w:t>
      </w:r>
      <w:r w:rsidRPr="009A7B0F">
        <w:rPr>
          <w:rFonts w:ascii="Times New Roman" w:hAnsi="Times New Roman" w:cs="Times New Roman"/>
          <w:sz w:val="28"/>
          <w:szCs w:val="28"/>
          <w:lang w:val="en-US"/>
        </w:rPr>
        <w:t xml:space="preserve"> </w:t>
      </w:r>
      <w:r w:rsidR="00642A55" w:rsidRPr="009A7B0F">
        <w:rPr>
          <w:rFonts w:ascii="Times New Roman" w:hAnsi="Times New Roman" w:cs="Times New Roman"/>
          <w:sz w:val="28"/>
          <w:szCs w:val="28"/>
          <w:lang w:val="en-US"/>
        </w:rPr>
        <w:t xml:space="preserve">Book value of </w:t>
      </w:r>
      <w:r w:rsidRPr="009A7B0F">
        <w:rPr>
          <w:rFonts w:ascii="Times New Roman" w:hAnsi="Times New Roman" w:cs="Times New Roman"/>
          <w:sz w:val="28"/>
          <w:szCs w:val="28"/>
          <w:lang w:val="en-US"/>
        </w:rPr>
        <w:t>the provision for restoration of ash dumps</w:t>
      </w:r>
      <w:r w:rsidR="00642A55" w:rsidRPr="009A7B0F">
        <w:rPr>
          <w:rFonts w:ascii="Times New Roman" w:hAnsi="Times New Roman" w:cs="Times New Roman"/>
          <w:sz w:val="28"/>
          <w:szCs w:val="28"/>
          <w:lang w:val="en-US"/>
        </w:rPr>
        <w:t xml:space="preserve"> at the end of 2015 made</w:t>
      </w:r>
      <w:r w:rsidRPr="009A7B0F">
        <w:rPr>
          <w:rFonts w:ascii="Times New Roman" w:hAnsi="Times New Roman" w:cs="Times New Roman"/>
          <w:sz w:val="28"/>
          <w:szCs w:val="28"/>
          <w:lang w:val="en-US"/>
        </w:rPr>
        <w:t xml:space="preserve"> 1</w:t>
      </w:r>
      <w:r w:rsidR="00642A55" w:rsidRPr="009A7B0F">
        <w:rPr>
          <w:rFonts w:ascii="Times New Roman" w:hAnsi="Times New Roman" w:cs="Times New Roman"/>
          <w:sz w:val="28"/>
          <w:szCs w:val="28"/>
          <w:lang w:val="en-US"/>
        </w:rPr>
        <w:t> </w:t>
      </w:r>
      <w:r w:rsidRPr="009A7B0F">
        <w:rPr>
          <w:rFonts w:ascii="Times New Roman" w:hAnsi="Times New Roman" w:cs="Times New Roman"/>
          <w:sz w:val="28"/>
          <w:szCs w:val="28"/>
          <w:lang w:val="en-US"/>
        </w:rPr>
        <w:t>962</w:t>
      </w:r>
      <w:proofErr w:type="gramStart"/>
      <w:r w:rsidR="00642A55"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5</w:t>
      </w:r>
      <w:proofErr w:type="gramEnd"/>
      <w:r w:rsidRPr="009A7B0F">
        <w:rPr>
          <w:rFonts w:ascii="Times New Roman" w:hAnsi="Times New Roman" w:cs="Times New Roman"/>
          <w:sz w:val="28"/>
          <w:szCs w:val="28"/>
          <w:lang w:val="en-US"/>
        </w:rPr>
        <w:t xml:space="preserve"> </w:t>
      </w:r>
      <w:proofErr w:type="spellStart"/>
      <w:r w:rsidRPr="009A7B0F">
        <w:rPr>
          <w:rFonts w:ascii="Times New Roman" w:hAnsi="Times New Roman" w:cs="Times New Roman"/>
          <w:sz w:val="28"/>
          <w:szCs w:val="28"/>
          <w:lang w:val="en-US"/>
        </w:rPr>
        <w:t>mln.</w:t>
      </w:r>
      <w:r w:rsidR="00642A55" w:rsidRPr="009A7B0F">
        <w:rPr>
          <w:rFonts w:ascii="Times New Roman" w:hAnsi="Times New Roman" w:cs="Times New Roman"/>
          <w:sz w:val="28"/>
          <w:szCs w:val="28"/>
          <w:lang w:val="en-US"/>
        </w:rPr>
        <w:t>tenge</w:t>
      </w:r>
      <w:proofErr w:type="spellEnd"/>
      <w:r w:rsidR="00642A55" w:rsidRPr="009A7B0F">
        <w:rPr>
          <w:rFonts w:ascii="Times New Roman" w:hAnsi="Times New Roman" w:cs="Times New Roman"/>
          <w:sz w:val="28"/>
          <w:szCs w:val="28"/>
          <w:lang w:val="en-US"/>
        </w:rPr>
        <w:t xml:space="preserve">. </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Capital commitments at the end of the reporting period include the contractual obligations for acquisition of fixed assets totaling 128,417 </w:t>
      </w:r>
      <w:proofErr w:type="spellStart"/>
      <w:r w:rsidRPr="009A7B0F">
        <w:rPr>
          <w:rFonts w:ascii="Times New Roman" w:hAnsi="Times New Roman" w:cs="Times New Roman"/>
          <w:sz w:val="28"/>
          <w:szCs w:val="28"/>
          <w:lang w:val="en-US"/>
        </w:rPr>
        <w:t>m</w:t>
      </w:r>
      <w:r w:rsidR="00417E68" w:rsidRPr="009A7B0F">
        <w:rPr>
          <w:rFonts w:ascii="Times New Roman" w:hAnsi="Times New Roman" w:cs="Times New Roman"/>
          <w:sz w:val="28"/>
          <w:szCs w:val="28"/>
          <w:lang w:val="en-US"/>
        </w:rPr>
        <w:t>l</w:t>
      </w:r>
      <w:r w:rsidRPr="009A7B0F">
        <w:rPr>
          <w:rFonts w:ascii="Times New Roman" w:hAnsi="Times New Roman" w:cs="Times New Roman"/>
          <w:sz w:val="28"/>
          <w:szCs w:val="28"/>
          <w:lang w:val="en-US"/>
        </w:rPr>
        <w:t>n</w:t>
      </w:r>
      <w:proofErr w:type="spellEnd"/>
      <w:r w:rsidR="00417E68"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w:t>
      </w:r>
      <w:proofErr w:type="spellStart"/>
      <w:proofErr w:type="gramStart"/>
      <w:r w:rsidRPr="009A7B0F">
        <w:rPr>
          <w:rFonts w:ascii="Times New Roman" w:hAnsi="Times New Roman" w:cs="Times New Roman"/>
          <w:sz w:val="28"/>
          <w:szCs w:val="28"/>
          <w:lang w:val="en-US"/>
        </w:rPr>
        <w:t>tenge</w:t>
      </w:r>
      <w:proofErr w:type="spellEnd"/>
      <w:proofErr w:type="gramEnd"/>
      <w:r w:rsidRPr="009A7B0F">
        <w:rPr>
          <w:rFonts w:ascii="Times New Roman" w:hAnsi="Times New Roman" w:cs="Times New Roman"/>
          <w:sz w:val="28"/>
          <w:szCs w:val="28"/>
          <w:lang w:val="en-US"/>
        </w:rPr>
        <w:t>, obligations under the contract for subsoil use</w:t>
      </w:r>
      <w:r w:rsidR="00417E68"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for implementation of the work program</w:t>
      </w:r>
      <w:r w:rsidR="00417E68"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for exploration </w:t>
      </w:r>
      <w:r w:rsidR="00417E68" w:rsidRPr="009A7B0F">
        <w:rPr>
          <w:rFonts w:ascii="Times New Roman" w:hAnsi="Times New Roman" w:cs="Times New Roman"/>
          <w:sz w:val="28"/>
          <w:szCs w:val="28"/>
          <w:lang w:val="en-US"/>
        </w:rPr>
        <w:t>activities at</w:t>
      </w:r>
      <w:r w:rsidRPr="009A7B0F">
        <w:rPr>
          <w:rFonts w:ascii="Times New Roman" w:hAnsi="Times New Roman" w:cs="Times New Roman"/>
          <w:sz w:val="28"/>
          <w:szCs w:val="28"/>
          <w:lang w:val="en-US"/>
        </w:rPr>
        <w:t xml:space="preserve"> the gas field </w:t>
      </w:r>
      <w:r w:rsidR="00417E68"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w:t>
      </w:r>
      <w:r w:rsidR="00417E68" w:rsidRPr="009A7B0F">
        <w:rPr>
          <w:rFonts w:ascii="Times New Roman" w:hAnsi="Times New Roman" w:cs="Times New Roman"/>
          <w:sz w:val="28"/>
          <w:szCs w:val="28"/>
          <w:lang w:val="en-US"/>
        </w:rPr>
        <w:t>for the amount of</w:t>
      </w:r>
      <w:r w:rsidRPr="009A7B0F">
        <w:rPr>
          <w:rFonts w:ascii="Times New Roman" w:hAnsi="Times New Roman" w:cs="Times New Roman"/>
          <w:sz w:val="28"/>
          <w:szCs w:val="28"/>
          <w:lang w:val="en-US"/>
        </w:rPr>
        <w:t xml:space="preserve"> 856 </w:t>
      </w:r>
      <w:proofErr w:type="spellStart"/>
      <w:r w:rsidRPr="009A7B0F">
        <w:rPr>
          <w:rFonts w:ascii="Times New Roman" w:hAnsi="Times New Roman" w:cs="Times New Roman"/>
          <w:sz w:val="28"/>
          <w:szCs w:val="28"/>
          <w:lang w:val="en-US"/>
        </w:rPr>
        <w:t>m</w:t>
      </w:r>
      <w:r w:rsidR="00417E68" w:rsidRPr="009A7B0F">
        <w:rPr>
          <w:rFonts w:ascii="Times New Roman" w:hAnsi="Times New Roman" w:cs="Times New Roman"/>
          <w:sz w:val="28"/>
          <w:szCs w:val="28"/>
          <w:lang w:val="en-US"/>
        </w:rPr>
        <w:t>l</w:t>
      </w:r>
      <w:r w:rsidRPr="009A7B0F">
        <w:rPr>
          <w:rFonts w:ascii="Times New Roman" w:hAnsi="Times New Roman" w:cs="Times New Roman"/>
          <w:sz w:val="28"/>
          <w:szCs w:val="28"/>
          <w:lang w:val="en-US"/>
        </w:rPr>
        <w:t>n</w:t>
      </w:r>
      <w:proofErr w:type="spellEnd"/>
      <w:r w:rsidR="00417E68"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 xml:space="preserve"> </w:t>
      </w:r>
      <w:proofErr w:type="spellStart"/>
      <w:proofErr w:type="gramStart"/>
      <w:r w:rsidRPr="009A7B0F">
        <w:rPr>
          <w:rFonts w:ascii="Times New Roman" w:hAnsi="Times New Roman" w:cs="Times New Roman"/>
          <w:sz w:val="28"/>
          <w:szCs w:val="28"/>
          <w:lang w:val="en-US"/>
        </w:rPr>
        <w:t>tenge</w:t>
      </w:r>
      <w:proofErr w:type="spellEnd"/>
      <w:proofErr w:type="gramEnd"/>
      <w:r w:rsidRPr="009A7B0F">
        <w:rPr>
          <w:rFonts w:ascii="Times New Roman" w:hAnsi="Times New Roman" w:cs="Times New Roman"/>
          <w:sz w:val="28"/>
          <w:szCs w:val="28"/>
          <w:lang w:val="en-US"/>
        </w:rPr>
        <w:t xml:space="preserve">, the share of capital commitments </w:t>
      </w:r>
      <w:r w:rsidR="00417E68" w:rsidRPr="009A7B0F">
        <w:rPr>
          <w:rFonts w:ascii="Times New Roman" w:hAnsi="Times New Roman" w:cs="Times New Roman"/>
          <w:sz w:val="28"/>
          <w:szCs w:val="28"/>
          <w:lang w:val="en-US"/>
        </w:rPr>
        <w:t xml:space="preserve">of shared </w:t>
      </w:r>
      <w:r w:rsidRPr="009A7B0F">
        <w:rPr>
          <w:rFonts w:ascii="Times New Roman" w:hAnsi="Times New Roman" w:cs="Times New Roman"/>
          <w:sz w:val="28"/>
          <w:szCs w:val="28"/>
          <w:lang w:val="en-US"/>
        </w:rPr>
        <w:t xml:space="preserve">companies amounted to 49 037 </w:t>
      </w:r>
      <w:proofErr w:type="spellStart"/>
      <w:r w:rsidRPr="009A7B0F">
        <w:rPr>
          <w:rFonts w:ascii="Times New Roman" w:hAnsi="Times New Roman" w:cs="Times New Roman"/>
          <w:sz w:val="28"/>
          <w:szCs w:val="28"/>
          <w:lang w:val="en-US"/>
        </w:rPr>
        <w:t>m</w:t>
      </w:r>
      <w:r w:rsidR="00A65B89" w:rsidRPr="009A7B0F">
        <w:rPr>
          <w:rFonts w:ascii="Times New Roman" w:hAnsi="Times New Roman" w:cs="Times New Roman"/>
          <w:sz w:val="28"/>
          <w:szCs w:val="28"/>
          <w:lang w:val="en-US"/>
        </w:rPr>
        <w:t>l</w:t>
      </w:r>
      <w:r w:rsidRPr="009A7B0F">
        <w:rPr>
          <w:rFonts w:ascii="Times New Roman" w:hAnsi="Times New Roman" w:cs="Times New Roman"/>
          <w:sz w:val="28"/>
          <w:szCs w:val="28"/>
          <w:lang w:val="en-US"/>
        </w:rPr>
        <w:t>n</w:t>
      </w:r>
      <w:r w:rsidR="00A65B89" w:rsidRPr="009A7B0F">
        <w:rPr>
          <w:rFonts w:ascii="Times New Roman" w:hAnsi="Times New Roman" w:cs="Times New Roman"/>
          <w:sz w:val="28"/>
          <w:szCs w:val="28"/>
          <w:lang w:val="en-US"/>
        </w:rPr>
        <w:t>.</w:t>
      </w:r>
      <w:r w:rsidRPr="009A7B0F">
        <w:rPr>
          <w:rFonts w:ascii="Times New Roman" w:hAnsi="Times New Roman" w:cs="Times New Roman"/>
          <w:sz w:val="28"/>
          <w:szCs w:val="28"/>
          <w:lang w:val="en-US"/>
        </w:rPr>
        <w:t>tenge</w:t>
      </w:r>
      <w:proofErr w:type="spellEnd"/>
      <w:r w:rsidRPr="009A7B0F">
        <w:rPr>
          <w:rFonts w:ascii="Times New Roman" w:hAnsi="Times New Roman" w:cs="Times New Roman"/>
          <w:sz w:val="28"/>
          <w:szCs w:val="28"/>
          <w:lang w:val="en-US"/>
        </w:rPr>
        <w:t>.</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In accordance with an agreement on investment commitments ME RK commitment to generating companies by the end of 2015 amounted to 78 289 million </w:t>
      </w:r>
      <w:proofErr w:type="spellStart"/>
      <w:r w:rsidRPr="009A7B0F">
        <w:rPr>
          <w:rFonts w:ascii="Times New Roman" w:hAnsi="Times New Roman" w:cs="Times New Roman"/>
          <w:sz w:val="28"/>
          <w:szCs w:val="28"/>
          <w:lang w:val="en-US"/>
        </w:rPr>
        <w:t>tenge</w:t>
      </w:r>
      <w:proofErr w:type="spellEnd"/>
      <w:r w:rsidRPr="009A7B0F">
        <w:rPr>
          <w:rFonts w:ascii="Times New Roman" w:hAnsi="Times New Roman" w:cs="Times New Roman"/>
          <w:sz w:val="28"/>
          <w:szCs w:val="28"/>
          <w:lang w:val="en-US"/>
        </w:rPr>
        <w:t>.</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p>
    <w:p w:rsidR="00080E62" w:rsidRPr="009A7B0F" w:rsidRDefault="00080E62" w:rsidP="009A7B0F">
      <w:pPr>
        <w:spacing w:after="120" w:line="240" w:lineRule="auto"/>
        <w:ind w:right="-143" w:firstLine="709"/>
        <w:jc w:val="both"/>
        <w:rPr>
          <w:rFonts w:ascii="Times New Roman" w:hAnsi="Times New Roman" w:cs="Times New Roman"/>
          <w:b/>
          <w:sz w:val="28"/>
          <w:szCs w:val="28"/>
          <w:u w:val="single"/>
          <w:lang w:val="en-US"/>
        </w:rPr>
      </w:pPr>
      <w:r w:rsidRPr="009A7B0F">
        <w:rPr>
          <w:rFonts w:ascii="Times New Roman" w:hAnsi="Times New Roman" w:cs="Times New Roman"/>
          <w:b/>
          <w:sz w:val="28"/>
          <w:szCs w:val="28"/>
          <w:u w:val="single"/>
          <w:lang w:val="en-US"/>
        </w:rPr>
        <w:t>7. Comparative analysis (benchmarking)</w:t>
      </w:r>
    </w:p>
    <w:p w:rsidR="00A65B89" w:rsidRPr="009A7B0F" w:rsidRDefault="00A65B89" w:rsidP="009A7B0F">
      <w:pPr>
        <w:spacing w:after="120" w:line="240" w:lineRule="auto"/>
        <w:ind w:right="-143" w:firstLine="709"/>
        <w:jc w:val="both"/>
        <w:rPr>
          <w:rFonts w:ascii="Times New Roman" w:hAnsi="Times New Roman" w:cs="Times New Roman"/>
          <w:sz w:val="28"/>
          <w:szCs w:val="28"/>
          <w:lang w:val="en-US"/>
        </w:rPr>
      </w:pP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The purpose of</w:t>
      </w:r>
      <w:r w:rsidR="00A65B89" w:rsidRPr="009A7B0F">
        <w:rPr>
          <w:rFonts w:ascii="Times New Roman" w:hAnsi="Times New Roman" w:cs="Times New Roman"/>
          <w:sz w:val="28"/>
          <w:szCs w:val="28"/>
          <w:lang w:val="en-US"/>
        </w:rPr>
        <w:t xml:space="preserve"> carrying out</w:t>
      </w:r>
      <w:r w:rsidRPr="009A7B0F">
        <w:rPr>
          <w:rFonts w:ascii="Times New Roman" w:hAnsi="Times New Roman" w:cs="Times New Roman"/>
          <w:sz w:val="28"/>
          <w:szCs w:val="28"/>
          <w:lang w:val="en-US"/>
        </w:rPr>
        <w:t xml:space="preserve"> benchmarking is to</w:t>
      </w:r>
      <w:r w:rsidR="00A65B89" w:rsidRPr="009A7B0F">
        <w:rPr>
          <w:rFonts w:ascii="Times New Roman" w:hAnsi="Times New Roman" w:cs="Times New Roman"/>
          <w:sz w:val="28"/>
          <w:szCs w:val="28"/>
          <w:lang w:val="en-US"/>
        </w:rPr>
        <w:t xml:space="preserve"> compare</w:t>
      </w:r>
      <w:r w:rsidRPr="009A7B0F">
        <w:rPr>
          <w:rFonts w:ascii="Times New Roman" w:hAnsi="Times New Roman" w:cs="Times New Roman"/>
          <w:sz w:val="28"/>
          <w:szCs w:val="28"/>
          <w:lang w:val="en-US"/>
        </w:rPr>
        <w:t xml:space="preserve"> operatin</w:t>
      </w:r>
      <w:r w:rsidR="00A65B89" w:rsidRPr="009A7B0F">
        <w:rPr>
          <w:rFonts w:ascii="Times New Roman" w:hAnsi="Times New Roman" w:cs="Times New Roman"/>
          <w:sz w:val="28"/>
          <w:szCs w:val="28"/>
          <w:lang w:val="en-US"/>
        </w:rPr>
        <w:t>g and financial results with foreign</w:t>
      </w:r>
      <w:r w:rsidRPr="009A7B0F">
        <w:rPr>
          <w:rFonts w:ascii="Times New Roman" w:hAnsi="Times New Roman" w:cs="Times New Roman"/>
          <w:sz w:val="28"/>
          <w:szCs w:val="28"/>
          <w:lang w:val="en-US"/>
        </w:rPr>
        <w:t xml:space="preserve"> </w:t>
      </w:r>
      <w:r w:rsidR="00337E13" w:rsidRPr="009A7B0F">
        <w:rPr>
          <w:rFonts w:ascii="Times New Roman" w:hAnsi="Times New Roman" w:cs="Times New Roman"/>
          <w:sz w:val="28"/>
          <w:szCs w:val="28"/>
          <w:lang w:val="en-US"/>
        </w:rPr>
        <w:t xml:space="preserve">peer </w:t>
      </w:r>
      <w:r w:rsidRPr="009A7B0F">
        <w:rPr>
          <w:rFonts w:ascii="Times New Roman" w:hAnsi="Times New Roman" w:cs="Times New Roman"/>
          <w:sz w:val="28"/>
          <w:szCs w:val="28"/>
          <w:lang w:val="en-US"/>
        </w:rPr>
        <w:t>companies to determine strengths and weaknesses of "</w:t>
      </w:r>
      <w:proofErr w:type="spellStart"/>
      <w:r w:rsidRPr="009A7B0F">
        <w:rPr>
          <w:rFonts w:ascii="Times New Roman" w:hAnsi="Times New Roman" w:cs="Times New Roman"/>
          <w:sz w:val="28"/>
          <w:szCs w:val="28"/>
          <w:lang w:val="en-US"/>
        </w:rPr>
        <w:t>Samruk</w:t>
      </w:r>
      <w:proofErr w:type="spellEnd"/>
      <w:r w:rsidRPr="009A7B0F">
        <w:rPr>
          <w:rFonts w:ascii="Times New Roman" w:hAnsi="Times New Roman" w:cs="Times New Roman"/>
          <w:sz w:val="28"/>
          <w:szCs w:val="28"/>
          <w:lang w:val="en-US"/>
        </w:rPr>
        <w:t>-Energ</w:t>
      </w:r>
      <w:r w:rsidR="00337E13" w:rsidRPr="009A7B0F">
        <w:rPr>
          <w:rFonts w:ascii="Times New Roman" w:hAnsi="Times New Roman" w:cs="Times New Roman"/>
          <w:sz w:val="28"/>
          <w:szCs w:val="28"/>
          <w:lang w:val="en-US"/>
        </w:rPr>
        <w:t>y</w:t>
      </w:r>
      <w:r w:rsidRPr="009A7B0F">
        <w:rPr>
          <w:rFonts w:ascii="Times New Roman" w:hAnsi="Times New Roman" w:cs="Times New Roman"/>
          <w:sz w:val="28"/>
          <w:szCs w:val="28"/>
          <w:lang w:val="en-US"/>
        </w:rPr>
        <w:t>"</w:t>
      </w:r>
      <w:r w:rsidR="00337E13" w:rsidRPr="009A7B0F">
        <w:rPr>
          <w:rFonts w:ascii="Times New Roman" w:hAnsi="Times New Roman" w:cs="Times New Roman"/>
          <w:sz w:val="28"/>
          <w:szCs w:val="28"/>
          <w:lang w:val="en-US"/>
        </w:rPr>
        <w:t xml:space="preserve"> JSC</w:t>
      </w:r>
      <w:r w:rsidRPr="009A7B0F">
        <w:rPr>
          <w:rFonts w:ascii="Times New Roman" w:hAnsi="Times New Roman" w:cs="Times New Roman"/>
          <w:sz w:val="28"/>
          <w:szCs w:val="28"/>
          <w:lang w:val="en-US"/>
        </w:rPr>
        <w:t>. The following indicators were used for benchmarking:</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Annual </w:t>
      </w:r>
      <w:r w:rsidR="00337E13" w:rsidRPr="009A7B0F">
        <w:rPr>
          <w:rFonts w:ascii="Times New Roman" w:hAnsi="Times New Roman" w:cs="Times New Roman"/>
          <w:sz w:val="28"/>
          <w:szCs w:val="28"/>
          <w:lang w:val="en-US"/>
        </w:rPr>
        <w:t xml:space="preserve">power generation; </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xml:space="preserve">- </w:t>
      </w:r>
      <w:r w:rsidR="00337E13" w:rsidRPr="009A7B0F">
        <w:rPr>
          <w:rFonts w:ascii="Times New Roman" w:hAnsi="Times New Roman" w:cs="Times New Roman"/>
          <w:sz w:val="28"/>
          <w:szCs w:val="28"/>
          <w:lang w:val="en-US"/>
        </w:rPr>
        <w:t>installed capacity utilization factor</w:t>
      </w:r>
      <w:r w:rsidRPr="009A7B0F">
        <w:rPr>
          <w:rFonts w:ascii="Times New Roman" w:hAnsi="Times New Roman" w:cs="Times New Roman"/>
          <w:sz w:val="28"/>
          <w:szCs w:val="28"/>
          <w:lang w:val="en-US"/>
        </w:rPr>
        <w:t>;</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EBITDA margin;</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Return on invested capital (ROIC);</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Gearing ratio (debt / equity)</w:t>
      </w:r>
    </w:p>
    <w:p w:rsidR="00080E62" w:rsidRPr="009A7B0F" w:rsidRDefault="00080E62" w:rsidP="009A7B0F">
      <w:pPr>
        <w:spacing w:after="120" w:line="240" w:lineRule="auto"/>
        <w:ind w:right="-143" w:firstLine="709"/>
        <w:jc w:val="both"/>
        <w:rPr>
          <w:rFonts w:ascii="Times New Roman" w:hAnsi="Times New Roman" w:cs="Times New Roman"/>
          <w:sz w:val="28"/>
          <w:szCs w:val="28"/>
          <w:lang w:val="en-US"/>
        </w:rPr>
      </w:pPr>
      <w:r w:rsidRPr="009A7B0F">
        <w:rPr>
          <w:rFonts w:ascii="Times New Roman" w:hAnsi="Times New Roman" w:cs="Times New Roman"/>
          <w:sz w:val="28"/>
          <w:szCs w:val="28"/>
          <w:lang w:val="en-US"/>
        </w:rPr>
        <w:t> - Debt / EBITDA</w:t>
      </w:r>
    </w:p>
    <w:p w:rsidR="00720ABD" w:rsidRDefault="00720ABD" w:rsidP="00411DE3">
      <w:pPr>
        <w:spacing w:after="120" w:line="240" w:lineRule="auto"/>
        <w:ind w:right="-143"/>
        <w:jc w:val="both"/>
        <w:rPr>
          <w:rFonts w:ascii="Times New Roman" w:hAnsi="Times New Roman" w:cs="Times New Roman"/>
          <w:sz w:val="28"/>
          <w:szCs w:val="28"/>
          <w:u w:val="single"/>
          <w:lang w:val="en-US"/>
        </w:rPr>
      </w:pPr>
    </w:p>
    <w:p w:rsidR="00720ABD" w:rsidRDefault="00720ABD" w:rsidP="00411DE3">
      <w:pPr>
        <w:spacing w:after="120" w:line="240" w:lineRule="auto"/>
        <w:ind w:right="-143"/>
        <w:jc w:val="both"/>
        <w:rPr>
          <w:rFonts w:ascii="Times New Roman" w:hAnsi="Times New Roman" w:cs="Times New Roman"/>
          <w:sz w:val="28"/>
          <w:szCs w:val="28"/>
          <w:u w:val="single"/>
          <w:lang w:val="en-US"/>
        </w:rPr>
      </w:pPr>
    </w:p>
    <w:p w:rsidR="00720ABD" w:rsidRDefault="00720ABD" w:rsidP="00411DE3">
      <w:pPr>
        <w:spacing w:after="120" w:line="240" w:lineRule="auto"/>
        <w:ind w:right="-143"/>
        <w:jc w:val="both"/>
        <w:rPr>
          <w:rFonts w:ascii="Times New Roman" w:hAnsi="Times New Roman" w:cs="Times New Roman"/>
          <w:sz w:val="28"/>
          <w:szCs w:val="28"/>
          <w:u w:val="single"/>
          <w:lang w:val="en-US"/>
        </w:rPr>
      </w:pPr>
    </w:p>
    <w:p w:rsidR="00720ABD" w:rsidRDefault="00720ABD" w:rsidP="00411DE3">
      <w:pPr>
        <w:spacing w:after="120" w:line="240" w:lineRule="auto"/>
        <w:ind w:right="-143"/>
        <w:jc w:val="both"/>
        <w:rPr>
          <w:rFonts w:ascii="Times New Roman" w:hAnsi="Times New Roman" w:cs="Times New Roman"/>
          <w:sz w:val="28"/>
          <w:szCs w:val="28"/>
          <w:u w:val="single"/>
          <w:lang w:val="en-US"/>
        </w:rPr>
      </w:pPr>
    </w:p>
    <w:p w:rsidR="00720ABD" w:rsidRDefault="00720ABD" w:rsidP="00411DE3">
      <w:pPr>
        <w:spacing w:after="120" w:line="240" w:lineRule="auto"/>
        <w:ind w:right="-143"/>
        <w:jc w:val="both"/>
        <w:rPr>
          <w:rFonts w:ascii="Times New Roman" w:hAnsi="Times New Roman" w:cs="Times New Roman"/>
          <w:sz w:val="28"/>
          <w:szCs w:val="28"/>
          <w:u w:val="single"/>
          <w:lang w:val="en-US"/>
        </w:rPr>
      </w:pPr>
    </w:p>
    <w:p w:rsidR="00720ABD" w:rsidRDefault="00720ABD" w:rsidP="00411DE3">
      <w:pPr>
        <w:spacing w:after="120" w:line="240" w:lineRule="auto"/>
        <w:ind w:right="-143"/>
        <w:jc w:val="both"/>
        <w:rPr>
          <w:rFonts w:ascii="Times New Roman" w:hAnsi="Times New Roman" w:cs="Times New Roman"/>
          <w:sz w:val="28"/>
          <w:szCs w:val="28"/>
          <w:u w:val="single"/>
          <w:lang w:val="en-US"/>
        </w:rPr>
      </w:pPr>
    </w:p>
    <w:p w:rsidR="00720ABD" w:rsidRDefault="00720ABD" w:rsidP="00411DE3">
      <w:pPr>
        <w:spacing w:after="120" w:line="240" w:lineRule="auto"/>
        <w:ind w:right="-143"/>
        <w:jc w:val="both"/>
        <w:rPr>
          <w:rFonts w:ascii="Times New Roman" w:hAnsi="Times New Roman" w:cs="Times New Roman"/>
          <w:sz w:val="28"/>
          <w:szCs w:val="28"/>
          <w:u w:val="single"/>
          <w:lang w:val="en-US"/>
        </w:rPr>
      </w:pPr>
    </w:p>
    <w:p w:rsidR="00720ABD" w:rsidRDefault="00720ABD" w:rsidP="00411DE3">
      <w:pPr>
        <w:spacing w:after="120" w:line="240" w:lineRule="auto"/>
        <w:ind w:right="-143"/>
        <w:jc w:val="both"/>
        <w:rPr>
          <w:rFonts w:ascii="Times New Roman" w:hAnsi="Times New Roman" w:cs="Times New Roman"/>
          <w:sz w:val="28"/>
          <w:szCs w:val="28"/>
          <w:u w:val="single"/>
          <w:lang w:val="en-US"/>
        </w:rPr>
      </w:pPr>
    </w:p>
    <w:p w:rsidR="00080E62" w:rsidRPr="009A7B0F" w:rsidRDefault="00080E62" w:rsidP="00411DE3">
      <w:pPr>
        <w:spacing w:after="120" w:line="240" w:lineRule="auto"/>
        <w:ind w:right="-143"/>
        <w:jc w:val="both"/>
        <w:rPr>
          <w:rFonts w:ascii="Times New Roman" w:hAnsi="Times New Roman" w:cs="Times New Roman"/>
          <w:sz w:val="28"/>
          <w:szCs w:val="28"/>
          <w:u w:val="single"/>
          <w:lang w:val="en-US"/>
        </w:rPr>
      </w:pPr>
      <w:r w:rsidRPr="009A7B0F">
        <w:rPr>
          <w:rFonts w:ascii="Times New Roman" w:hAnsi="Times New Roman" w:cs="Times New Roman"/>
          <w:sz w:val="28"/>
          <w:szCs w:val="28"/>
          <w:u w:val="single"/>
          <w:lang w:val="en-US"/>
        </w:rPr>
        <w:t>Results of benchmarking:</w:t>
      </w:r>
    </w:p>
    <w:p w:rsidR="009A7B0F" w:rsidRPr="009A7B0F" w:rsidRDefault="009A7B0F" w:rsidP="00411DE3">
      <w:pPr>
        <w:spacing w:after="120" w:line="240" w:lineRule="auto"/>
        <w:jc w:val="both"/>
        <w:rPr>
          <w:rFonts w:ascii="Times New Roman" w:hAnsi="Times New Roman"/>
          <w:sz w:val="24"/>
          <w:szCs w:val="24"/>
        </w:rPr>
      </w:pPr>
      <w:r>
        <w:rPr>
          <w:noProof/>
          <w:lang w:eastAsia="ru-RU"/>
        </w:rPr>
        <w:drawing>
          <wp:inline distT="0" distB="0" distL="0" distR="0" wp14:anchorId="28D27884" wp14:editId="2D66385F">
            <wp:extent cx="5705475" cy="22383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7B0F" w:rsidRDefault="009A7B0F" w:rsidP="00411DE3">
      <w:pPr>
        <w:spacing w:after="0"/>
        <w:jc w:val="center"/>
        <w:rPr>
          <w:rFonts w:ascii="Times New Roman" w:hAnsi="Times New Roman" w:cs="Times New Roman"/>
          <w:b/>
          <w:color w:val="FF0000"/>
          <w:sz w:val="24"/>
          <w:szCs w:val="24"/>
          <w:highlight w:val="yellow"/>
        </w:rPr>
      </w:pPr>
    </w:p>
    <w:p w:rsidR="009A7B0F" w:rsidRDefault="009A7B0F" w:rsidP="00411DE3">
      <w:pPr>
        <w:spacing w:after="0"/>
        <w:jc w:val="center"/>
        <w:rPr>
          <w:rFonts w:ascii="Times New Roman" w:hAnsi="Times New Roman" w:cs="Times New Roman"/>
          <w:b/>
          <w:color w:val="FF0000"/>
          <w:sz w:val="24"/>
          <w:szCs w:val="24"/>
          <w:highlight w:val="yellow"/>
        </w:rPr>
      </w:pPr>
    </w:p>
    <w:p w:rsidR="009A7B0F" w:rsidRDefault="009A7B0F" w:rsidP="00411DE3">
      <w:pPr>
        <w:spacing w:after="0"/>
        <w:rPr>
          <w:rFonts w:ascii="Times New Roman" w:hAnsi="Times New Roman" w:cs="Times New Roman"/>
          <w:b/>
          <w:color w:val="FF0000"/>
          <w:sz w:val="24"/>
          <w:szCs w:val="24"/>
          <w:highlight w:val="yellow"/>
        </w:rPr>
      </w:pPr>
      <w:r>
        <w:rPr>
          <w:noProof/>
          <w:lang w:eastAsia="ru-RU"/>
        </w:rPr>
        <w:drawing>
          <wp:inline distT="0" distB="0" distL="0" distR="0" wp14:anchorId="458D54E0" wp14:editId="59FDF056">
            <wp:extent cx="5686425" cy="24574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7B0F" w:rsidRDefault="009A7B0F" w:rsidP="00411DE3">
      <w:pPr>
        <w:spacing w:after="0"/>
        <w:jc w:val="center"/>
        <w:rPr>
          <w:rFonts w:ascii="Times New Roman" w:hAnsi="Times New Roman" w:cs="Times New Roman"/>
          <w:b/>
          <w:color w:val="FF0000"/>
          <w:sz w:val="24"/>
          <w:szCs w:val="24"/>
          <w:lang w:val="en-US"/>
        </w:rPr>
      </w:pPr>
    </w:p>
    <w:p w:rsidR="00411DE3" w:rsidRPr="00411DE3" w:rsidRDefault="00411DE3" w:rsidP="00411DE3">
      <w:pPr>
        <w:spacing w:after="0"/>
        <w:jc w:val="center"/>
        <w:rPr>
          <w:rFonts w:ascii="Times New Roman" w:hAnsi="Times New Roman" w:cs="Times New Roman"/>
          <w:b/>
          <w:color w:val="FF0000"/>
          <w:sz w:val="24"/>
          <w:szCs w:val="24"/>
          <w:lang w:val="en-US"/>
        </w:rPr>
      </w:pPr>
    </w:p>
    <w:p w:rsidR="009A7B0F" w:rsidRDefault="009A7B0F" w:rsidP="00411DE3">
      <w:pPr>
        <w:spacing w:after="0"/>
        <w:rPr>
          <w:rFonts w:ascii="Times New Roman" w:hAnsi="Times New Roman" w:cs="Times New Roman"/>
          <w:b/>
          <w:color w:val="FF0000"/>
          <w:sz w:val="24"/>
          <w:szCs w:val="24"/>
          <w:highlight w:val="yellow"/>
        </w:rPr>
      </w:pPr>
      <w:r>
        <w:rPr>
          <w:noProof/>
          <w:lang w:eastAsia="ru-RU"/>
        </w:rPr>
        <w:drawing>
          <wp:inline distT="0" distB="0" distL="0" distR="0" wp14:anchorId="7DFA00B5" wp14:editId="7AFA2E6A">
            <wp:extent cx="5257800" cy="20859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7B0F" w:rsidRDefault="009A7B0F" w:rsidP="00411DE3">
      <w:pPr>
        <w:spacing w:after="0"/>
        <w:jc w:val="center"/>
        <w:rPr>
          <w:rFonts w:ascii="Times New Roman" w:hAnsi="Times New Roman" w:cs="Times New Roman"/>
          <w:b/>
          <w:color w:val="FF0000"/>
          <w:sz w:val="24"/>
          <w:szCs w:val="24"/>
          <w:highlight w:val="yellow"/>
        </w:rPr>
      </w:pPr>
    </w:p>
    <w:p w:rsidR="009A7B0F" w:rsidRDefault="009A7B0F" w:rsidP="00411DE3">
      <w:pPr>
        <w:spacing w:after="0"/>
        <w:rPr>
          <w:rFonts w:ascii="Times New Roman" w:hAnsi="Times New Roman" w:cs="Times New Roman"/>
          <w:b/>
          <w:color w:val="FF0000"/>
          <w:sz w:val="24"/>
          <w:szCs w:val="24"/>
          <w:highlight w:val="yellow"/>
        </w:rPr>
      </w:pPr>
      <w:r>
        <w:rPr>
          <w:noProof/>
          <w:lang w:eastAsia="ru-RU"/>
        </w:rPr>
        <w:lastRenderedPageBreak/>
        <w:drawing>
          <wp:inline distT="0" distB="0" distL="0" distR="0" wp14:anchorId="6AD392B7" wp14:editId="51B05A36">
            <wp:extent cx="5257800" cy="22098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726D" w:rsidRPr="0072726D" w:rsidRDefault="0072726D" w:rsidP="004D55FB">
      <w:pPr>
        <w:spacing w:after="0"/>
        <w:jc w:val="both"/>
        <w:rPr>
          <w:rFonts w:ascii="Times New Roman" w:hAnsi="Times New Roman" w:cs="Times New Roman"/>
          <w:sz w:val="24"/>
          <w:szCs w:val="24"/>
          <w:lang w:val="en-US"/>
        </w:rPr>
      </w:pPr>
    </w:p>
    <w:p w:rsidR="0072726D" w:rsidRPr="0072726D" w:rsidRDefault="0072726D" w:rsidP="004D55FB">
      <w:pPr>
        <w:spacing w:after="0"/>
        <w:jc w:val="both"/>
        <w:rPr>
          <w:rFonts w:ascii="Times New Roman" w:hAnsi="Times New Roman" w:cs="Times New Roman"/>
          <w:sz w:val="24"/>
          <w:szCs w:val="24"/>
          <w:lang w:val="en-US"/>
        </w:rPr>
      </w:pPr>
    </w:p>
    <w:tbl>
      <w:tblPr>
        <w:tblW w:w="9741" w:type="dxa"/>
        <w:tblInd w:w="85" w:type="dxa"/>
        <w:tblLook w:val="04A0" w:firstRow="1" w:lastRow="0" w:firstColumn="1" w:lastColumn="0" w:noHBand="0" w:noVBand="1"/>
      </w:tblPr>
      <w:tblGrid>
        <w:gridCol w:w="3180"/>
        <w:gridCol w:w="1765"/>
        <w:gridCol w:w="1676"/>
        <w:gridCol w:w="1426"/>
        <w:gridCol w:w="1694"/>
      </w:tblGrid>
      <w:tr w:rsidR="00CE2643" w:rsidRPr="005F2576" w:rsidTr="009A7B0F">
        <w:trPr>
          <w:trHeight w:val="853"/>
        </w:trPr>
        <w:tc>
          <w:tcPr>
            <w:tcW w:w="3180" w:type="dxa"/>
            <w:tcBorders>
              <w:top w:val="double" w:sz="6" w:space="0" w:color="auto"/>
              <w:left w:val="double" w:sz="6" w:space="0" w:color="auto"/>
              <w:bottom w:val="single" w:sz="4" w:space="0" w:color="auto"/>
              <w:right w:val="single" w:sz="4" w:space="0" w:color="auto"/>
            </w:tcBorders>
            <w:shd w:val="clear" w:color="000000" w:fill="BFBFBF"/>
            <w:vAlign w:val="bottom"/>
            <w:hideMark/>
          </w:tcPr>
          <w:p w:rsidR="00CE2643" w:rsidRPr="00734488" w:rsidRDefault="00CE2643" w:rsidP="009A7B0F">
            <w:pPr>
              <w:spacing w:after="0" w:line="240" w:lineRule="auto"/>
              <w:rPr>
                <w:rFonts w:eastAsia="Times New Roman"/>
                <w:b/>
                <w:color w:val="000000"/>
                <w:lang w:val="en-US" w:eastAsia="ru-RU"/>
              </w:rPr>
            </w:pPr>
            <w:r>
              <w:rPr>
                <w:rFonts w:eastAsia="Times New Roman"/>
                <w:b/>
                <w:color w:val="000000"/>
                <w:lang w:val="en-US" w:eastAsia="ru-RU"/>
              </w:rPr>
              <w:t>Financial stability indicators</w:t>
            </w:r>
          </w:p>
        </w:tc>
        <w:tc>
          <w:tcPr>
            <w:tcW w:w="1765" w:type="dxa"/>
            <w:tcBorders>
              <w:top w:val="double" w:sz="6" w:space="0" w:color="auto"/>
              <w:left w:val="nil"/>
              <w:bottom w:val="single" w:sz="4" w:space="0" w:color="auto"/>
              <w:right w:val="single" w:sz="4" w:space="0" w:color="auto"/>
            </w:tcBorders>
            <w:shd w:val="clear" w:color="000000" w:fill="0070C0"/>
            <w:vAlign w:val="center"/>
            <w:hideMark/>
          </w:tcPr>
          <w:p w:rsidR="00CE2643" w:rsidRPr="005F2576" w:rsidRDefault="00CE2643" w:rsidP="009A7B0F">
            <w:pPr>
              <w:spacing w:after="0" w:line="240" w:lineRule="auto"/>
              <w:jc w:val="center"/>
              <w:rPr>
                <w:rFonts w:eastAsia="Times New Roman"/>
                <w:color w:val="FFFFFF"/>
                <w:lang w:eastAsia="ru-RU"/>
              </w:rPr>
            </w:pPr>
            <w:proofErr w:type="spellStart"/>
            <w:r w:rsidRPr="005F2576">
              <w:rPr>
                <w:rFonts w:eastAsia="Times New Roman"/>
                <w:color w:val="FFFFFF"/>
                <w:lang w:eastAsia="ru-RU"/>
              </w:rPr>
              <w:t>Samruk-Energy</w:t>
            </w:r>
            <w:proofErr w:type="spellEnd"/>
            <w:r w:rsidRPr="005F2576">
              <w:rPr>
                <w:rFonts w:eastAsia="Times New Roman"/>
                <w:color w:val="FFFFFF"/>
                <w:lang w:eastAsia="ru-RU"/>
              </w:rPr>
              <w:t xml:space="preserve"> JSC</w:t>
            </w:r>
          </w:p>
        </w:tc>
        <w:tc>
          <w:tcPr>
            <w:tcW w:w="1676" w:type="dxa"/>
            <w:tcBorders>
              <w:top w:val="double" w:sz="6" w:space="0" w:color="auto"/>
              <w:left w:val="nil"/>
              <w:bottom w:val="single" w:sz="4" w:space="0" w:color="auto"/>
              <w:right w:val="single" w:sz="4" w:space="0" w:color="auto"/>
            </w:tcBorders>
            <w:shd w:val="clear" w:color="000000" w:fill="00B0F0"/>
            <w:vAlign w:val="center"/>
            <w:hideMark/>
          </w:tcPr>
          <w:p w:rsidR="00CE2643" w:rsidRPr="005F2576" w:rsidRDefault="00CE2643" w:rsidP="009A7B0F">
            <w:pPr>
              <w:spacing w:after="0" w:line="240" w:lineRule="auto"/>
              <w:jc w:val="center"/>
              <w:rPr>
                <w:rFonts w:eastAsia="Times New Roman"/>
                <w:color w:val="FFFFFF"/>
                <w:lang w:eastAsia="ru-RU"/>
              </w:rPr>
            </w:pPr>
            <w:proofErr w:type="spellStart"/>
            <w:r w:rsidRPr="005F2576">
              <w:rPr>
                <w:rFonts w:eastAsia="Times New Roman"/>
                <w:color w:val="FFFFFF"/>
                <w:lang w:eastAsia="ru-RU"/>
              </w:rPr>
              <w:t>Inter</w:t>
            </w:r>
            <w:proofErr w:type="spellEnd"/>
            <w:r w:rsidRPr="005F2576">
              <w:rPr>
                <w:rFonts w:eastAsia="Times New Roman"/>
                <w:color w:val="FFFFFF"/>
                <w:lang w:eastAsia="ru-RU"/>
              </w:rPr>
              <w:t xml:space="preserve"> RAO UES PJSC</w:t>
            </w:r>
          </w:p>
        </w:tc>
        <w:tc>
          <w:tcPr>
            <w:tcW w:w="1426" w:type="dxa"/>
            <w:tcBorders>
              <w:top w:val="double" w:sz="6" w:space="0" w:color="auto"/>
              <w:left w:val="nil"/>
              <w:bottom w:val="single" w:sz="4" w:space="0" w:color="auto"/>
              <w:right w:val="single" w:sz="4" w:space="0" w:color="auto"/>
            </w:tcBorders>
            <w:shd w:val="clear" w:color="000000" w:fill="FFC000"/>
            <w:vAlign w:val="center"/>
            <w:hideMark/>
          </w:tcPr>
          <w:p w:rsidR="00CE2643" w:rsidRPr="005F2576" w:rsidRDefault="00CE2643" w:rsidP="009A7B0F">
            <w:pPr>
              <w:spacing w:after="0" w:line="240" w:lineRule="auto"/>
              <w:jc w:val="center"/>
              <w:rPr>
                <w:rFonts w:eastAsia="Times New Roman"/>
                <w:lang w:eastAsia="ru-RU"/>
              </w:rPr>
            </w:pPr>
            <w:r w:rsidRPr="005F2576">
              <w:rPr>
                <w:rFonts w:eastAsia="Times New Roman"/>
                <w:lang w:eastAsia="ru-RU"/>
              </w:rPr>
              <w:t xml:space="preserve">*E.ON </w:t>
            </w:r>
            <w:proofErr w:type="spellStart"/>
            <w:r w:rsidRPr="005F2576">
              <w:rPr>
                <w:rFonts w:eastAsia="Times New Roman"/>
                <w:lang w:eastAsia="ru-RU"/>
              </w:rPr>
              <w:t>Russia</w:t>
            </w:r>
            <w:proofErr w:type="spellEnd"/>
            <w:r w:rsidRPr="005F2576">
              <w:rPr>
                <w:rFonts w:eastAsia="Times New Roman"/>
                <w:lang w:eastAsia="ru-RU"/>
              </w:rPr>
              <w:t xml:space="preserve"> JSC </w:t>
            </w:r>
          </w:p>
        </w:tc>
        <w:tc>
          <w:tcPr>
            <w:tcW w:w="1694" w:type="dxa"/>
            <w:tcBorders>
              <w:top w:val="double" w:sz="6" w:space="0" w:color="auto"/>
              <w:left w:val="nil"/>
              <w:bottom w:val="single" w:sz="4" w:space="0" w:color="auto"/>
              <w:right w:val="double" w:sz="6" w:space="0" w:color="auto"/>
            </w:tcBorders>
            <w:shd w:val="clear" w:color="000000" w:fill="FF0000"/>
            <w:vAlign w:val="center"/>
            <w:hideMark/>
          </w:tcPr>
          <w:p w:rsidR="00CE2643" w:rsidRPr="005F2576" w:rsidRDefault="00CE2643" w:rsidP="009A7B0F">
            <w:pPr>
              <w:spacing w:after="0" w:line="240" w:lineRule="auto"/>
              <w:jc w:val="center"/>
              <w:rPr>
                <w:rFonts w:eastAsia="Times New Roman"/>
                <w:color w:val="FFFFFF"/>
                <w:lang w:eastAsia="ru-RU"/>
              </w:rPr>
            </w:pPr>
            <w:proofErr w:type="spellStart"/>
            <w:r w:rsidRPr="005F2576">
              <w:rPr>
                <w:rFonts w:eastAsia="Times New Roman"/>
                <w:color w:val="FFFFFF"/>
                <w:lang w:eastAsia="ru-RU"/>
              </w:rPr>
              <w:t>Tauron</w:t>
            </w:r>
            <w:proofErr w:type="spellEnd"/>
            <w:r w:rsidRPr="005F2576">
              <w:rPr>
                <w:rFonts w:eastAsia="Times New Roman"/>
                <w:color w:val="FFFFFF"/>
                <w:lang w:eastAsia="ru-RU"/>
              </w:rPr>
              <w:t xml:space="preserve"> </w:t>
            </w:r>
            <w:proofErr w:type="spellStart"/>
            <w:r w:rsidRPr="005F2576">
              <w:rPr>
                <w:rFonts w:eastAsia="Times New Roman"/>
                <w:color w:val="FFFFFF"/>
                <w:lang w:eastAsia="ru-RU"/>
              </w:rPr>
              <w:t>Polska</w:t>
            </w:r>
            <w:proofErr w:type="spellEnd"/>
            <w:r w:rsidRPr="005F2576">
              <w:rPr>
                <w:rFonts w:eastAsia="Times New Roman"/>
                <w:color w:val="FFFFFF"/>
                <w:lang w:eastAsia="ru-RU"/>
              </w:rPr>
              <w:t xml:space="preserve"> </w:t>
            </w:r>
            <w:proofErr w:type="spellStart"/>
            <w:r w:rsidRPr="005F2576">
              <w:rPr>
                <w:rFonts w:eastAsia="Times New Roman"/>
                <w:color w:val="FFFFFF"/>
                <w:lang w:eastAsia="ru-RU"/>
              </w:rPr>
              <w:t>Energia</w:t>
            </w:r>
            <w:proofErr w:type="spellEnd"/>
            <w:r w:rsidRPr="005F2576">
              <w:rPr>
                <w:rFonts w:eastAsia="Times New Roman"/>
                <w:color w:val="FFFFFF"/>
                <w:lang w:eastAsia="ru-RU"/>
              </w:rPr>
              <w:t xml:space="preserve"> SA</w:t>
            </w:r>
          </w:p>
        </w:tc>
      </w:tr>
      <w:tr w:rsidR="00CE2643" w:rsidRPr="005F2576" w:rsidTr="009A7B0F">
        <w:trPr>
          <w:trHeight w:val="416"/>
        </w:trPr>
        <w:tc>
          <w:tcPr>
            <w:tcW w:w="3180" w:type="dxa"/>
            <w:tcBorders>
              <w:top w:val="nil"/>
              <w:left w:val="double" w:sz="6" w:space="0" w:color="auto"/>
              <w:bottom w:val="single" w:sz="4" w:space="0" w:color="auto"/>
              <w:right w:val="single" w:sz="4" w:space="0" w:color="auto"/>
            </w:tcBorders>
            <w:shd w:val="clear" w:color="auto" w:fill="auto"/>
            <w:noWrap/>
            <w:vAlign w:val="bottom"/>
            <w:hideMark/>
          </w:tcPr>
          <w:p w:rsidR="00CE2643" w:rsidRPr="005F2576" w:rsidRDefault="00CE2643" w:rsidP="009A7B0F">
            <w:pPr>
              <w:spacing w:after="0" w:line="240" w:lineRule="auto"/>
              <w:rPr>
                <w:rFonts w:eastAsia="Times New Roman"/>
                <w:color w:val="000000"/>
                <w:lang w:eastAsia="ru-RU"/>
              </w:rPr>
            </w:pPr>
            <w:r>
              <w:rPr>
                <w:rFonts w:eastAsia="Times New Roman"/>
                <w:color w:val="000000"/>
                <w:lang w:val="en-US" w:eastAsia="ru-RU"/>
              </w:rPr>
              <w:t>debt</w:t>
            </w:r>
            <w:r w:rsidRPr="005F2576">
              <w:rPr>
                <w:rFonts w:eastAsia="Times New Roman"/>
                <w:color w:val="000000"/>
                <w:lang w:eastAsia="ru-RU"/>
              </w:rPr>
              <w:t>/EBITDA</w:t>
            </w:r>
          </w:p>
        </w:tc>
        <w:tc>
          <w:tcPr>
            <w:tcW w:w="1765" w:type="dxa"/>
            <w:tcBorders>
              <w:top w:val="nil"/>
              <w:left w:val="nil"/>
              <w:bottom w:val="single" w:sz="4" w:space="0" w:color="auto"/>
              <w:right w:val="single" w:sz="4" w:space="0" w:color="auto"/>
            </w:tcBorders>
            <w:shd w:val="clear" w:color="auto" w:fill="auto"/>
            <w:noWrap/>
            <w:vAlign w:val="bottom"/>
            <w:hideMark/>
          </w:tcPr>
          <w:p w:rsidR="00CE2643" w:rsidRPr="005F2576" w:rsidRDefault="00CE2643" w:rsidP="009A7B0F">
            <w:pPr>
              <w:spacing w:after="0" w:line="240" w:lineRule="auto"/>
              <w:jc w:val="center"/>
              <w:rPr>
                <w:rFonts w:eastAsia="Times New Roman"/>
                <w:color w:val="000000"/>
                <w:lang w:eastAsia="ru-RU"/>
              </w:rPr>
            </w:pPr>
            <w:r w:rsidRPr="005F2576">
              <w:rPr>
                <w:rFonts w:eastAsia="Times New Roman"/>
                <w:color w:val="000000"/>
                <w:lang w:eastAsia="ru-RU"/>
              </w:rPr>
              <w:t>4,84</w:t>
            </w:r>
          </w:p>
        </w:tc>
        <w:tc>
          <w:tcPr>
            <w:tcW w:w="1676" w:type="dxa"/>
            <w:tcBorders>
              <w:top w:val="nil"/>
              <w:left w:val="nil"/>
              <w:bottom w:val="single" w:sz="4" w:space="0" w:color="auto"/>
              <w:right w:val="single" w:sz="4" w:space="0" w:color="auto"/>
            </w:tcBorders>
            <w:shd w:val="clear" w:color="auto" w:fill="auto"/>
            <w:noWrap/>
            <w:vAlign w:val="bottom"/>
            <w:hideMark/>
          </w:tcPr>
          <w:p w:rsidR="00CE2643" w:rsidRPr="005F2576" w:rsidRDefault="00CE2643" w:rsidP="009A7B0F">
            <w:pPr>
              <w:spacing w:after="0" w:line="240" w:lineRule="auto"/>
              <w:jc w:val="center"/>
              <w:rPr>
                <w:rFonts w:eastAsia="Times New Roman"/>
                <w:color w:val="000000"/>
                <w:lang w:eastAsia="ru-RU"/>
              </w:rPr>
            </w:pPr>
            <w:r w:rsidRPr="005F2576">
              <w:rPr>
                <w:rFonts w:eastAsia="Times New Roman"/>
                <w:color w:val="000000"/>
                <w:lang w:eastAsia="ru-RU"/>
              </w:rPr>
              <w:t>2,50</w:t>
            </w:r>
          </w:p>
        </w:tc>
        <w:tc>
          <w:tcPr>
            <w:tcW w:w="1426" w:type="dxa"/>
            <w:tcBorders>
              <w:top w:val="nil"/>
              <w:left w:val="nil"/>
              <w:bottom w:val="single" w:sz="4" w:space="0" w:color="auto"/>
              <w:right w:val="single" w:sz="4" w:space="0" w:color="auto"/>
            </w:tcBorders>
            <w:shd w:val="clear" w:color="auto" w:fill="auto"/>
            <w:noWrap/>
            <w:vAlign w:val="bottom"/>
            <w:hideMark/>
          </w:tcPr>
          <w:p w:rsidR="00CE2643" w:rsidRPr="005F2576" w:rsidRDefault="00CE2643" w:rsidP="009A7B0F">
            <w:pPr>
              <w:spacing w:after="0" w:line="240" w:lineRule="auto"/>
              <w:jc w:val="center"/>
              <w:rPr>
                <w:rFonts w:eastAsia="Times New Roman"/>
                <w:color w:val="000000"/>
                <w:lang w:eastAsia="ru-RU"/>
              </w:rPr>
            </w:pPr>
            <w:r w:rsidRPr="005F2576">
              <w:rPr>
                <w:rFonts w:eastAsia="Times New Roman"/>
                <w:color w:val="000000"/>
                <w:lang w:eastAsia="ru-RU"/>
              </w:rPr>
              <w:t>-</w:t>
            </w:r>
          </w:p>
        </w:tc>
        <w:tc>
          <w:tcPr>
            <w:tcW w:w="1694" w:type="dxa"/>
            <w:tcBorders>
              <w:top w:val="nil"/>
              <w:left w:val="nil"/>
              <w:bottom w:val="single" w:sz="4" w:space="0" w:color="auto"/>
              <w:right w:val="double" w:sz="6" w:space="0" w:color="auto"/>
            </w:tcBorders>
            <w:shd w:val="clear" w:color="auto" w:fill="auto"/>
            <w:noWrap/>
            <w:vAlign w:val="bottom"/>
            <w:hideMark/>
          </w:tcPr>
          <w:p w:rsidR="00CE2643" w:rsidRPr="005F2576" w:rsidRDefault="00CE2643" w:rsidP="009A7B0F">
            <w:pPr>
              <w:spacing w:after="0" w:line="240" w:lineRule="auto"/>
              <w:jc w:val="center"/>
              <w:rPr>
                <w:rFonts w:eastAsia="Times New Roman"/>
                <w:color w:val="000000"/>
                <w:lang w:eastAsia="ru-RU"/>
              </w:rPr>
            </w:pPr>
            <w:r w:rsidRPr="005F2576">
              <w:rPr>
                <w:rFonts w:eastAsia="Times New Roman"/>
                <w:color w:val="000000"/>
                <w:lang w:eastAsia="ru-RU"/>
              </w:rPr>
              <w:t>2,32</w:t>
            </w:r>
          </w:p>
        </w:tc>
      </w:tr>
      <w:tr w:rsidR="00CE2643" w:rsidRPr="005F2576" w:rsidTr="009A7B0F">
        <w:trPr>
          <w:trHeight w:val="437"/>
        </w:trPr>
        <w:tc>
          <w:tcPr>
            <w:tcW w:w="3180" w:type="dxa"/>
            <w:tcBorders>
              <w:top w:val="nil"/>
              <w:left w:val="double" w:sz="6" w:space="0" w:color="auto"/>
              <w:bottom w:val="double" w:sz="6" w:space="0" w:color="auto"/>
              <w:right w:val="single" w:sz="4" w:space="0" w:color="auto"/>
            </w:tcBorders>
            <w:shd w:val="clear" w:color="auto" w:fill="auto"/>
            <w:noWrap/>
            <w:vAlign w:val="bottom"/>
            <w:hideMark/>
          </w:tcPr>
          <w:p w:rsidR="00CE2643" w:rsidRPr="00734488" w:rsidRDefault="00CE2643" w:rsidP="009A7B0F">
            <w:pPr>
              <w:spacing w:after="0" w:line="240" w:lineRule="auto"/>
              <w:rPr>
                <w:rFonts w:eastAsia="Times New Roman"/>
                <w:color w:val="000000"/>
                <w:lang w:val="en-US" w:eastAsia="ru-RU"/>
              </w:rPr>
            </w:pPr>
            <w:r>
              <w:rPr>
                <w:rFonts w:eastAsia="Times New Roman"/>
                <w:color w:val="000000"/>
                <w:lang w:val="en-US" w:eastAsia="ru-RU"/>
              </w:rPr>
              <w:t>Debt/Equity</w:t>
            </w:r>
          </w:p>
        </w:tc>
        <w:tc>
          <w:tcPr>
            <w:tcW w:w="1765" w:type="dxa"/>
            <w:tcBorders>
              <w:top w:val="nil"/>
              <w:left w:val="nil"/>
              <w:bottom w:val="double" w:sz="6" w:space="0" w:color="auto"/>
              <w:right w:val="single" w:sz="4" w:space="0" w:color="auto"/>
            </w:tcBorders>
            <w:shd w:val="clear" w:color="auto" w:fill="auto"/>
            <w:noWrap/>
            <w:vAlign w:val="bottom"/>
            <w:hideMark/>
          </w:tcPr>
          <w:p w:rsidR="00CE2643" w:rsidRPr="005F2576" w:rsidRDefault="00CE2643" w:rsidP="009A7B0F">
            <w:pPr>
              <w:spacing w:after="0" w:line="240" w:lineRule="auto"/>
              <w:jc w:val="center"/>
              <w:rPr>
                <w:rFonts w:eastAsia="Times New Roman"/>
                <w:color w:val="000000"/>
                <w:lang w:eastAsia="ru-RU"/>
              </w:rPr>
            </w:pPr>
            <w:r w:rsidRPr="005F2576">
              <w:rPr>
                <w:rFonts w:eastAsia="Times New Roman"/>
                <w:color w:val="000000"/>
                <w:lang w:eastAsia="ru-RU"/>
              </w:rPr>
              <w:t>0,85</w:t>
            </w:r>
          </w:p>
        </w:tc>
        <w:tc>
          <w:tcPr>
            <w:tcW w:w="1676" w:type="dxa"/>
            <w:tcBorders>
              <w:top w:val="nil"/>
              <w:left w:val="nil"/>
              <w:bottom w:val="double" w:sz="6" w:space="0" w:color="auto"/>
              <w:right w:val="single" w:sz="4" w:space="0" w:color="auto"/>
            </w:tcBorders>
            <w:shd w:val="clear" w:color="auto" w:fill="auto"/>
            <w:noWrap/>
            <w:vAlign w:val="bottom"/>
            <w:hideMark/>
          </w:tcPr>
          <w:p w:rsidR="00CE2643" w:rsidRPr="005F2576" w:rsidRDefault="00CE2643" w:rsidP="009A7B0F">
            <w:pPr>
              <w:spacing w:after="0" w:line="240" w:lineRule="auto"/>
              <w:jc w:val="center"/>
              <w:rPr>
                <w:rFonts w:eastAsia="Times New Roman"/>
                <w:color w:val="000000"/>
                <w:lang w:eastAsia="ru-RU"/>
              </w:rPr>
            </w:pPr>
            <w:r w:rsidRPr="005F2576">
              <w:rPr>
                <w:rFonts w:eastAsia="Times New Roman"/>
                <w:color w:val="000000"/>
                <w:lang w:eastAsia="ru-RU"/>
              </w:rPr>
              <w:t>0,17</w:t>
            </w:r>
          </w:p>
        </w:tc>
        <w:tc>
          <w:tcPr>
            <w:tcW w:w="1426" w:type="dxa"/>
            <w:tcBorders>
              <w:top w:val="nil"/>
              <w:left w:val="nil"/>
              <w:bottom w:val="double" w:sz="6" w:space="0" w:color="auto"/>
              <w:right w:val="single" w:sz="4" w:space="0" w:color="auto"/>
            </w:tcBorders>
            <w:shd w:val="clear" w:color="auto" w:fill="auto"/>
            <w:noWrap/>
            <w:vAlign w:val="bottom"/>
            <w:hideMark/>
          </w:tcPr>
          <w:p w:rsidR="00CE2643" w:rsidRPr="005F2576" w:rsidRDefault="00CE2643" w:rsidP="009A7B0F">
            <w:pPr>
              <w:spacing w:after="0" w:line="240" w:lineRule="auto"/>
              <w:jc w:val="center"/>
              <w:rPr>
                <w:rFonts w:eastAsia="Times New Roman"/>
                <w:color w:val="000000"/>
                <w:lang w:eastAsia="ru-RU"/>
              </w:rPr>
            </w:pPr>
            <w:r w:rsidRPr="005F2576">
              <w:rPr>
                <w:rFonts w:eastAsia="Times New Roman"/>
                <w:color w:val="000000"/>
                <w:lang w:eastAsia="ru-RU"/>
              </w:rPr>
              <w:t>-</w:t>
            </w:r>
          </w:p>
        </w:tc>
        <w:tc>
          <w:tcPr>
            <w:tcW w:w="1694" w:type="dxa"/>
            <w:tcBorders>
              <w:top w:val="nil"/>
              <w:left w:val="nil"/>
              <w:bottom w:val="double" w:sz="6" w:space="0" w:color="auto"/>
              <w:right w:val="double" w:sz="6" w:space="0" w:color="auto"/>
            </w:tcBorders>
            <w:shd w:val="clear" w:color="auto" w:fill="auto"/>
            <w:noWrap/>
            <w:vAlign w:val="bottom"/>
            <w:hideMark/>
          </w:tcPr>
          <w:p w:rsidR="00CE2643" w:rsidRPr="005F2576" w:rsidRDefault="00CE2643" w:rsidP="009A7B0F">
            <w:pPr>
              <w:spacing w:after="0" w:line="240" w:lineRule="auto"/>
              <w:jc w:val="center"/>
              <w:rPr>
                <w:rFonts w:eastAsia="Times New Roman"/>
                <w:color w:val="000000"/>
                <w:lang w:eastAsia="ru-RU"/>
              </w:rPr>
            </w:pPr>
            <w:r w:rsidRPr="005F2576">
              <w:rPr>
                <w:rFonts w:eastAsia="Times New Roman"/>
                <w:color w:val="000000"/>
                <w:lang w:eastAsia="ru-RU"/>
              </w:rPr>
              <w:t>0,34</w:t>
            </w:r>
          </w:p>
        </w:tc>
      </w:tr>
    </w:tbl>
    <w:p w:rsidR="00CE2643" w:rsidRPr="00734488" w:rsidRDefault="00CE2643" w:rsidP="00CE2643">
      <w:pPr>
        <w:ind w:left="720"/>
        <w:rPr>
          <w:b/>
          <w:i/>
          <w:lang w:val="en-US"/>
        </w:rPr>
      </w:pPr>
      <w:r w:rsidRPr="00734488">
        <w:rPr>
          <w:b/>
          <w:i/>
          <w:lang w:val="en-US"/>
        </w:rPr>
        <w:t xml:space="preserve">*E.ON Russia </w:t>
      </w:r>
      <w:r>
        <w:rPr>
          <w:b/>
          <w:i/>
          <w:lang w:val="en-US"/>
        </w:rPr>
        <w:t>has no debts</w:t>
      </w:r>
    </w:p>
    <w:p w:rsidR="00CE2643" w:rsidRPr="00734488" w:rsidRDefault="00CE2643" w:rsidP="00CE2643">
      <w:pPr>
        <w:ind w:left="720"/>
        <w:contextualSpacing/>
        <w:jc w:val="right"/>
        <w:rPr>
          <w:sz w:val="20"/>
          <w:szCs w:val="20"/>
          <w:lang w:val="en-US"/>
        </w:rPr>
      </w:pPr>
      <w:r>
        <w:rPr>
          <w:sz w:val="20"/>
          <w:szCs w:val="20"/>
          <w:lang w:val="en-US"/>
        </w:rPr>
        <w:t>Sources</w:t>
      </w:r>
      <w:r w:rsidRPr="00734488">
        <w:rPr>
          <w:sz w:val="20"/>
          <w:szCs w:val="20"/>
          <w:lang w:val="en-US"/>
        </w:rPr>
        <w:t xml:space="preserve">: </w:t>
      </w:r>
      <w:r w:rsidRPr="00CC660B">
        <w:rPr>
          <w:sz w:val="20"/>
          <w:szCs w:val="20"/>
          <w:lang w:val="en-US"/>
        </w:rPr>
        <w:t>Bloomberg</w:t>
      </w:r>
      <w:r w:rsidRPr="00734488">
        <w:rPr>
          <w:sz w:val="20"/>
          <w:szCs w:val="20"/>
          <w:lang w:val="en-US"/>
        </w:rPr>
        <w:t xml:space="preserve">, </w:t>
      </w:r>
      <w:r>
        <w:rPr>
          <w:sz w:val="20"/>
          <w:szCs w:val="20"/>
          <w:lang w:val="en-US"/>
        </w:rPr>
        <w:t>annual report of the company</w:t>
      </w:r>
    </w:p>
    <w:p w:rsidR="00361C58" w:rsidRPr="009A7B0F" w:rsidRDefault="00361C58" w:rsidP="004D55FB">
      <w:pPr>
        <w:spacing w:after="0"/>
        <w:jc w:val="both"/>
        <w:rPr>
          <w:rFonts w:ascii="Times New Roman" w:hAnsi="Times New Roman" w:cs="Times New Roman"/>
          <w:sz w:val="28"/>
          <w:szCs w:val="28"/>
          <w:lang w:val="en-US"/>
        </w:rPr>
      </w:pPr>
    </w:p>
    <w:p w:rsidR="0070402B" w:rsidRPr="009A7B0F" w:rsidRDefault="00361C58" w:rsidP="00720ABD">
      <w:pPr>
        <w:ind w:left="360" w:firstLine="348"/>
        <w:contextualSpacing/>
        <w:jc w:val="both"/>
        <w:rPr>
          <w:rFonts w:ascii="Times New Roman" w:hAnsi="Times New Roman"/>
          <w:sz w:val="28"/>
          <w:szCs w:val="28"/>
          <w:lang w:val="en-US"/>
        </w:rPr>
      </w:pPr>
      <w:r w:rsidRPr="009A7B0F">
        <w:rPr>
          <w:rFonts w:ascii="Times New Roman" w:hAnsi="Times New Roman"/>
          <w:sz w:val="28"/>
          <w:szCs w:val="28"/>
          <w:lang w:val="en-US"/>
        </w:rPr>
        <w:t xml:space="preserve">At present, compared with foreign peer companies </w:t>
      </w:r>
      <w:proofErr w:type="spellStart"/>
      <w:r w:rsidRPr="009A7B0F">
        <w:rPr>
          <w:rFonts w:ascii="Times New Roman" w:hAnsi="Times New Roman"/>
          <w:sz w:val="28"/>
          <w:szCs w:val="28"/>
          <w:lang w:val="en-US"/>
        </w:rPr>
        <w:t>Samruk</w:t>
      </w:r>
      <w:proofErr w:type="spellEnd"/>
      <w:r w:rsidRPr="009A7B0F">
        <w:rPr>
          <w:rFonts w:ascii="Times New Roman" w:hAnsi="Times New Roman"/>
          <w:sz w:val="28"/>
          <w:szCs w:val="28"/>
          <w:lang w:val="en-US"/>
        </w:rPr>
        <w:t xml:space="preserve">-Energy JSC is inferior in some indicators. To this end, establishing leadership in power industry requires increasing market presence, which is stipulated by the adopted Company’s strategy. </w:t>
      </w:r>
      <w:r w:rsidRPr="009A7B0F">
        <w:rPr>
          <w:rFonts w:ascii="Times New Roman" w:hAnsi="Times New Roman"/>
          <w:b/>
          <w:sz w:val="28"/>
          <w:szCs w:val="28"/>
          <w:lang w:val="en-US"/>
        </w:rPr>
        <w:t>Installed capacity utilization factor (ICUF)</w:t>
      </w:r>
      <w:r w:rsidRPr="009A7B0F">
        <w:rPr>
          <w:rFonts w:ascii="Times New Roman" w:hAnsi="Times New Roman"/>
          <w:sz w:val="28"/>
          <w:szCs w:val="28"/>
          <w:lang w:val="en-US"/>
        </w:rPr>
        <w:t xml:space="preserve"> of “</w:t>
      </w:r>
      <w:proofErr w:type="spellStart"/>
      <w:r w:rsidRPr="009A7B0F">
        <w:rPr>
          <w:rFonts w:ascii="Times New Roman" w:hAnsi="Times New Roman"/>
          <w:sz w:val="28"/>
          <w:szCs w:val="28"/>
          <w:lang w:val="en-US"/>
        </w:rPr>
        <w:t>Samruk</w:t>
      </w:r>
      <w:proofErr w:type="spellEnd"/>
      <w:r w:rsidRPr="009A7B0F">
        <w:rPr>
          <w:rFonts w:ascii="Times New Roman" w:hAnsi="Times New Roman"/>
          <w:sz w:val="28"/>
          <w:szCs w:val="28"/>
          <w:lang w:val="en-US"/>
        </w:rPr>
        <w:t xml:space="preserve">-Energy” JSC is lower </w:t>
      </w:r>
      <w:r w:rsidR="0070402B" w:rsidRPr="009A7B0F">
        <w:rPr>
          <w:rFonts w:ascii="Times New Roman" w:hAnsi="Times New Roman"/>
          <w:sz w:val="28"/>
          <w:szCs w:val="28"/>
          <w:lang w:val="en-US"/>
        </w:rPr>
        <w:t>than that of counterparts, which is also connected with electricity generation volumes. Low ICUF indicator shows the existing additional load provisions of the company.</w:t>
      </w:r>
    </w:p>
    <w:p w:rsidR="00351E1B" w:rsidRPr="009A7B0F" w:rsidRDefault="0070402B" w:rsidP="0070402B">
      <w:pPr>
        <w:ind w:left="360"/>
        <w:contextualSpacing/>
        <w:jc w:val="both"/>
        <w:rPr>
          <w:rFonts w:ascii="Times New Roman" w:hAnsi="Times New Roman"/>
          <w:sz w:val="28"/>
          <w:szCs w:val="28"/>
          <w:lang w:val="en-US"/>
        </w:rPr>
      </w:pPr>
      <w:r w:rsidRPr="009A7B0F">
        <w:rPr>
          <w:rFonts w:ascii="Times New Roman" w:hAnsi="Times New Roman"/>
          <w:sz w:val="28"/>
          <w:szCs w:val="28"/>
          <w:lang w:val="en-US"/>
        </w:rPr>
        <w:t xml:space="preserve">Along with that, </w:t>
      </w:r>
      <w:proofErr w:type="spellStart"/>
      <w:r w:rsidRPr="009A7B0F">
        <w:rPr>
          <w:rFonts w:ascii="Times New Roman" w:hAnsi="Times New Roman"/>
          <w:sz w:val="28"/>
          <w:szCs w:val="28"/>
          <w:lang w:val="en-US"/>
        </w:rPr>
        <w:t>Samruk</w:t>
      </w:r>
      <w:proofErr w:type="spellEnd"/>
      <w:r w:rsidRPr="009A7B0F">
        <w:rPr>
          <w:rFonts w:ascii="Times New Roman" w:hAnsi="Times New Roman"/>
          <w:sz w:val="28"/>
          <w:szCs w:val="28"/>
          <w:lang w:val="en-US"/>
        </w:rPr>
        <w:t>-Energy JSC surpasses its peers in terms of</w:t>
      </w:r>
      <w:r w:rsidRPr="009A7B0F">
        <w:rPr>
          <w:rFonts w:ascii="Times New Roman" w:hAnsi="Times New Roman"/>
          <w:b/>
          <w:sz w:val="28"/>
          <w:szCs w:val="28"/>
          <w:lang w:val="en-US"/>
        </w:rPr>
        <w:t xml:space="preserve"> EBITDA margin. </w:t>
      </w:r>
      <w:r w:rsidRPr="009A7B0F">
        <w:rPr>
          <w:rFonts w:ascii="Times New Roman" w:hAnsi="Times New Roman"/>
          <w:sz w:val="28"/>
          <w:szCs w:val="28"/>
          <w:lang w:val="en-US"/>
        </w:rPr>
        <w:t>This indica</w:t>
      </w:r>
      <w:r w:rsidR="001E0735" w:rsidRPr="009A7B0F">
        <w:rPr>
          <w:rFonts w:ascii="Times New Roman" w:hAnsi="Times New Roman"/>
          <w:sz w:val="28"/>
          <w:szCs w:val="28"/>
          <w:lang w:val="en-US"/>
        </w:rPr>
        <w:t>tor indicates</w:t>
      </w:r>
      <w:r w:rsidRPr="009A7B0F">
        <w:rPr>
          <w:rFonts w:ascii="Times New Roman" w:hAnsi="Times New Roman"/>
          <w:sz w:val="28"/>
          <w:szCs w:val="28"/>
          <w:lang w:val="en-US"/>
        </w:rPr>
        <w:t xml:space="preserve"> a high return on sales. In terms of </w:t>
      </w:r>
      <w:r w:rsidRPr="009A7B0F">
        <w:rPr>
          <w:rFonts w:ascii="Times New Roman" w:hAnsi="Times New Roman"/>
          <w:b/>
          <w:sz w:val="28"/>
          <w:szCs w:val="28"/>
          <w:lang w:val="en-US"/>
        </w:rPr>
        <w:t>ROIC</w:t>
      </w:r>
      <w:r w:rsidRPr="009A7B0F">
        <w:rPr>
          <w:rFonts w:ascii="Times New Roman" w:hAnsi="Times New Roman"/>
          <w:sz w:val="28"/>
          <w:szCs w:val="28"/>
          <w:lang w:val="en-US"/>
        </w:rPr>
        <w:t xml:space="preserve"> (return on long-term</w:t>
      </w:r>
      <w:r w:rsidR="00351E1B" w:rsidRPr="009A7B0F">
        <w:rPr>
          <w:rFonts w:ascii="Times New Roman" w:hAnsi="Times New Roman"/>
          <w:sz w:val="28"/>
          <w:szCs w:val="28"/>
          <w:lang w:val="en-US"/>
        </w:rPr>
        <w:t xml:space="preserve"> invested capital</w:t>
      </w:r>
      <w:r w:rsidRPr="009A7B0F">
        <w:rPr>
          <w:rFonts w:ascii="Times New Roman" w:hAnsi="Times New Roman"/>
          <w:sz w:val="28"/>
          <w:szCs w:val="28"/>
          <w:lang w:val="en-US"/>
        </w:rPr>
        <w:t>)</w:t>
      </w:r>
      <w:r w:rsidR="00351E1B" w:rsidRPr="009A7B0F">
        <w:rPr>
          <w:rFonts w:ascii="Times New Roman" w:hAnsi="Times New Roman"/>
          <w:sz w:val="28"/>
          <w:szCs w:val="28"/>
          <w:lang w:val="en-US"/>
        </w:rPr>
        <w:t xml:space="preserve"> of</w:t>
      </w:r>
      <w:r w:rsidRPr="009A7B0F">
        <w:rPr>
          <w:rFonts w:ascii="Times New Roman" w:hAnsi="Times New Roman"/>
          <w:sz w:val="28"/>
          <w:szCs w:val="28"/>
          <w:lang w:val="en-US"/>
        </w:rPr>
        <w:t xml:space="preserve"> </w:t>
      </w:r>
      <w:proofErr w:type="spellStart"/>
      <w:r w:rsidRPr="009A7B0F">
        <w:rPr>
          <w:rFonts w:ascii="Times New Roman" w:hAnsi="Times New Roman"/>
          <w:sz w:val="28"/>
          <w:szCs w:val="28"/>
          <w:lang w:val="en-US"/>
        </w:rPr>
        <w:t>Samruk</w:t>
      </w:r>
      <w:proofErr w:type="spellEnd"/>
      <w:r w:rsidRPr="009A7B0F">
        <w:rPr>
          <w:rFonts w:ascii="Times New Roman" w:hAnsi="Times New Roman"/>
          <w:sz w:val="28"/>
          <w:szCs w:val="28"/>
          <w:lang w:val="en-US"/>
        </w:rPr>
        <w:t>-Energ</w:t>
      </w:r>
      <w:r w:rsidR="00351E1B" w:rsidRPr="009A7B0F">
        <w:rPr>
          <w:rFonts w:ascii="Times New Roman" w:hAnsi="Times New Roman"/>
          <w:sz w:val="28"/>
          <w:szCs w:val="28"/>
          <w:lang w:val="en-US"/>
        </w:rPr>
        <w:t>y</w:t>
      </w:r>
      <w:r w:rsidRPr="009A7B0F">
        <w:rPr>
          <w:rFonts w:ascii="Times New Roman" w:hAnsi="Times New Roman"/>
          <w:sz w:val="28"/>
          <w:szCs w:val="28"/>
          <w:lang w:val="en-US"/>
        </w:rPr>
        <w:t xml:space="preserve"> is</w:t>
      </w:r>
      <w:r w:rsidR="00351E1B" w:rsidRPr="009A7B0F">
        <w:rPr>
          <w:rFonts w:ascii="Times New Roman" w:hAnsi="Times New Roman"/>
          <w:sz w:val="28"/>
          <w:szCs w:val="28"/>
          <w:lang w:val="en-US"/>
        </w:rPr>
        <w:t xml:space="preserve"> within</w:t>
      </w:r>
      <w:r w:rsidRPr="009A7B0F">
        <w:rPr>
          <w:rFonts w:ascii="Times New Roman" w:hAnsi="Times New Roman"/>
          <w:sz w:val="28"/>
          <w:szCs w:val="28"/>
          <w:lang w:val="en-US"/>
        </w:rPr>
        <w:t xml:space="preserve"> an average range, </w:t>
      </w:r>
      <w:r w:rsidR="00351E1B" w:rsidRPr="009A7B0F">
        <w:rPr>
          <w:rFonts w:ascii="Times New Roman" w:hAnsi="Times New Roman"/>
          <w:sz w:val="28"/>
          <w:szCs w:val="28"/>
          <w:lang w:val="en-US"/>
        </w:rPr>
        <w:t>which shows t</w:t>
      </w:r>
      <w:r w:rsidRPr="009A7B0F">
        <w:rPr>
          <w:rFonts w:ascii="Times New Roman" w:hAnsi="Times New Roman"/>
          <w:sz w:val="28"/>
          <w:szCs w:val="28"/>
          <w:lang w:val="en-US"/>
        </w:rPr>
        <w:t>hat</w:t>
      </w:r>
      <w:r w:rsidR="00351E1B" w:rsidRPr="009A7B0F">
        <w:rPr>
          <w:rFonts w:ascii="Times New Roman" w:hAnsi="Times New Roman"/>
          <w:sz w:val="28"/>
          <w:szCs w:val="28"/>
          <w:lang w:val="en-US"/>
        </w:rPr>
        <w:t xml:space="preserve"> investment efficiency</w:t>
      </w:r>
      <w:r w:rsidRPr="009A7B0F">
        <w:rPr>
          <w:rFonts w:ascii="Times New Roman" w:hAnsi="Times New Roman"/>
          <w:sz w:val="28"/>
          <w:szCs w:val="28"/>
          <w:lang w:val="en-US"/>
        </w:rPr>
        <w:t xml:space="preserve"> (profitability, return)</w:t>
      </w:r>
      <w:r w:rsidR="00351E1B" w:rsidRPr="009A7B0F">
        <w:rPr>
          <w:rFonts w:ascii="Times New Roman" w:hAnsi="Times New Roman"/>
          <w:sz w:val="28"/>
          <w:szCs w:val="28"/>
          <w:lang w:val="en-US"/>
        </w:rPr>
        <w:t xml:space="preserve"> requires improvement.</w:t>
      </w:r>
    </w:p>
    <w:p w:rsidR="0070402B" w:rsidRPr="009A7B0F" w:rsidRDefault="00AA6DAA" w:rsidP="00351E1B">
      <w:pPr>
        <w:ind w:left="360"/>
        <w:contextualSpacing/>
        <w:jc w:val="both"/>
        <w:rPr>
          <w:rFonts w:ascii="Times New Roman" w:hAnsi="Times New Roman"/>
          <w:sz w:val="28"/>
          <w:szCs w:val="28"/>
          <w:lang w:val="en-US"/>
        </w:rPr>
      </w:pPr>
      <w:r w:rsidRPr="009A7B0F">
        <w:rPr>
          <w:rFonts w:ascii="Times New Roman" w:hAnsi="Times New Roman"/>
          <w:sz w:val="28"/>
          <w:szCs w:val="28"/>
          <w:lang w:val="en-US"/>
        </w:rPr>
        <w:t xml:space="preserve">A </w:t>
      </w:r>
      <w:r w:rsidRPr="009A7B0F">
        <w:rPr>
          <w:rFonts w:ascii="Times New Roman" w:hAnsi="Times New Roman"/>
          <w:b/>
          <w:sz w:val="28"/>
          <w:szCs w:val="28"/>
          <w:lang w:val="en-US"/>
        </w:rPr>
        <w:t>financial stability</w:t>
      </w:r>
      <w:r w:rsidRPr="009A7B0F">
        <w:rPr>
          <w:rFonts w:ascii="Times New Roman" w:hAnsi="Times New Roman"/>
          <w:sz w:val="28"/>
          <w:szCs w:val="28"/>
          <w:lang w:val="en-US"/>
        </w:rPr>
        <w:t xml:space="preserve"> indicator shows</w:t>
      </w:r>
      <w:r w:rsidR="00351E1B" w:rsidRPr="009A7B0F">
        <w:rPr>
          <w:rFonts w:ascii="Times New Roman" w:hAnsi="Times New Roman"/>
          <w:sz w:val="28"/>
          <w:szCs w:val="28"/>
          <w:lang w:val="en-US"/>
        </w:rPr>
        <w:t xml:space="preserve"> that </w:t>
      </w:r>
      <w:proofErr w:type="spellStart"/>
      <w:r w:rsidR="00351E1B" w:rsidRPr="009A7B0F">
        <w:rPr>
          <w:rFonts w:ascii="Times New Roman" w:hAnsi="Times New Roman"/>
          <w:sz w:val="28"/>
          <w:szCs w:val="28"/>
          <w:lang w:val="en-US"/>
        </w:rPr>
        <w:t>Samruk</w:t>
      </w:r>
      <w:proofErr w:type="spellEnd"/>
      <w:r w:rsidR="00351E1B" w:rsidRPr="009A7B0F">
        <w:rPr>
          <w:rFonts w:ascii="Times New Roman" w:hAnsi="Times New Roman"/>
          <w:sz w:val="28"/>
          <w:szCs w:val="28"/>
          <w:lang w:val="en-US"/>
        </w:rPr>
        <w:t>-</w:t>
      </w:r>
      <w:r w:rsidRPr="009A7B0F">
        <w:rPr>
          <w:rFonts w:ascii="Times New Roman" w:hAnsi="Times New Roman"/>
          <w:sz w:val="28"/>
          <w:szCs w:val="28"/>
          <w:lang w:val="en-US"/>
        </w:rPr>
        <w:t>Energy takes</w:t>
      </w:r>
      <w:r w:rsidR="0070402B" w:rsidRPr="009A7B0F">
        <w:rPr>
          <w:rFonts w:ascii="Times New Roman" w:hAnsi="Times New Roman"/>
          <w:sz w:val="28"/>
          <w:szCs w:val="28"/>
          <w:lang w:val="en-US"/>
        </w:rPr>
        <w:t xml:space="preserve"> full advantage of available financial leverage</w:t>
      </w:r>
      <w:r w:rsidR="00351E1B" w:rsidRPr="009A7B0F">
        <w:rPr>
          <w:rFonts w:ascii="Times New Roman" w:hAnsi="Times New Roman"/>
          <w:sz w:val="28"/>
          <w:szCs w:val="28"/>
          <w:lang w:val="en-US"/>
        </w:rPr>
        <w:t xml:space="preserve">. </w:t>
      </w:r>
    </w:p>
    <w:p w:rsidR="0070402B" w:rsidRPr="009A7B0F" w:rsidRDefault="0070402B" w:rsidP="0070402B">
      <w:pPr>
        <w:spacing w:line="240" w:lineRule="auto"/>
        <w:ind w:firstLine="709"/>
        <w:contextualSpacing/>
        <w:jc w:val="both"/>
        <w:rPr>
          <w:rFonts w:ascii="Times New Roman" w:eastAsia="Times New Roman" w:hAnsi="Times New Roman"/>
          <w:bCs/>
          <w:sz w:val="28"/>
          <w:szCs w:val="28"/>
          <w:lang w:val="en-US" w:eastAsia="ru-RU"/>
        </w:rPr>
      </w:pPr>
    </w:p>
    <w:p w:rsidR="00361C58" w:rsidRPr="009A7B0F" w:rsidRDefault="00361C58" w:rsidP="00361C58">
      <w:pPr>
        <w:ind w:left="360"/>
        <w:contextualSpacing/>
        <w:jc w:val="both"/>
        <w:rPr>
          <w:rFonts w:ascii="Times New Roman" w:hAnsi="Times New Roman"/>
          <w:sz w:val="28"/>
          <w:szCs w:val="28"/>
          <w:lang w:val="en-US"/>
        </w:rPr>
      </w:pPr>
    </w:p>
    <w:p w:rsidR="00361C58" w:rsidRPr="0072726D" w:rsidRDefault="00361C58" w:rsidP="004D55FB">
      <w:pPr>
        <w:spacing w:after="0"/>
        <w:jc w:val="both"/>
        <w:rPr>
          <w:rFonts w:ascii="Times New Roman" w:hAnsi="Times New Roman" w:cs="Times New Roman"/>
          <w:sz w:val="24"/>
          <w:szCs w:val="24"/>
          <w:lang w:val="en-US"/>
        </w:rPr>
      </w:pPr>
    </w:p>
    <w:sectPr w:rsidR="00361C58" w:rsidRPr="0072726D" w:rsidSect="009A7B0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23162"/>
    <w:multiLevelType w:val="hybridMultilevel"/>
    <w:tmpl w:val="EB2E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643FF"/>
    <w:multiLevelType w:val="hybridMultilevel"/>
    <w:tmpl w:val="9DE2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5A724F"/>
    <w:multiLevelType w:val="hybridMultilevel"/>
    <w:tmpl w:val="E830F5A0"/>
    <w:lvl w:ilvl="0" w:tplc="B7886DA2">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6BF6"/>
    <w:rsid w:val="0001275D"/>
    <w:rsid w:val="0002330A"/>
    <w:rsid w:val="00030DAC"/>
    <w:rsid w:val="00062E43"/>
    <w:rsid w:val="00066AAB"/>
    <w:rsid w:val="00080E62"/>
    <w:rsid w:val="00091996"/>
    <w:rsid w:val="00094096"/>
    <w:rsid w:val="000C37B7"/>
    <w:rsid w:val="00102822"/>
    <w:rsid w:val="00164E29"/>
    <w:rsid w:val="001812CF"/>
    <w:rsid w:val="001B1467"/>
    <w:rsid w:val="001B6824"/>
    <w:rsid w:val="001C05CD"/>
    <w:rsid w:val="001E0735"/>
    <w:rsid w:val="001F28C0"/>
    <w:rsid w:val="00210378"/>
    <w:rsid w:val="00240BA2"/>
    <w:rsid w:val="00283907"/>
    <w:rsid w:val="002A5935"/>
    <w:rsid w:val="002C5CCA"/>
    <w:rsid w:val="002D298E"/>
    <w:rsid w:val="002E2FDF"/>
    <w:rsid w:val="002F1711"/>
    <w:rsid w:val="00315A1E"/>
    <w:rsid w:val="0031774D"/>
    <w:rsid w:val="00337E13"/>
    <w:rsid w:val="00340EB1"/>
    <w:rsid w:val="00351E1B"/>
    <w:rsid w:val="00361C58"/>
    <w:rsid w:val="003E6CB9"/>
    <w:rsid w:val="003F6665"/>
    <w:rsid w:val="00400BB4"/>
    <w:rsid w:val="00411DE3"/>
    <w:rsid w:val="00417E68"/>
    <w:rsid w:val="004368B8"/>
    <w:rsid w:val="00451243"/>
    <w:rsid w:val="00462FF6"/>
    <w:rsid w:val="00470E50"/>
    <w:rsid w:val="004D1A69"/>
    <w:rsid w:val="004D55FB"/>
    <w:rsid w:val="004D586B"/>
    <w:rsid w:val="004F6497"/>
    <w:rsid w:val="0051260C"/>
    <w:rsid w:val="00554C94"/>
    <w:rsid w:val="00580E6F"/>
    <w:rsid w:val="005C5936"/>
    <w:rsid w:val="00616B09"/>
    <w:rsid w:val="00642A55"/>
    <w:rsid w:val="00663B5F"/>
    <w:rsid w:val="006663AB"/>
    <w:rsid w:val="00691A3B"/>
    <w:rsid w:val="006A4FBC"/>
    <w:rsid w:val="006C2653"/>
    <w:rsid w:val="006E78B3"/>
    <w:rsid w:val="006F1555"/>
    <w:rsid w:val="0070402B"/>
    <w:rsid w:val="007114FD"/>
    <w:rsid w:val="00720ABD"/>
    <w:rsid w:val="00720CC6"/>
    <w:rsid w:val="00726326"/>
    <w:rsid w:val="0072726D"/>
    <w:rsid w:val="00730FD3"/>
    <w:rsid w:val="0078446E"/>
    <w:rsid w:val="00786BF6"/>
    <w:rsid w:val="007B5959"/>
    <w:rsid w:val="007D2529"/>
    <w:rsid w:val="00831EDC"/>
    <w:rsid w:val="00833E12"/>
    <w:rsid w:val="00851BEC"/>
    <w:rsid w:val="00854403"/>
    <w:rsid w:val="00870D2C"/>
    <w:rsid w:val="00873E69"/>
    <w:rsid w:val="0088591E"/>
    <w:rsid w:val="00894779"/>
    <w:rsid w:val="008C567C"/>
    <w:rsid w:val="008C61B8"/>
    <w:rsid w:val="00900259"/>
    <w:rsid w:val="009056BB"/>
    <w:rsid w:val="009064EB"/>
    <w:rsid w:val="00910176"/>
    <w:rsid w:val="00910818"/>
    <w:rsid w:val="00935244"/>
    <w:rsid w:val="00950C45"/>
    <w:rsid w:val="009A7B0F"/>
    <w:rsid w:val="009D5295"/>
    <w:rsid w:val="009E3530"/>
    <w:rsid w:val="009F1515"/>
    <w:rsid w:val="00A0482B"/>
    <w:rsid w:val="00A101DE"/>
    <w:rsid w:val="00A363E2"/>
    <w:rsid w:val="00A65B89"/>
    <w:rsid w:val="00A72E05"/>
    <w:rsid w:val="00AA0F38"/>
    <w:rsid w:val="00AA1E76"/>
    <w:rsid w:val="00AA220B"/>
    <w:rsid w:val="00AA6DAA"/>
    <w:rsid w:val="00AD5C20"/>
    <w:rsid w:val="00AF13CD"/>
    <w:rsid w:val="00B071CE"/>
    <w:rsid w:val="00B24591"/>
    <w:rsid w:val="00B56CE0"/>
    <w:rsid w:val="00B6738F"/>
    <w:rsid w:val="00B72818"/>
    <w:rsid w:val="00B93B74"/>
    <w:rsid w:val="00BC6FF7"/>
    <w:rsid w:val="00C0435F"/>
    <w:rsid w:val="00C0466A"/>
    <w:rsid w:val="00C36A76"/>
    <w:rsid w:val="00C9133F"/>
    <w:rsid w:val="00CA4A9F"/>
    <w:rsid w:val="00CC331B"/>
    <w:rsid w:val="00CC35B6"/>
    <w:rsid w:val="00CD58BC"/>
    <w:rsid w:val="00CE2643"/>
    <w:rsid w:val="00D068FA"/>
    <w:rsid w:val="00D26124"/>
    <w:rsid w:val="00D26992"/>
    <w:rsid w:val="00D26ED6"/>
    <w:rsid w:val="00D54E80"/>
    <w:rsid w:val="00DA6D4F"/>
    <w:rsid w:val="00DD33D3"/>
    <w:rsid w:val="00DF5E62"/>
    <w:rsid w:val="00E41F4D"/>
    <w:rsid w:val="00E7505A"/>
    <w:rsid w:val="00EA3707"/>
    <w:rsid w:val="00EA4183"/>
    <w:rsid w:val="00EB430B"/>
    <w:rsid w:val="00EC1926"/>
    <w:rsid w:val="00ED12E5"/>
    <w:rsid w:val="00ED14B1"/>
    <w:rsid w:val="00EF2E3B"/>
    <w:rsid w:val="00EF388C"/>
    <w:rsid w:val="00F126E0"/>
    <w:rsid w:val="00F4030A"/>
    <w:rsid w:val="00F45FB9"/>
    <w:rsid w:val="00F53979"/>
    <w:rsid w:val="00F84E5B"/>
    <w:rsid w:val="00FA1B91"/>
    <w:rsid w:val="00FB2DA7"/>
    <w:rsid w:val="00FD4C02"/>
    <w:rsid w:val="00FE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BF6"/>
    <w:pPr>
      <w:ind w:left="720"/>
      <w:contextualSpacing/>
    </w:pPr>
  </w:style>
  <w:style w:type="paragraph" w:styleId="a4">
    <w:name w:val="Balloon Text"/>
    <w:basedOn w:val="a"/>
    <w:link w:val="a5"/>
    <w:uiPriority w:val="99"/>
    <w:semiHidden/>
    <w:unhideWhenUsed/>
    <w:rsid w:val="009A7B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7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fs\obmen\&#1044;&#1069;&#1080;&#1041;&#1055;\2015\2015\&#1054;&#1090;&#1095;&#1077;&#1090;%20&#1088;&#1091;&#1082;&#1086;&#1074;&#1086;&#1076;&#1089;&#1090;&#1074;&#1072;%20&#1079;&#1072;%202015\&#1043;&#1088;&#1072;&#1092;&#1080;&#1082;%20&#1044;&#1086;&#1093;%20&#1080;%20&#1088;&#1072;&#1089;&#1093;(&#1072;&#1085;&#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obmen\&#1044;&#1069;&#1080;&#1041;&#1055;\2015\2015\&#1054;&#1090;&#1095;&#1077;&#1090;%20&#1088;&#1091;&#1082;&#1086;&#1074;&#1086;&#1076;&#1089;&#1090;&#1074;&#1072;%20&#1079;&#1072;%202015\&#1043;&#1088;&#1072;&#1092;&#1080;&#1082;%20&#1044;&#1086;&#1093;%20&#1080;%20&#1088;&#1072;&#1089;&#1093;(&#1072;&#1085;&#1075;).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kamalov\Desktop\bench\&#1089;&#1074;&#1086;&#1076;.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kamalov\Desktop\bench\&#1089;&#1074;&#1086;&#107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kamalov\Desktop\bench\&#1089;&#1074;&#1086;&#107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kamalov\Desktop\bench\&#1089;&#1074;&#1086;&#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0737129012719562E-2"/>
          <c:y val="7.8003723371787834E-2"/>
          <c:w val="0.53493599838481731"/>
          <c:h val="0.79021333089177803"/>
        </c:manualLayout>
      </c:layout>
      <c:pie3DChart>
        <c:varyColors val="1"/>
        <c:ser>
          <c:idx val="0"/>
          <c:order val="0"/>
          <c:explosion val="25"/>
          <c:dLbls>
            <c:txPr>
              <a:bodyPr/>
              <a:lstStyle/>
              <a:p>
                <a:pPr>
                  <a:defRPr b="1"/>
                </a:pPr>
                <a:endParaRPr lang="ru-RU"/>
              </a:p>
            </c:txPr>
            <c:showLegendKey val="0"/>
            <c:showVal val="1"/>
            <c:showCatName val="0"/>
            <c:showSerName val="0"/>
            <c:showPercent val="0"/>
            <c:showBubbleSize val="0"/>
            <c:showLeaderLines val="1"/>
          </c:dLbls>
          <c:cat>
            <c:strRef>
              <c:f>Лист1!$B$5:$B$7</c:f>
              <c:strCache>
                <c:ptCount val="3"/>
                <c:pt idx="0">
                  <c:v>Electricity production</c:v>
                </c:pt>
                <c:pt idx="1">
                  <c:v>Transmission and distribution of electricity</c:v>
                </c:pt>
                <c:pt idx="2">
                  <c:v>Production of power generating coal</c:v>
                </c:pt>
              </c:strCache>
            </c:strRef>
          </c:cat>
          <c:val>
            <c:numRef>
              <c:f>Лист1!$C$5:$C$7</c:f>
              <c:numCache>
                <c:formatCode>0%</c:formatCode>
                <c:ptCount val="3"/>
                <c:pt idx="0">
                  <c:v>0.61291220688022707</c:v>
                </c:pt>
                <c:pt idx="1">
                  <c:v>0.22057260914333424</c:v>
                </c:pt>
                <c:pt idx="2">
                  <c:v>0.16651518397643866</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487179487179487"/>
          <c:y val="0.15795061954464995"/>
          <c:w val="0.34102564102564104"/>
          <c:h val="0.35076542757736678"/>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b="1"/>
                </a:pPr>
                <a:endParaRPr lang="ru-RU"/>
              </a:p>
            </c:txPr>
            <c:showLegendKey val="0"/>
            <c:showVal val="1"/>
            <c:showCatName val="0"/>
            <c:showSerName val="0"/>
            <c:showPercent val="0"/>
            <c:showBubbleSize val="0"/>
            <c:showLeaderLines val="1"/>
          </c:dLbls>
          <c:cat>
            <c:strRef>
              <c:f>Лист1!$B$25:$B$27</c:f>
              <c:strCache>
                <c:ptCount val="3"/>
                <c:pt idx="0">
                  <c:v>Electricity production</c:v>
                </c:pt>
                <c:pt idx="1">
                  <c:v>Transmission and distribution of electricity</c:v>
                </c:pt>
                <c:pt idx="2">
                  <c:v>Production of power generating coal</c:v>
                </c:pt>
              </c:strCache>
            </c:strRef>
          </c:cat>
          <c:val>
            <c:numRef>
              <c:f>Лист1!$C$25:$C$27</c:f>
              <c:numCache>
                <c:formatCode>0%</c:formatCode>
                <c:ptCount val="3"/>
                <c:pt idx="0">
                  <c:v>0.57420976606496654</c:v>
                </c:pt>
                <c:pt idx="1">
                  <c:v>0.23567000139602723</c:v>
                </c:pt>
                <c:pt idx="2">
                  <c:v>0.19012023253900628</c:v>
                </c:pt>
              </c:numCache>
            </c:numRef>
          </c:val>
        </c:ser>
        <c:dLbls>
          <c:showLegendKey val="0"/>
          <c:showVal val="0"/>
          <c:showCatName val="0"/>
          <c:showSerName val="0"/>
          <c:showPercent val="0"/>
          <c:showBubbleSize val="0"/>
          <c:showLeaderLines val="1"/>
        </c:dLbls>
      </c:pie3DChart>
    </c:plotArea>
    <c:legend>
      <c:legendPos val="r"/>
      <c:layout/>
      <c:overlay val="0"/>
      <c:txPr>
        <a:bodyPr/>
        <a:lstStyle/>
        <a:p>
          <a:pPr>
            <a:defRPr b="1"/>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0" baseline="0">
                <a:effectLst/>
              </a:rPr>
              <a:t>Annual power generation</a:t>
            </a:r>
            <a:r>
              <a:rPr lang="ru-RU" sz="1400" b="1" i="0" baseline="0">
                <a:effectLst/>
              </a:rPr>
              <a:t> - 2015 </a:t>
            </a:r>
            <a:r>
              <a:rPr lang="en-US" sz="1400" b="1" i="0" baseline="0">
                <a:effectLst/>
              </a:rPr>
              <a:t>y</a:t>
            </a:r>
            <a:r>
              <a:rPr lang="ru-RU" sz="1400" b="1" i="0" baseline="0">
                <a:effectLst/>
              </a:rPr>
              <a:t>. (Т</a:t>
            </a:r>
            <a:r>
              <a:rPr lang="en-US" sz="1400" b="1" i="0" baseline="0">
                <a:effectLst/>
              </a:rPr>
              <a:t>Wh</a:t>
            </a:r>
            <a:r>
              <a:rPr lang="ru-RU" sz="1400" b="1" i="0" baseline="0">
                <a:effectLst/>
              </a:rPr>
              <a:t>)</a:t>
            </a:r>
            <a:endParaRPr lang="ru-RU" sz="1400">
              <a:effectLst/>
            </a:endParaRPr>
          </a:p>
        </c:rich>
      </c:tx>
      <c:layout/>
      <c:overlay val="0"/>
    </c:title>
    <c:autoTitleDeleted val="0"/>
    <c:plotArea>
      <c:layout>
        <c:manualLayout>
          <c:layoutTarget val="inner"/>
          <c:xMode val="edge"/>
          <c:yMode val="edge"/>
          <c:x val="8.3605969917966899E-2"/>
          <c:y val="0.2306512848684612"/>
          <c:w val="0.63998605340384107"/>
          <c:h val="0.46388085210278951"/>
        </c:manualLayout>
      </c:layout>
      <c:barChart>
        <c:barDir val="col"/>
        <c:grouping val="clustered"/>
        <c:varyColors val="0"/>
        <c:ser>
          <c:idx val="0"/>
          <c:order val="0"/>
          <c:tx>
            <c:v>Выработка э/э (Т-Втч)</c:v>
          </c:tx>
          <c:invertIfNegative val="0"/>
          <c:dPt>
            <c:idx val="0"/>
            <c:invertIfNegative val="0"/>
            <c:bubble3D val="0"/>
            <c:spPr>
              <a:solidFill>
                <a:schemeClr val="tx2"/>
              </a:solidFill>
            </c:spPr>
          </c:dPt>
          <c:dPt>
            <c:idx val="1"/>
            <c:invertIfNegative val="0"/>
            <c:bubble3D val="0"/>
            <c:spPr>
              <a:solidFill>
                <a:srgbClr val="00B0F0"/>
              </a:solidFill>
            </c:spPr>
          </c:dPt>
          <c:dPt>
            <c:idx val="2"/>
            <c:invertIfNegative val="0"/>
            <c:bubble3D val="0"/>
            <c:spPr>
              <a:solidFill>
                <a:srgbClr val="00B050"/>
              </a:solidFill>
            </c:spPr>
          </c:dPt>
          <c:dPt>
            <c:idx val="3"/>
            <c:invertIfNegative val="0"/>
            <c:bubble3D val="0"/>
            <c:spPr>
              <a:solidFill>
                <a:srgbClr val="FFC000"/>
              </a:solidFill>
            </c:spPr>
          </c:dPt>
          <c:dLbls>
            <c:showLegendKey val="0"/>
            <c:showVal val="1"/>
            <c:showCatName val="0"/>
            <c:showSerName val="0"/>
            <c:showPercent val="0"/>
            <c:showBubbleSize val="0"/>
            <c:showLeaderLines val="0"/>
          </c:dLbls>
          <c:cat>
            <c:strRef>
              <c:f>Лист1!$E$15:$H$15</c:f>
              <c:strCache>
                <c:ptCount val="4"/>
                <c:pt idx="0">
                  <c:v>Samruk-Energy JSC</c:v>
                </c:pt>
                <c:pt idx="1">
                  <c:v>Inter RAO UES PJSC</c:v>
                </c:pt>
                <c:pt idx="2">
                  <c:v>ENEL RUSSIA PJSC</c:v>
                </c:pt>
                <c:pt idx="3">
                  <c:v>E.ON Russia JSC </c:v>
                </c:pt>
              </c:strCache>
            </c:strRef>
          </c:cat>
          <c:val>
            <c:numRef>
              <c:f>Лист1!$E$16:$H$16</c:f>
              <c:numCache>
                <c:formatCode>General</c:formatCode>
                <c:ptCount val="4"/>
                <c:pt idx="0" formatCode="0">
                  <c:v>22.318000000000001</c:v>
                </c:pt>
                <c:pt idx="1">
                  <c:v>141</c:v>
                </c:pt>
                <c:pt idx="2" formatCode="0">
                  <c:v>48.4</c:v>
                </c:pt>
                <c:pt idx="3">
                  <c:v>54</c:v>
                </c:pt>
              </c:numCache>
            </c:numRef>
          </c:val>
        </c:ser>
        <c:dLbls>
          <c:showLegendKey val="0"/>
          <c:showVal val="0"/>
          <c:showCatName val="0"/>
          <c:showSerName val="0"/>
          <c:showPercent val="0"/>
          <c:showBubbleSize val="0"/>
        </c:dLbls>
        <c:gapWidth val="150"/>
        <c:axId val="278720512"/>
        <c:axId val="278722816"/>
      </c:barChart>
      <c:catAx>
        <c:axId val="278720512"/>
        <c:scaling>
          <c:orientation val="minMax"/>
        </c:scaling>
        <c:delete val="0"/>
        <c:axPos val="b"/>
        <c:majorTickMark val="none"/>
        <c:minorTickMark val="none"/>
        <c:tickLblPos val="nextTo"/>
        <c:crossAx val="278722816"/>
        <c:crosses val="autoZero"/>
        <c:auto val="1"/>
        <c:lblAlgn val="ctr"/>
        <c:lblOffset val="100"/>
        <c:noMultiLvlLbl val="0"/>
      </c:catAx>
      <c:valAx>
        <c:axId val="278722816"/>
        <c:scaling>
          <c:orientation val="minMax"/>
        </c:scaling>
        <c:delete val="0"/>
        <c:axPos val="l"/>
        <c:majorGridlines/>
        <c:numFmt formatCode="0" sourceLinked="1"/>
        <c:majorTickMark val="none"/>
        <c:minorTickMark val="none"/>
        <c:tickLblPos val="nextTo"/>
        <c:crossAx val="278720512"/>
        <c:crosses val="autoZero"/>
        <c:crossBetween val="between"/>
      </c:valAx>
    </c:plotArea>
    <c:legend>
      <c:legendPos val="r"/>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b="1" i="0" baseline="0">
                <a:effectLst/>
              </a:rPr>
              <a:t>Installed capacity utilization factor</a:t>
            </a:r>
            <a:r>
              <a:rPr lang="ru-RU" sz="1600" b="1" i="0" baseline="0">
                <a:effectLst/>
              </a:rPr>
              <a:t> - 2015 у.</a:t>
            </a:r>
            <a:endParaRPr lang="ru-RU" sz="1600">
              <a:effectLst/>
            </a:endParaRPr>
          </a:p>
        </c:rich>
      </c:tx>
      <c:layout/>
      <c:overlay val="0"/>
    </c:title>
    <c:autoTitleDeleted val="0"/>
    <c:plotArea>
      <c:layout>
        <c:manualLayout>
          <c:layoutTarget val="inner"/>
          <c:xMode val="edge"/>
          <c:yMode val="edge"/>
          <c:x val="2.7060270602706028E-2"/>
          <c:y val="0.41082894165788331"/>
          <c:w val="0.9458794587945879"/>
          <c:h val="0.3858289055331498"/>
        </c:manualLayout>
      </c:layout>
      <c:barChart>
        <c:barDir val="col"/>
        <c:grouping val="clustered"/>
        <c:varyColors val="0"/>
        <c:ser>
          <c:idx val="0"/>
          <c:order val="0"/>
          <c:tx>
            <c:v>Коэффициент использования установленной мощности </c:v>
          </c:tx>
          <c:invertIfNegative val="0"/>
          <c:dPt>
            <c:idx val="0"/>
            <c:invertIfNegative val="0"/>
            <c:bubble3D val="0"/>
            <c:spPr>
              <a:solidFill>
                <a:schemeClr val="tx2"/>
              </a:solidFill>
            </c:spPr>
          </c:dPt>
          <c:dPt>
            <c:idx val="1"/>
            <c:invertIfNegative val="0"/>
            <c:bubble3D val="0"/>
            <c:spPr>
              <a:solidFill>
                <a:srgbClr val="00B0F0"/>
              </a:solidFill>
            </c:spPr>
          </c:dPt>
          <c:dPt>
            <c:idx val="2"/>
            <c:invertIfNegative val="0"/>
            <c:bubble3D val="0"/>
            <c:spPr>
              <a:solidFill>
                <a:srgbClr val="00B050"/>
              </a:solidFill>
            </c:spPr>
          </c:dPt>
          <c:dPt>
            <c:idx val="3"/>
            <c:invertIfNegative val="0"/>
            <c:bubble3D val="0"/>
            <c:spPr>
              <a:solidFill>
                <a:srgbClr val="FFC000"/>
              </a:solidFill>
            </c:spPr>
          </c:dPt>
          <c:cat>
            <c:strRef>
              <c:f>Лист1!$E$35:$H$35</c:f>
              <c:strCache>
                <c:ptCount val="4"/>
                <c:pt idx="0">
                  <c:v>Samruk-Energy JSC</c:v>
                </c:pt>
                <c:pt idx="1">
                  <c:v>Inter RAO UES PJSC</c:v>
                </c:pt>
                <c:pt idx="2">
                  <c:v>ENEL RUSSIA PJSC</c:v>
                </c:pt>
                <c:pt idx="3">
                  <c:v>E.ON Russia JSC </c:v>
                </c:pt>
              </c:strCache>
            </c:strRef>
          </c:cat>
          <c:val>
            <c:numRef>
              <c:f>Лист1!$E$36:$H$36</c:f>
              <c:numCache>
                <c:formatCode>0%</c:formatCode>
                <c:ptCount val="4"/>
                <c:pt idx="0">
                  <c:v>0.376</c:v>
                </c:pt>
                <c:pt idx="1">
                  <c:v>0.46</c:v>
                </c:pt>
                <c:pt idx="2">
                  <c:v>0.53</c:v>
                </c:pt>
                <c:pt idx="3">
                  <c:v>0.57999999999999996</c:v>
                </c:pt>
              </c:numCache>
            </c:numRef>
          </c:val>
        </c:ser>
        <c:dLbls>
          <c:showLegendKey val="0"/>
          <c:showVal val="1"/>
          <c:showCatName val="0"/>
          <c:showSerName val="0"/>
          <c:showPercent val="0"/>
          <c:showBubbleSize val="0"/>
        </c:dLbls>
        <c:gapWidth val="150"/>
        <c:overlap val="-25"/>
        <c:axId val="57550720"/>
        <c:axId val="57552256"/>
      </c:barChart>
      <c:catAx>
        <c:axId val="57550720"/>
        <c:scaling>
          <c:orientation val="minMax"/>
        </c:scaling>
        <c:delete val="0"/>
        <c:axPos val="b"/>
        <c:majorTickMark val="none"/>
        <c:minorTickMark val="none"/>
        <c:tickLblPos val="nextTo"/>
        <c:crossAx val="57552256"/>
        <c:crosses val="autoZero"/>
        <c:auto val="1"/>
        <c:lblAlgn val="ctr"/>
        <c:lblOffset val="100"/>
        <c:noMultiLvlLbl val="0"/>
      </c:catAx>
      <c:valAx>
        <c:axId val="57552256"/>
        <c:scaling>
          <c:orientation val="minMax"/>
        </c:scaling>
        <c:delete val="1"/>
        <c:axPos val="l"/>
        <c:numFmt formatCode="0%" sourceLinked="1"/>
        <c:majorTickMark val="none"/>
        <c:minorTickMark val="none"/>
        <c:tickLblPos val="nextTo"/>
        <c:crossAx val="57550720"/>
        <c:crosses val="autoZero"/>
        <c:crossBetween val="between"/>
      </c:valAx>
    </c:plotArea>
    <c:legend>
      <c:legendPos val="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n-US" sz="1400"/>
              <a:t>EBITDA margin -</a:t>
            </a:r>
            <a:r>
              <a:rPr lang="ru-RU" sz="1400"/>
              <a:t> 2015 </a:t>
            </a:r>
            <a:r>
              <a:rPr lang="en-US" sz="1400"/>
              <a:t>y</a:t>
            </a:r>
            <a:r>
              <a:rPr lang="ru-RU" sz="1400"/>
              <a:t>.</a:t>
            </a:r>
          </a:p>
        </c:rich>
      </c:tx>
      <c:layout/>
      <c:overlay val="0"/>
    </c:title>
    <c:autoTitleDeleted val="0"/>
    <c:plotArea>
      <c:layout>
        <c:manualLayout>
          <c:layoutTarget val="inner"/>
          <c:xMode val="edge"/>
          <c:yMode val="edge"/>
          <c:x val="7.9869146791433684E-2"/>
          <c:y val="0.18855523287725917"/>
          <c:w val="0.89356080489938761"/>
          <c:h val="0.50777070674384883"/>
        </c:manualLayout>
      </c:layout>
      <c:barChart>
        <c:barDir val="col"/>
        <c:grouping val="clustered"/>
        <c:varyColors val="0"/>
        <c:ser>
          <c:idx val="0"/>
          <c:order val="0"/>
          <c:tx>
            <c:strRef>
              <c:f>Лист1!$B$57</c:f>
              <c:strCache>
                <c:ptCount val="1"/>
                <c:pt idx="0">
                  <c:v>EBITDA margin за 2015 г.</c:v>
                </c:pt>
              </c:strCache>
            </c:strRef>
          </c:tx>
          <c:invertIfNegative val="0"/>
          <c:dPt>
            <c:idx val="0"/>
            <c:invertIfNegative val="0"/>
            <c:bubble3D val="0"/>
            <c:spPr>
              <a:solidFill>
                <a:schemeClr val="tx2"/>
              </a:solidFill>
            </c:spPr>
          </c:dPt>
          <c:dPt>
            <c:idx val="1"/>
            <c:invertIfNegative val="0"/>
            <c:bubble3D val="0"/>
            <c:spPr>
              <a:solidFill>
                <a:srgbClr val="00B0F0"/>
              </a:solidFill>
            </c:spPr>
          </c:dPt>
          <c:dPt>
            <c:idx val="2"/>
            <c:invertIfNegative val="0"/>
            <c:bubble3D val="0"/>
            <c:spPr>
              <a:solidFill>
                <a:srgbClr val="00B050"/>
              </a:solidFill>
            </c:spPr>
          </c:dPt>
          <c:dPt>
            <c:idx val="3"/>
            <c:invertIfNegative val="0"/>
            <c:bubble3D val="0"/>
            <c:spPr>
              <a:solidFill>
                <a:srgbClr val="FFC000"/>
              </a:solidFill>
            </c:spPr>
          </c:dPt>
          <c:dPt>
            <c:idx val="4"/>
            <c:invertIfNegative val="0"/>
            <c:bubble3D val="0"/>
            <c:spPr>
              <a:solidFill>
                <a:srgbClr val="FF0000"/>
              </a:solidFill>
            </c:spPr>
          </c:dPt>
          <c:dLbls>
            <c:showLegendKey val="0"/>
            <c:showVal val="1"/>
            <c:showCatName val="0"/>
            <c:showSerName val="0"/>
            <c:showPercent val="0"/>
            <c:showBubbleSize val="0"/>
            <c:showLeaderLines val="0"/>
          </c:dLbls>
          <c:cat>
            <c:strRef>
              <c:f>Лист1!$D$56:$H$56</c:f>
              <c:strCache>
                <c:ptCount val="5"/>
                <c:pt idx="0">
                  <c:v>Samruk-Energy JSC</c:v>
                </c:pt>
                <c:pt idx="1">
                  <c:v>Inter RAO UES PJSC</c:v>
                </c:pt>
                <c:pt idx="2">
                  <c:v>ENEL RUSSIA PJSC</c:v>
                </c:pt>
                <c:pt idx="3">
                  <c:v>E.ON Russia JSC </c:v>
                </c:pt>
                <c:pt idx="4">
                  <c:v>Tauron Polska Energia SA</c:v>
                </c:pt>
              </c:strCache>
            </c:strRef>
          </c:cat>
          <c:val>
            <c:numRef>
              <c:f>Лист1!$D$57:$H$57</c:f>
              <c:numCache>
                <c:formatCode>0%</c:formatCode>
                <c:ptCount val="5"/>
                <c:pt idx="0">
                  <c:v>0.37094057161717547</c:v>
                </c:pt>
                <c:pt idx="1">
                  <c:v>3.7895999999999999E-2</c:v>
                </c:pt>
                <c:pt idx="2">
                  <c:v>0.152</c:v>
                </c:pt>
                <c:pt idx="3">
                  <c:v>0.28956900000000002</c:v>
                </c:pt>
                <c:pt idx="4">
                  <c:v>0.19131699999999999</c:v>
                </c:pt>
              </c:numCache>
            </c:numRef>
          </c:val>
        </c:ser>
        <c:dLbls>
          <c:showLegendKey val="0"/>
          <c:showVal val="0"/>
          <c:showCatName val="0"/>
          <c:showSerName val="0"/>
          <c:showPercent val="0"/>
          <c:showBubbleSize val="0"/>
        </c:dLbls>
        <c:gapWidth val="75"/>
        <c:overlap val="-25"/>
        <c:axId val="57599872"/>
        <c:axId val="57601408"/>
      </c:barChart>
      <c:catAx>
        <c:axId val="57599872"/>
        <c:scaling>
          <c:orientation val="minMax"/>
        </c:scaling>
        <c:delete val="0"/>
        <c:axPos val="b"/>
        <c:majorTickMark val="none"/>
        <c:minorTickMark val="none"/>
        <c:tickLblPos val="nextTo"/>
        <c:crossAx val="57601408"/>
        <c:crosses val="autoZero"/>
        <c:auto val="1"/>
        <c:lblAlgn val="ctr"/>
        <c:lblOffset val="100"/>
        <c:noMultiLvlLbl val="0"/>
      </c:catAx>
      <c:valAx>
        <c:axId val="57601408"/>
        <c:scaling>
          <c:orientation val="minMax"/>
        </c:scaling>
        <c:delete val="0"/>
        <c:axPos val="l"/>
        <c:majorGridlines/>
        <c:numFmt formatCode="0%" sourceLinked="1"/>
        <c:majorTickMark val="none"/>
        <c:minorTickMark val="none"/>
        <c:tickLblPos val="nextTo"/>
        <c:crossAx val="57599872"/>
        <c:crosses val="autoZero"/>
        <c:crossBetween val="between"/>
      </c:valAx>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Return on Invested Capital (ROIC) -</a:t>
            </a:r>
            <a:r>
              <a:rPr lang="ru-RU"/>
              <a:t> 2015 </a:t>
            </a:r>
            <a:r>
              <a:rPr lang="en-US"/>
              <a:t>y</a:t>
            </a:r>
            <a:r>
              <a:rPr lang="ru-RU"/>
              <a:t>.</a:t>
            </a:r>
          </a:p>
        </c:rich>
      </c:tx>
      <c:layout/>
      <c:overlay val="0"/>
    </c:title>
    <c:autoTitleDeleted val="0"/>
    <c:plotArea>
      <c:layout>
        <c:manualLayout>
          <c:layoutTarget val="inner"/>
          <c:xMode val="edge"/>
          <c:yMode val="edge"/>
          <c:x val="2.6570048309178744E-2"/>
          <c:y val="0.37964340664313512"/>
          <c:w val="0.9468599033816425"/>
          <c:h val="0.36600778350981988"/>
        </c:manualLayout>
      </c:layout>
      <c:barChart>
        <c:barDir val="col"/>
        <c:grouping val="clustered"/>
        <c:varyColors val="0"/>
        <c:ser>
          <c:idx val="0"/>
          <c:order val="0"/>
          <c:tx>
            <c:strRef>
              <c:f>Лист1!$B$77</c:f>
              <c:strCache>
                <c:ptCount val="1"/>
                <c:pt idx="0">
                  <c:v>Return on Invested Capital (ROIC) за 2015 г.</c:v>
                </c:pt>
              </c:strCache>
            </c:strRef>
          </c:tx>
          <c:invertIfNegative val="0"/>
          <c:dPt>
            <c:idx val="0"/>
            <c:invertIfNegative val="0"/>
            <c:bubble3D val="0"/>
            <c:spPr>
              <a:solidFill>
                <a:schemeClr val="tx2"/>
              </a:solidFill>
            </c:spPr>
          </c:dPt>
          <c:dPt>
            <c:idx val="1"/>
            <c:invertIfNegative val="0"/>
            <c:bubble3D val="0"/>
            <c:spPr>
              <a:solidFill>
                <a:srgbClr val="00B0F0"/>
              </a:solidFill>
            </c:spPr>
          </c:dPt>
          <c:dPt>
            <c:idx val="2"/>
            <c:invertIfNegative val="0"/>
            <c:bubble3D val="0"/>
            <c:spPr>
              <a:solidFill>
                <a:srgbClr val="FFC000"/>
              </a:solidFill>
            </c:spPr>
          </c:dPt>
          <c:dPt>
            <c:idx val="3"/>
            <c:invertIfNegative val="0"/>
            <c:bubble3D val="0"/>
            <c:spPr>
              <a:solidFill>
                <a:srgbClr val="FF0000"/>
              </a:solidFill>
            </c:spPr>
          </c:dPt>
          <c:cat>
            <c:strRef>
              <c:f>Лист1!$D$76:$G$76</c:f>
              <c:strCache>
                <c:ptCount val="4"/>
                <c:pt idx="0">
                  <c:v>Samruk-Energy JSC</c:v>
                </c:pt>
                <c:pt idx="1">
                  <c:v>Inter RAO UES PJSC</c:v>
                </c:pt>
                <c:pt idx="2">
                  <c:v>E.ON Russia JSC </c:v>
                </c:pt>
                <c:pt idx="3">
                  <c:v>Tauron Polska Energia SA</c:v>
                </c:pt>
              </c:strCache>
            </c:strRef>
          </c:cat>
          <c:val>
            <c:numRef>
              <c:f>Лист1!$D$77:$G$77</c:f>
              <c:numCache>
                <c:formatCode>0.00%</c:formatCode>
                <c:ptCount val="4"/>
                <c:pt idx="0">
                  <c:v>4.3632457076212321E-2</c:v>
                </c:pt>
                <c:pt idx="1">
                  <c:v>2.7514E-2</c:v>
                </c:pt>
                <c:pt idx="2">
                  <c:v>9.8861000000000004E-2</c:v>
                </c:pt>
                <c:pt idx="3">
                  <c:v>5.1839999999999997E-2</c:v>
                </c:pt>
              </c:numCache>
            </c:numRef>
          </c:val>
        </c:ser>
        <c:dLbls>
          <c:showLegendKey val="0"/>
          <c:showVal val="1"/>
          <c:showCatName val="0"/>
          <c:showSerName val="0"/>
          <c:showPercent val="0"/>
          <c:showBubbleSize val="0"/>
        </c:dLbls>
        <c:gapWidth val="150"/>
        <c:overlap val="-25"/>
        <c:axId val="167663104"/>
        <c:axId val="167664640"/>
      </c:barChart>
      <c:catAx>
        <c:axId val="167663104"/>
        <c:scaling>
          <c:orientation val="minMax"/>
        </c:scaling>
        <c:delete val="0"/>
        <c:axPos val="b"/>
        <c:majorTickMark val="none"/>
        <c:minorTickMark val="none"/>
        <c:tickLblPos val="nextTo"/>
        <c:crossAx val="167664640"/>
        <c:crosses val="autoZero"/>
        <c:auto val="1"/>
        <c:lblAlgn val="ctr"/>
        <c:lblOffset val="100"/>
        <c:noMultiLvlLbl val="0"/>
      </c:catAx>
      <c:valAx>
        <c:axId val="167664640"/>
        <c:scaling>
          <c:orientation val="minMax"/>
        </c:scaling>
        <c:delete val="1"/>
        <c:axPos val="l"/>
        <c:numFmt formatCode="0.00%" sourceLinked="1"/>
        <c:majorTickMark val="none"/>
        <c:minorTickMark val="none"/>
        <c:tickLblPos val="nextTo"/>
        <c:crossAx val="167663104"/>
        <c:crosses val="autoZero"/>
        <c:crossBetween val="between"/>
      </c:valAx>
    </c:plotArea>
    <c:legend>
      <c:legendPos val="t"/>
      <c:layout/>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0.13606</cdr:x>
      <cdr:y>0.87633</cdr:y>
    </cdr:from>
    <cdr:to>
      <cdr:x>0.18317</cdr:x>
      <cdr:y>1</cdr:y>
    </cdr:to>
    <cdr:pic>
      <cdr:nvPicPr>
        <cdr:cNvPr id="2" name="Picture 58" descr="kz"/>
        <cdr:cNvPicPr>
          <a:picLocks xmlns:a="http://schemas.openxmlformats.org/drawingml/2006/main"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702427" y="1794616"/>
          <a:ext cx="243221" cy="25325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0.46768</cdr:x>
      <cdr:y>0.88124</cdr:y>
    </cdr:from>
    <cdr:to>
      <cdr:x>0.51479</cdr:x>
      <cdr:y>1</cdr:y>
    </cdr:to>
    <cdr:pic>
      <cdr:nvPicPr>
        <cdr:cNvPr id="3" name="Picture 43" descr="it"/>
        <cdr:cNvPicPr>
          <a:picLocks xmlns:a="http://schemas.openxmlformats.org/drawingml/2006/main" noChangeArrowheads="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2414416" y="1804668"/>
          <a:ext cx="243221" cy="243207"/>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0.30138</cdr:x>
      <cdr:y>0.88124</cdr:y>
    </cdr:from>
    <cdr:to>
      <cdr:x>0.3485</cdr:x>
      <cdr:y>1</cdr:y>
    </cdr:to>
    <cdr:pic>
      <cdr:nvPicPr>
        <cdr:cNvPr id="4" name="Picture 58" descr="ru"/>
        <cdr:cNvPicPr>
          <a:picLocks xmlns:a="http://schemas.openxmlformats.org/drawingml/2006/main" noChangeArrowheads="1"/>
        </cdr:cNvPicPr>
      </cdr:nvPicPr>
      <cdr:blipFill>
        <a:blip xmlns:a="http://schemas.openxmlformats.org/drawingml/2006/main" xmlns:r="http://schemas.openxmlformats.org/officeDocument/2006/relationships" r:embed="rId3"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555911" y="1804668"/>
          <a:ext cx="243221" cy="243207"/>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0.6229</cdr:x>
      <cdr:y>0.88124</cdr:y>
    </cdr:from>
    <cdr:to>
      <cdr:x>0.67002</cdr:x>
      <cdr:y>1</cdr:y>
    </cdr:to>
    <cdr:pic>
      <cdr:nvPicPr>
        <cdr:cNvPr id="5" name="Picture 83" descr="de"/>
        <cdr:cNvPicPr>
          <a:picLocks xmlns:a="http://schemas.openxmlformats.org/drawingml/2006/main" noChangeArrowheads="1"/>
        </cdr:cNvPicPr>
      </cdr:nvPicPr>
      <cdr:blipFill>
        <a:blip xmlns:a="http://schemas.openxmlformats.org/drawingml/2006/main" xmlns:r="http://schemas.openxmlformats.org/officeDocument/2006/relationships" r:embed="rId4"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215772" y="1804668"/>
          <a:ext cx="243221" cy="243207"/>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0.11823</cdr:x>
      <cdr:y>0.89192</cdr:y>
    </cdr:from>
    <cdr:to>
      <cdr:x>0.16534</cdr:x>
      <cdr:y>1</cdr:y>
    </cdr:to>
    <cdr:pic>
      <cdr:nvPicPr>
        <cdr:cNvPr id="2" name="Picture 58" descr="kz"/>
        <cdr:cNvPicPr>
          <a:picLocks xmlns:a="http://schemas.openxmlformats.org/drawingml/2006/main"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610352" y="2089891"/>
          <a:ext cx="243221" cy="25325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0.36104</cdr:x>
      <cdr:y>0.89621</cdr:y>
    </cdr:from>
    <cdr:to>
      <cdr:x>0.40815</cdr:x>
      <cdr:y>1</cdr:y>
    </cdr:to>
    <cdr:pic>
      <cdr:nvPicPr>
        <cdr:cNvPr id="3" name="Picture 58" descr="ru"/>
        <cdr:cNvPicPr>
          <a:picLocks xmlns:a="http://schemas.openxmlformats.org/drawingml/2006/main" noChangeArrowheads="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863886" y="2099943"/>
          <a:ext cx="243221" cy="243207"/>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0.59191</cdr:x>
      <cdr:y>0.89621</cdr:y>
    </cdr:from>
    <cdr:to>
      <cdr:x>0.63902</cdr:x>
      <cdr:y>1</cdr:y>
    </cdr:to>
    <cdr:pic>
      <cdr:nvPicPr>
        <cdr:cNvPr id="4" name="Picture 43" descr="it"/>
        <cdr:cNvPicPr>
          <a:picLocks xmlns:a="http://schemas.openxmlformats.org/drawingml/2006/main" noChangeArrowheads="1"/>
        </cdr:cNvPicPr>
      </cdr:nvPicPr>
      <cdr:blipFill>
        <a:blip xmlns:a="http://schemas.openxmlformats.org/drawingml/2006/main" xmlns:r="http://schemas.openxmlformats.org/officeDocument/2006/relationships" r:embed="rId3"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055766" y="2099943"/>
          <a:ext cx="243221" cy="243207"/>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0.83385</cdr:x>
      <cdr:y>0.89621</cdr:y>
    </cdr:from>
    <cdr:to>
      <cdr:x>0.88096</cdr:x>
      <cdr:y>1</cdr:y>
    </cdr:to>
    <cdr:pic>
      <cdr:nvPicPr>
        <cdr:cNvPr id="5" name="Picture 83" descr="de"/>
        <cdr:cNvPicPr>
          <a:picLocks xmlns:a="http://schemas.openxmlformats.org/drawingml/2006/main" noChangeArrowheads="1"/>
        </cdr:cNvPicPr>
      </cdr:nvPicPr>
      <cdr:blipFill>
        <a:blip xmlns:a="http://schemas.openxmlformats.org/drawingml/2006/main" xmlns:r="http://schemas.openxmlformats.org/officeDocument/2006/relationships" r:embed="rId4"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304797" y="2099943"/>
          <a:ext cx="243221" cy="243207"/>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3.xml><?xml version="1.0" encoding="utf-8"?>
<c:userShapes xmlns:c="http://schemas.openxmlformats.org/drawingml/2006/chart">
  <cdr:relSizeAnchor xmlns:cdr="http://schemas.openxmlformats.org/drawingml/2006/chartDrawing">
    <cdr:from>
      <cdr:x>0.86292</cdr:x>
      <cdr:y>0.89859</cdr:y>
    </cdr:from>
    <cdr:to>
      <cdr:x>0.9058</cdr:x>
      <cdr:y>1</cdr:y>
    </cdr:to>
    <cdr:pic>
      <cdr:nvPicPr>
        <cdr:cNvPr id="2" name="Рисунок 1" descr="C:\Users\a.kamalov\Pictures\Безымянный.png"/>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537076" y="1874446"/>
          <a:ext cx="225424" cy="211529"/>
        </a:xfrm>
        <a:prstGeom xmlns:a="http://schemas.openxmlformats.org/drawingml/2006/main" prst="rect">
          <a:avLst/>
        </a:prstGeom>
        <a:noFill xmlns:a="http://schemas.openxmlformats.org/drawingml/2006/main"/>
        <a:ln xmlns:a="http://schemas.openxmlformats.org/drawingml/2006/main">
          <a:noFill/>
        </a:ln>
      </cdr:spPr>
    </cdr:pic>
  </cdr:relSizeAnchor>
  <cdr:relSizeAnchor xmlns:cdr="http://schemas.openxmlformats.org/drawingml/2006/chartDrawing">
    <cdr:from>
      <cdr:x>0.13601</cdr:x>
      <cdr:y>0.8989</cdr:y>
    </cdr:from>
    <cdr:to>
      <cdr:x>0.18227</cdr:x>
      <cdr:y>1</cdr:y>
    </cdr:to>
    <cdr:pic>
      <cdr:nvPicPr>
        <cdr:cNvPr id="3" name="Picture 58" descr="kz"/>
        <cdr:cNvPicPr>
          <a:picLocks xmlns:a="http://schemas.openxmlformats.org/drawingml/2006/main" noChangeArrowheads="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715127" y="1875086"/>
          <a:ext cx="243221" cy="21088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0.32914</cdr:x>
      <cdr:y>0.90291</cdr:y>
    </cdr:from>
    <cdr:to>
      <cdr:x>0.3754</cdr:x>
      <cdr:y>1</cdr:y>
    </cdr:to>
    <cdr:pic>
      <cdr:nvPicPr>
        <cdr:cNvPr id="4" name="Picture 58" descr="ru"/>
        <cdr:cNvPicPr>
          <a:picLocks xmlns:a="http://schemas.openxmlformats.org/drawingml/2006/main" noChangeArrowheads="1"/>
        </cdr:cNvPicPr>
      </cdr:nvPicPr>
      <cdr:blipFill>
        <a:blip xmlns:a="http://schemas.openxmlformats.org/drawingml/2006/main" xmlns:r="http://schemas.openxmlformats.org/officeDocument/2006/relationships" r:embed="rId3"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730536" y="1883457"/>
          <a:ext cx="243221" cy="202518"/>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0.50148</cdr:x>
      <cdr:y>0.90291</cdr:y>
    </cdr:from>
    <cdr:to>
      <cdr:x>0.54774</cdr:x>
      <cdr:y>1</cdr:y>
    </cdr:to>
    <cdr:pic>
      <cdr:nvPicPr>
        <cdr:cNvPr id="5" name="Picture 43" descr="it"/>
        <cdr:cNvPicPr>
          <a:picLocks xmlns:a="http://schemas.openxmlformats.org/drawingml/2006/main" noChangeArrowheads="1"/>
        </cdr:cNvPicPr>
      </cdr:nvPicPr>
      <cdr:blipFill>
        <a:blip xmlns:a="http://schemas.openxmlformats.org/drawingml/2006/main" xmlns:r="http://schemas.openxmlformats.org/officeDocument/2006/relationships" r:embed="rId4"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2636666" y="1883457"/>
          <a:ext cx="243221" cy="202518"/>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0.68469</cdr:x>
      <cdr:y>0.90291</cdr:y>
    </cdr:from>
    <cdr:to>
      <cdr:x>0.73095</cdr:x>
      <cdr:y>1</cdr:y>
    </cdr:to>
    <cdr:pic>
      <cdr:nvPicPr>
        <cdr:cNvPr id="6" name="Picture 83" descr="de"/>
        <cdr:cNvPicPr>
          <a:picLocks xmlns:a="http://schemas.openxmlformats.org/drawingml/2006/main"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599947" y="1883457"/>
          <a:ext cx="243221" cy="202518"/>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4.xml><?xml version="1.0" encoding="utf-8"?>
<c:userShapes xmlns:c="http://schemas.openxmlformats.org/drawingml/2006/chart">
  <cdr:relSizeAnchor xmlns:cdr="http://schemas.openxmlformats.org/drawingml/2006/chartDrawing">
    <cdr:from>
      <cdr:x>0.1185</cdr:x>
      <cdr:y>0.90457</cdr:y>
    </cdr:from>
    <cdr:to>
      <cdr:x>0.16476</cdr:x>
      <cdr:y>1</cdr:y>
    </cdr:to>
    <cdr:pic>
      <cdr:nvPicPr>
        <cdr:cNvPr id="2" name="Picture 58" descr="kz"/>
        <cdr:cNvPicPr>
          <a:picLocks xmlns:a="http://schemas.openxmlformats.org/drawingml/2006/main"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623052" y="1998911"/>
          <a:ext cx="243221" cy="21088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0.35691</cdr:x>
      <cdr:y>0.90835</cdr:y>
    </cdr:from>
    <cdr:to>
      <cdr:x>0.40317</cdr:x>
      <cdr:y>1</cdr:y>
    </cdr:to>
    <cdr:pic>
      <cdr:nvPicPr>
        <cdr:cNvPr id="3" name="Picture 58" descr="ru"/>
        <cdr:cNvPicPr>
          <a:picLocks xmlns:a="http://schemas.openxmlformats.org/drawingml/2006/main" noChangeArrowheads="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876586" y="2007282"/>
          <a:ext cx="243221" cy="202518"/>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0.60196</cdr:x>
      <cdr:y>0.90835</cdr:y>
    </cdr:from>
    <cdr:to>
      <cdr:x>0.64822</cdr:x>
      <cdr:y>1</cdr:y>
    </cdr:to>
    <cdr:pic>
      <cdr:nvPicPr>
        <cdr:cNvPr id="4" name="Picture 83" descr="de"/>
        <cdr:cNvPicPr>
          <a:picLocks xmlns:a="http://schemas.openxmlformats.org/drawingml/2006/main" noChangeArrowheads="1"/>
        </cdr:cNvPicPr>
      </cdr:nvPicPr>
      <cdr:blipFill>
        <a:blip xmlns:a="http://schemas.openxmlformats.org/drawingml/2006/main" xmlns:r="http://schemas.openxmlformats.org/officeDocument/2006/relationships" r:embed="rId3"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164972" y="2007282"/>
          <a:ext cx="243221" cy="202518"/>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0.83635</cdr:x>
      <cdr:y>0.90428</cdr:y>
    </cdr:from>
    <cdr:to>
      <cdr:x>0.87923</cdr:x>
      <cdr:y>1</cdr:y>
    </cdr:to>
    <cdr:pic>
      <cdr:nvPicPr>
        <cdr:cNvPr id="5" name="Рисунок 4" descr="C:\Users\a.kamalov\Pictures\Безымянный.png"/>
        <cdr:cNvPicPr/>
      </cdr:nvPicPr>
      <cdr:blipFill>
        <a:blip xmlns:a="http://schemas.openxmlformats.org/drawingml/2006/main" xmlns:r="http://schemas.openxmlformats.org/officeDocument/2006/relationships" r:embed="rId4">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397376" y="1998271"/>
          <a:ext cx="225424" cy="211529"/>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22</Pages>
  <Words>5476</Words>
  <Characters>31218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Samruk</dc:creator>
  <cp:lastModifiedBy>a.kamalov</cp:lastModifiedBy>
  <cp:revision>72</cp:revision>
  <dcterms:created xsi:type="dcterms:W3CDTF">2016-04-14T04:27:00Z</dcterms:created>
  <dcterms:modified xsi:type="dcterms:W3CDTF">2016-04-29T05:57:00Z</dcterms:modified>
</cp:coreProperties>
</file>