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3D" w:rsidRDefault="0034166E" w:rsidP="00D9133D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bookmarkStart w:id="0" w:name="_GoBack"/>
      <w:bookmarkEnd w:id="0"/>
      <w:r w:rsidRPr="0034166E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D9133D" w:rsidRPr="00D9133D">
        <w:rPr>
          <w:rFonts w:eastAsiaTheme="minorHAnsi" w:cstheme="minorBidi"/>
          <w:b/>
          <w:sz w:val="28"/>
          <w:szCs w:val="28"/>
          <w:lang w:eastAsia="en-US"/>
        </w:rPr>
        <w:t>202</w:t>
      </w:r>
      <w:r w:rsidR="00D9133D" w:rsidRPr="00D9133D">
        <w:rPr>
          <w:rFonts w:eastAsiaTheme="minorHAnsi" w:cstheme="minorBidi"/>
          <w:b/>
          <w:sz w:val="28"/>
          <w:szCs w:val="28"/>
          <w:lang w:val="kk-KZ" w:eastAsia="en-US"/>
        </w:rPr>
        <w:t xml:space="preserve">2 жылғы </w:t>
      </w:r>
      <w:r w:rsidR="00D9133D">
        <w:rPr>
          <w:rFonts w:eastAsiaTheme="minorHAnsi" w:cstheme="minorBidi"/>
          <w:b/>
          <w:sz w:val="28"/>
          <w:szCs w:val="28"/>
          <w:lang w:val="kk-KZ" w:eastAsia="en-US"/>
        </w:rPr>
        <w:t>01 сәуірдегі</w:t>
      </w:r>
      <w:r w:rsidR="00D9133D" w:rsidRPr="00D9133D">
        <w:rPr>
          <w:rFonts w:eastAsiaTheme="minorHAnsi" w:cstheme="minorBidi"/>
          <w:b/>
          <w:sz w:val="28"/>
          <w:szCs w:val="28"/>
          <w:lang w:val="kk-KZ" w:eastAsia="en-US"/>
        </w:rPr>
        <w:t xml:space="preserve"> отырыс</w:t>
      </w:r>
      <w:r w:rsidR="00D9133D" w:rsidRPr="00D9133D">
        <w:rPr>
          <w:rFonts w:eastAsiaTheme="minorHAnsi" w:cstheme="minorBidi"/>
          <w:b/>
          <w:sz w:val="28"/>
          <w:szCs w:val="28"/>
          <w:lang w:eastAsia="en-US"/>
        </w:rPr>
        <w:t>.</w:t>
      </w:r>
    </w:p>
    <w:p w:rsidR="00D9133D" w:rsidRPr="00D9133D" w:rsidRDefault="00D9133D" w:rsidP="00D9133D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D9133D" w:rsidRPr="00D9133D" w:rsidRDefault="00D9133D" w:rsidP="00D9133D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D9133D">
        <w:rPr>
          <w:rFonts w:eastAsia="Calibri"/>
          <w:sz w:val="28"/>
          <w:szCs w:val="28"/>
          <w:lang w:val="kk-KZ" w:eastAsia="en-US"/>
        </w:rPr>
        <w:t xml:space="preserve">Қоғамның 2022 жылғы </w:t>
      </w:r>
      <w:r>
        <w:rPr>
          <w:rFonts w:eastAsia="Calibri"/>
          <w:sz w:val="28"/>
          <w:szCs w:val="28"/>
          <w:lang w:val="kk-KZ" w:eastAsia="en-US"/>
        </w:rPr>
        <w:t xml:space="preserve">01 сәуірдегі </w:t>
      </w:r>
      <w:r w:rsidRPr="00D9133D">
        <w:rPr>
          <w:rFonts w:eastAsia="Calibri"/>
          <w:sz w:val="28"/>
          <w:szCs w:val="28"/>
          <w:lang w:val="kk-KZ" w:eastAsia="en-US"/>
        </w:rPr>
        <w:t>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D9133D" w:rsidRPr="00D9133D" w:rsidRDefault="00D9133D" w:rsidP="00D9133D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D9133D">
        <w:rPr>
          <w:rFonts w:eastAsia="Calibri"/>
          <w:bCs/>
          <w:sz w:val="28"/>
          <w:szCs w:val="28"/>
          <w:lang w:val="kk-KZ"/>
        </w:rPr>
        <w:t>- Қоғамның Басқарма Төрағасының (CEO) Қоғамның өткен кезеңдегі қызметі туралы есебі;</w:t>
      </w:r>
    </w:p>
    <w:p w:rsidR="00D9133D" w:rsidRPr="00D9133D" w:rsidRDefault="00D9133D" w:rsidP="00D9133D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D9133D">
        <w:rPr>
          <w:rFonts w:eastAsia="Calibri"/>
          <w:bCs/>
          <w:sz w:val="28"/>
          <w:szCs w:val="28"/>
          <w:lang w:val="kk-KZ"/>
        </w:rPr>
        <w:t xml:space="preserve">- Қоғамның экономика және қаржы жөніндегі басқарушы директорының (CFO) есебі; </w:t>
      </w:r>
    </w:p>
    <w:p w:rsidR="00D9133D" w:rsidRPr="00D9133D" w:rsidRDefault="00D9133D" w:rsidP="00D9133D">
      <w:pPr>
        <w:ind w:firstLine="567"/>
        <w:jc w:val="both"/>
        <w:rPr>
          <w:sz w:val="28"/>
          <w:szCs w:val="28"/>
          <w:lang w:val="kk-KZ"/>
        </w:rPr>
      </w:pPr>
      <w:r w:rsidRPr="00D9133D">
        <w:rPr>
          <w:sz w:val="28"/>
          <w:szCs w:val="28"/>
          <w:lang w:val="kk-KZ"/>
        </w:rPr>
        <w:t xml:space="preserve">- Қоғамның 2021 жылғы жылдық қаржылық есептілігін алдын ала бекіту және оны Қоғамның Жалғыз акционерінің бекітуіне шығару туралы, Қоғамның Жалғыз акционеріне Қоғамның таза табысын бөлу тәртібі және </w:t>
      </w:r>
      <w:r>
        <w:rPr>
          <w:sz w:val="28"/>
          <w:szCs w:val="28"/>
          <w:lang w:val="kk-KZ"/>
        </w:rPr>
        <w:t>Қ</w:t>
      </w:r>
      <w:r w:rsidRPr="00D9133D">
        <w:rPr>
          <w:sz w:val="28"/>
          <w:szCs w:val="28"/>
          <w:lang w:val="kk-KZ"/>
        </w:rPr>
        <w:t xml:space="preserve">оғамның бір жай акциясына дивидендтің мөлшері туралы ұсыныстар беру туралы. </w:t>
      </w:r>
    </w:p>
    <w:p w:rsidR="00D9133D" w:rsidRDefault="00D9133D" w:rsidP="00D9133D">
      <w:pPr>
        <w:ind w:firstLine="567"/>
        <w:jc w:val="both"/>
        <w:rPr>
          <w:sz w:val="28"/>
          <w:szCs w:val="28"/>
          <w:lang w:val="kk-KZ"/>
        </w:rPr>
      </w:pPr>
      <w:r w:rsidRPr="00D9133D">
        <w:rPr>
          <w:sz w:val="28"/>
          <w:szCs w:val="28"/>
          <w:lang w:val="kk-KZ"/>
        </w:rPr>
        <w:t xml:space="preserve">- Қоғамның 2021 жылғы </w:t>
      </w:r>
      <w:r>
        <w:rPr>
          <w:sz w:val="28"/>
          <w:szCs w:val="28"/>
          <w:lang w:val="kk-KZ"/>
        </w:rPr>
        <w:t>Д</w:t>
      </w:r>
      <w:r w:rsidRPr="00D9133D">
        <w:rPr>
          <w:sz w:val="28"/>
          <w:szCs w:val="28"/>
          <w:lang w:val="kk-KZ"/>
        </w:rPr>
        <w:t>аму жоспарының орындалуы жөніндегі есепті бекіту туралы.</w:t>
      </w:r>
    </w:p>
    <w:p w:rsidR="00D9133D" w:rsidRPr="00D9133D" w:rsidRDefault="00D9133D" w:rsidP="00D9133D">
      <w:pPr>
        <w:ind w:firstLine="567"/>
        <w:jc w:val="both"/>
        <w:rPr>
          <w:sz w:val="28"/>
          <w:szCs w:val="28"/>
          <w:lang w:val="kk-KZ"/>
        </w:rPr>
      </w:pPr>
      <w:r w:rsidRPr="00D9133D">
        <w:rPr>
          <w:sz w:val="28"/>
          <w:szCs w:val="28"/>
          <w:lang w:val="kk-KZ"/>
        </w:rPr>
        <w:t xml:space="preserve">- 2021 жылдың қорытындысы бойынша Қоғамның 2018-2028 жылдарға арналған </w:t>
      </w:r>
      <w:r>
        <w:rPr>
          <w:sz w:val="28"/>
          <w:szCs w:val="28"/>
          <w:lang w:val="kk-KZ"/>
        </w:rPr>
        <w:t>Д</w:t>
      </w:r>
      <w:r w:rsidRPr="00D9133D">
        <w:rPr>
          <w:sz w:val="28"/>
          <w:szCs w:val="28"/>
          <w:lang w:val="kk-KZ"/>
        </w:rPr>
        <w:t>аму стратегиясын іске асыру жөніндегі іс-шаралар жоспарының орындалуы туралы есепті бекіту туралы.</w:t>
      </w:r>
    </w:p>
    <w:p w:rsidR="00D9133D" w:rsidRPr="00D9133D" w:rsidRDefault="00D9133D" w:rsidP="00D9133D">
      <w:pPr>
        <w:ind w:firstLine="567"/>
        <w:jc w:val="both"/>
        <w:rPr>
          <w:sz w:val="28"/>
          <w:szCs w:val="28"/>
          <w:lang w:val="kk-KZ"/>
        </w:rPr>
      </w:pPr>
      <w:r w:rsidRPr="00D9133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D9133D">
        <w:rPr>
          <w:sz w:val="28"/>
          <w:szCs w:val="28"/>
          <w:lang w:val="kk-KZ"/>
        </w:rPr>
        <w:t xml:space="preserve">Негізгі тәуекелдерді сипаттай және талдай отырып, тәуекелдерді басқару жөніндегі есепті, сондай-ақ </w:t>
      </w:r>
      <w:r>
        <w:rPr>
          <w:sz w:val="28"/>
          <w:szCs w:val="28"/>
          <w:lang w:val="kk-KZ"/>
        </w:rPr>
        <w:t>Қ</w:t>
      </w:r>
      <w:r w:rsidRPr="00D9133D">
        <w:rPr>
          <w:sz w:val="28"/>
          <w:szCs w:val="28"/>
          <w:lang w:val="kk-KZ"/>
        </w:rPr>
        <w:t xml:space="preserve">оғамның </w:t>
      </w:r>
      <w:r w:rsidRPr="00D9133D">
        <w:rPr>
          <w:sz w:val="28"/>
          <w:szCs w:val="28"/>
          <w:lang w:val="kk-KZ"/>
        </w:rPr>
        <w:lastRenderedPageBreak/>
        <w:t>2021 жылғы 4-тоқсандағы тәуекелдерді азайту жөніндегі жоспарлары мен бағдарламаларын іске асыру жөніндегі мәліметтерді бекіту.</w:t>
      </w:r>
    </w:p>
    <w:p w:rsidR="00D9133D" w:rsidRPr="00D9133D" w:rsidRDefault="00D9133D" w:rsidP="00D9133D">
      <w:pPr>
        <w:ind w:firstLine="567"/>
        <w:jc w:val="both"/>
        <w:rPr>
          <w:sz w:val="28"/>
          <w:szCs w:val="28"/>
          <w:lang w:val="kk-KZ"/>
        </w:rPr>
      </w:pPr>
      <w:r w:rsidRPr="00D9133D">
        <w:rPr>
          <w:sz w:val="28"/>
          <w:szCs w:val="28"/>
          <w:lang w:val="kk-KZ"/>
        </w:rPr>
        <w:t xml:space="preserve">- 2021 жылдың қорытындысы бойынша Қоғамның </w:t>
      </w:r>
      <w:r>
        <w:rPr>
          <w:sz w:val="28"/>
          <w:szCs w:val="28"/>
          <w:lang w:val="kk-KZ"/>
        </w:rPr>
        <w:t>К</w:t>
      </w:r>
      <w:r w:rsidRPr="00D9133D">
        <w:rPr>
          <w:sz w:val="28"/>
          <w:szCs w:val="28"/>
          <w:lang w:val="kk-KZ"/>
        </w:rPr>
        <w:t>орпоративтік басқару кодексінің қағида</w:t>
      </w:r>
      <w:r>
        <w:rPr>
          <w:sz w:val="28"/>
          <w:szCs w:val="28"/>
          <w:lang w:val="kk-KZ"/>
        </w:rPr>
        <w:t>ттары</w:t>
      </w:r>
      <w:r w:rsidRPr="00D9133D">
        <w:rPr>
          <w:sz w:val="28"/>
          <w:szCs w:val="28"/>
          <w:lang w:val="kk-KZ"/>
        </w:rPr>
        <w:t xml:space="preserve"> мен ережелерін сақтау</w:t>
      </w:r>
      <w:r>
        <w:rPr>
          <w:sz w:val="28"/>
          <w:szCs w:val="28"/>
          <w:lang w:val="kk-KZ"/>
        </w:rPr>
        <w:t>ы</w:t>
      </w:r>
      <w:r w:rsidRPr="00D9133D">
        <w:rPr>
          <w:sz w:val="28"/>
          <w:szCs w:val="28"/>
          <w:lang w:val="kk-KZ"/>
        </w:rPr>
        <w:t>/сақтамау</w:t>
      </w:r>
      <w:r>
        <w:rPr>
          <w:sz w:val="28"/>
          <w:szCs w:val="28"/>
          <w:lang w:val="kk-KZ"/>
        </w:rPr>
        <w:t>ы</w:t>
      </w:r>
      <w:r w:rsidRPr="00D9133D">
        <w:rPr>
          <w:sz w:val="28"/>
          <w:szCs w:val="28"/>
          <w:lang w:val="kk-KZ"/>
        </w:rPr>
        <w:t xml:space="preserve"> туралы есепті бекіту туралы.</w:t>
      </w:r>
    </w:p>
    <w:p w:rsidR="00D9133D" w:rsidRPr="00D9133D" w:rsidRDefault="00D9133D" w:rsidP="00D9133D">
      <w:pPr>
        <w:ind w:firstLine="567"/>
        <w:jc w:val="both"/>
        <w:rPr>
          <w:sz w:val="28"/>
          <w:szCs w:val="28"/>
          <w:lang w:val="kk-KZ"/>
        </w:rPr>
      </w:pPr>
      <w:r w:rsidRPr="00D9133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D9133D">
        <w:rPr>
          <w:sz w:val="28"/>
          <w:szCs w:val="28"/>
          <w:lang w:val="kk-KZ"/>
        </w:rPr>
        <w:t xml:space="preserve">Қоғамның корпоративтік басқаруын жетілдіру </w:t>
      </w:r>
      <w:r>
        <w:rPr>
          <w:sz w:val="28"/>
          <w:szCs w:val="28"/>
          <w:lang w:val="kk-KZ"/>
        </w:rPr>
        <w:t>бойынша</w:t>
      </w:r>
      <w:r w:rsidRPr="00D9133D">
        <w:rPr>
          <w:sz w:val="28"/>
          <w:szCs w:val="28"/>
          <w:lang w:val="kk-KZ"/>
        </w:rPr>
        <w:t xml:space="preserve"> 2022-2023 жылдарға арналған іс-шаралар жоспарын бекіту туралы.</w:t>
      </w:r>
    </w:p>
    <w:p w:rsidR="00D9133D" w:rsidRPr="00D9133D" w:rsidRDefault="00D9133D" w:rsidP="00D9133D">
      <w:pPr>
        <w:ind w:firstLine="567"/>
        <w:jc w:val="both"/>
        <w:rPr>
          <w:sz w:val="28"/>
          <w:szCs w:val="28"/>
          <w:lang w:val="kk-KZ"/>
        </w:rPr>
      </w:pPr>
      <w:r w:rsidRPr="00D9133D">
        <w:rPr>
          <w:sz w:val="28"/>
          <w:szCs w:val="28"/>
          <w:lang w:val="kk-KZ"/>
        </w:rPr>
        <w:t>- Қоғамның 2022-2060 жылдарға арналған энергетикалық көшу бағдарламасын бекіту туралы.</w:t>
      </w:r>
    </w:p>
    <w:p w:rsidR="00D9133D" w:rsidRPr="00D9133D" w:rsidRDefault="00D9133D" w:rsidP="00D9133D">
      <w:pPr>
        <w:ind w:firstLine="567"/>
        <w:jc w:val="both"/>
        <w:rPr>
          <w:sz w:val="28"/>
          <w:szCs w:val="28"/>
          <w:lang w:val="kk-KZ"/>
        </w:rPr>
      </w:pPr>
      <w:r w:rsidRPr="00D9133D">
        <w:rPr>
          <w:sz w:val="28"/>
          <w:szCs w:val="28"/>
          <w:lang w:val="kk-KZ"/>
        </w:rPr>
        <w:t>- Екінші деңгейдегі банктерге есептелген мәннен асатын баланстық және баланстан тыс міндеттемелер бойынша Қоғамның лимиттерін белгілеу туралы.</w:t>
      </w:r>
    </w:p>
    <w:p w:rsidR="00D9133D" w:rsidRPr="00563F8F" w:rsidRDefault="00D9133D" w:rsidP="00D9133D">
      <w:pPr>
        <w:ind w:firstLine="567"/>
        <w:jc w:val="both"/>
        <w:rPr>
          <w:sz w:val="28"/>
          <w:szCs w:val="28"/>
          <w:lang w:val="kk-KZ"/>
        </w:rPr>
      </w:pPr>
      <w:r w:rsidRPr="00563F8F">
        <w:rPr>
          <w:sz w:val="28"/>
          <w:szCs w:val="28"/>
          <w:lang w:val="kk-KZ"/>
        </w:rPr>
        <w:t xml:space="preserve">- Қоғам </w:t>
      </w:r>
      <w:r>
        <w:rPr>
          <w:sz w:val="28"/>
          <w:szCs w:val="28"/>
          <w:lang w:val="kk-KZ"/>
        </w:rPr>
        <w:t>О</w:t>
      </w:r>
      <w:r w:rsidRPr="00563F8F">
        <w:rPr>
          <w:sz w:val="28"/>
          <w:szCs w:val="28"/>
          <w:lang w:val="kk-KZ"/>
        </w:rPr>
        <w:t xml:space="preserve">мбудсменінің 2021 жылғы 4-тоқсандағы қызметін, сондай-ақ </w:t>
      </w:r>
      <w:r w:rsidR="00563F8F">
        <w:rPr>
          <w:sz w:val="28"/>
          <w:szCs w:val="28"/>
          <w:lang w:val="kk-KZ"/>
        </w:rPr>
        <w:t xml:space="preserve">оны </w:t>
      </w:r>
      <w:r w:rsidRPr="00563F8F">
        <w:rPr>
          <w:sz w:val="28"/>
          <w:szCs w:val="28"/>
          <w:lang w:val="kk-KZ"/>
        </w:rPr>
        <w:t>2021 жылғы жұмыс қорытындысы бойынша бағалау.</w:t>
      </w:r>
    </w:p>
    <w:p w:rsidR="00563F8F" w:rsidRPr="00563F8F" w:rsidRDefault="00563F8F" w:rsidP="00563F8F">
      <w:pPr>
        <w:ind w:firstLine="567"/>
        <w:jc w:val="both"/>
        <w:rPr>
          <w:sz w:val="28"/>
          <w:szCs w:val="28"/>
          <w:lang w:val="kk-KZ"/>
        </w:rPr>
      </w:pPr>
      <w:r w:rsidRPr="00563F8F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563F8F">
        <w:rPr>
          <w:sz w:val="28"/>
          <w:szCs w:val="28"/>
          <w:lang w:val="kk-KZ"/>
        </w:rPr>
        <w:t>Алатау Жарық Компаниясы</w:t>
      </w:r>
      <w:r>
        <w:rPr>
          <w:sz w:val="28"/>
          <w:szCs w:val="28"/>
          <w:lang w:val="kk-KZ"/>
        </w:rPr>
        <w:t>»</w:t>
      </w:r>
      <w:r w:rsidRPr="00563F8F">
        <w:rPr>
          <w:sz w:val="28"/>
          <w:szCs w:val="28"/>
          <w:lang w:val="kk-KZ"/>
        </w:rPr>
        <w:t xml:space="preserve"> АҚ Басқарма төрағасын тағайындау, оның өкілеттік мерзімін, лауазымдық жалақы мөлшерін, </w:t>
      </w:r>
      <w:r>
        <w:rPr>
          <w:sz w:val="28"/>
          <w:szCs w:val="28"/>
          <w:lang w:val="kk-KZ"/>
        </w:rPr>
        <w:t>«</w:t>
      </w:r>
      <w:r w:rsidRPr="00563F8F">
        <w:rPr>
          <w:sz w:val="28"/>
          <w:szCs w:val="28"/>
          <w:lang w:val="kk-KZ"/>
        </w:rPr>
        <w:t>Алатау Жарық Компаниясы</w:t>
      </w:r>
      <w:r>
        <w:rPr>
          <w:sz w:val="28"/>
          <w:szCs w:val="28"/>
          <w:lang w:val="kk-KZ"/>
        </w:rPr>
        <w:t xml:space="preserve">» </w:t>
      </w:r>
      <w:r w:rsidRPr="00563F8F">
        <w:rPr>
          <w:sz w:val="28"/>
          <w:szCs w:val="28"/>
          <w:lang w:val="kk-KZ"/>
        </w:rPr>
        <w:t>АҚ Басқарма төрағасының еңбегіне ақы төлеу және сыйлықақы беру шарттарын айқындау туралы.</w:t>
      </w:r>
    </w:p>
    <w:p w:rsidR="00563F8F" w:rsidRPr="00563F8F" w:rsidRDefault="00563F8F" w:rsidP="00563F8F">
      <w:pPr>
        <w:ind w:firstLine="567"/>
        <w:jc w:val="both"/>
        <w:rPr>
          <w:sz w:val="28"/>
          <w:szCs w:val="28"/>
          <w:lang w:val="kk-KZ"/>
        </w:rPr>
      </w:pPr>
      <w:r w:rsidRPr="00563F8F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563F8F">
        <w:rPr>
          <w:sz w:val="28"/>
          <w:szCs w:val="28"/>
          <w:lang w:val="kk-KZ"/>
        </w:rPr>
        <w:t>Energy Solutions Center</w:t>
      </w:r>
      <w:r>
        <w:rPr>
          <w:sz w:val="28"/>
          <w:szCs w:val="28"/>
          <w:lang w:val="kk-KZ"/>
        </w:rPr>
        <w:t xml:space="preserve">» </w:t>
      </w:r>
      <w:r w:rsidRPr="00563F8F">
        <w:rPr>
          <w:sz w:val="28"/>
          <w:szCs w:val="28"/>
          <w:lang w:val="kk-KZ"/>
        </w:rPr>
        <w:t>ЖШС бас директорын тағайындау, лауазымдық жалақы мөлшерін анықтау, еңбекақы төлеу және сыйлықақы беру шарттары туралы.</w:t>
      </w:r>
    </w:p>
    <w:p w:rsidR="0034166E" w:rsidRPr="00563F8F" w:rsidRDefault="0034166E" w:rsidP="0034166E">
      <w:pPr>
        <w:ind w:firstLine="567"/>
        <w:jc w:val="both"/>
        <w:rPr>
          <w:sz w:val="28"/>
          <w:szCs w:val="28"/>
          <w:lang w:val="kk-KZ"/>
        </w:rPr>
      </w:pPr>
      <w:r w:rsidRPr="00563F8F">
        <w:rPr>
          <w:sz w:val="28"/>
          <w:szCs w:val="28"/>
          <w:lang w:val="kk-KZ"/>
        </w:rPr>
        <w:lastRenderedPageBreak/>
        <w:t>- «</w:t>
      </w:r>
      <w:r w:rsidR="00563F8F">
        <w:rPr>
          <w:sz w:val="28"/>
          <w:szCs w:val="28"/>
          <w:lang w:val="kk-KZ"/>
        </w:rPr>
        <w:t>Екібастұз</w:t>
      </w:r>
      <w:r w:rsidRPr="00563F8F">
        <w:rPr>
          <w:sz w:val="28"/>
          <w:szCs w:val="28"/>
          <w:lang w:val="kk-KZ"/>
        </w:rPr>
        <w:t>я ГРЭС-1»</w:t>
      </w:r>
      <w:r w:rsidR="00563F8F">
        <w:rPr>
          <w:sz w:val="28"/>
          <w:szCs w:val="28"/>
          <w:lang w:val="kk-KZ"/>
        </w:rPr>
        <w:t xml:space="preserve"> ЖШС қызметі аудитінің кейбір мәселелері туралы</w:t>
      </w:r>
      <w:r w:rsidRPr="00563F8F">
        <w:rPr>
          <w:sz w:val="28"/>
          <w:szCs w:val="28"/>
          <w:lang w:val="kk-KZ"/>
        </w:rPr>
        <w:t>.</w:t>
      </w:r>
    </w:p>
    <w:p w:rsidR="0034166E" w:rsidRPr="00563F8F" w:rsidRDefault="0034166E" w:rsidP="0034166E">
      <w:pPr>
        <w:ind w:firstLine="708"/>
        <w:jc w:val="both"/>
        <w:rPr>
          <w:b/>
          <w:sz w:val="28"/>
          <w:szCs w:val="28"/>
          <w:lang w:val="kk-KZ"/>
        </w:rPr>
      </w:pPr>
    </w:p>
    <w:p w:rsidR="00563F8F" w:rsidRPr="00563F8F" w:rsidRDefault="00563F8F" w:rsidP="00563F8F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563F8F">
        <w:rPr>
          <w:rFonts w:eastAsia="Calibri"/>
          <w:b/>
          <w:sz w:val="28"/>
          <w:szCs w:val="28"/>
          <w:lang w:val="kk-KZ" w:eastAsia="en-US"/>
        </w:rPr>
        <w:t>Директорлар кеңесінің мына мүшелері қатысты:</w:t>
      </w:r>
    </w:p>
    <w:p w:rsidR="00563F8F" w:rsidRPr="00563F8F" w:rsidRDefault="00563F8F" w:rsidP="00563F8F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563F8F">
        <w:rPr>
          <w:rFonts w:eastAsia="Calibri"/>
          <w:b/>
          <w:sz w:val="28"/>
          <w:szCs w:val="28"/>
          <w:lang w:val="kk-KZ" w:eastAsia="en-US"/>
        </w:rPr>
        <w:t>Н.Ю.Казутин, А.Ю.Репин, Андреас Сторзел,</w:t>
      </w:r>
    </w:p>
    <w:p w:rsidR="00563F8F" w:rsidRPr="00563F8F" w:rsidRDefault="00563F8F" w:rsidP="00563F8F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563F8F">
        <w:rPr>
          <w:rFonts w:eastAsia="Calibri"/>
          <w:b/>
          <w:sz w:val="28"/>
          <w:szCs w:val="28"/>
          <w:lang w:eastAsia="en-US"/>
        </w:rPr>
        <w:t xml:space="preserve">Хоакин Галиндо, </w:t>
      </w:r>
      <w:r w:rsidRPr="00563F8F">
        <w:rPr>
          <w:rFonts w:eastAsia="Calibri"/>
          <w:b/>
          <w:sz w:val="28"/>
          <w:szCs w:val="28"/>
          <w:lang w:val="kk-KZ" w:eastAsia="en-US"/>
        </w:rPr>
        <w:t>С.К.Есімханов.</w:t>
      </w:r>
    </w:p>
    <w:p w:rsidR="0034166E" w:rsidRPr="00563F8F" w:rsidRDefault="0034166E" w:rsidP="0034166E">
      <w:pPr>
        <w:jc w:val="both"/>
        <w:rPr>
          <w:sz w:val="28"/>
          <w:szCs w:val="28"/>
          <w:lang w:val="kk-KZ"/>
        </w:rPr>
      </w:pPr>
    </w:p>
    <w:p w:rsidR="00BA731A" w:rsidRDefault="00BA731A"/>
    <w:sectPr w:rsidR="00BA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E"/>
    <w:rsid w:val="0034166E"/>
    <w:rsid w:val="00563F8F"/>
    <w:rsid w:val="00636354"/>
    <w:rsid w:val="00BA731A"/>
    <w:rsid w:val="00D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65C49-5846-4FC4-BE2F-BA2314B0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2022-05-06T05:49:00Z</dcterms:created>
  <dcterms:modified xsi:type="dcterms:W3CDTF">2022-05-06T05:49:00Z</dcterms:modified>
</cp:coreProperties>
</file>