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2249C" w14:textId="0DA7CFE6" w:rsidR="00A116EB" w:rsidRPr="006B1FE5" w:rsidRDefault="006C5D21" w:rsidP="00A116EB">
      <w:pPr>
        <w:spacing w:line="252" w:lineRule="auto"/>
        <w:jc w:val="both"/>
        <w:rPr>
          <w:rFonts w:ascii="Times New Roman" w:hAnsi="Times New Roman" w:cs="Times New Roman"/>
          <w:b/>
          <w:sz w:val="28"/>
          <w:szCs w:val="28"/>
          <w:lang w:val="en-US"/>
        </w:rPr>
      </w:pPr>
      <w:r w:rsidRPr="009032BF">
        <w:rPr>
          <w:rFonts w:ascii="Times New Roman" w:hAnsi="Times New Roman" w:cs="Times New Roman"/>
          <w:b/>
          <w:sz w:val="28"/>
          <w:szCs w:val="28"/>
          <w:lang w:val="en-US"/>
        </w:rPr>
        <w:t xml:space="preserve">       </w:t>
      </w:r>
      <w:r w:rsidR="00A116EB" w:rsidRPr="006B1FE5">
        <w:rPr>
          <w:rFonts w:ascii="Times New Roman" w:hAnsi="Times New Roman" w:cs="Times New Roman"/>
          <w:b/>
          <w:sz w:val="28"/>
          <w:szCs w:val="28"/>
          <w:lang w:val="en-US"/>
        </w:rPr>
        <w:t xml:space="preserve">The meeting of the Board of Directors dated </w:t>
      </w:r>
      <w:r w:rsidR="00A116EB">
        <w:rPr>
          <w:rFonts w:ascii="Times New Roman" w:hAnsi="Times New Roman" w:cs="Times New Roman"/>
          <w:b/>
          <w:sz w:val="28"/>
          <w:szCs w:val="28"/>
          <w:lang w:val="en-US"/>
        </w:rPr>
        <w:t>May 31, 2024.</w:t>
      </w:r>
    </w:p>
    <w:p w14:paraId="78B33E53" w14:textId="77777777" w:rsidR="00A116EB" w:rsidRDefault="00A116EB" w:rsidP="00A116EB">
      <w:pPr>
        <w:spacing w:after="0" w:line="240" w:lineRule="auto"/>
        <w:ind w:firstLine="567"/>
        <w:jc w:val="both"/>
        <w:rPr>
          <w:rFonts w:ascii="Times New Roman" w:eastAsia="Times New Roman" w:hAnsi="Times New Roman" w:cs="Times New Roman"/>
          <w:sz w:val="28"/>
          <w:szCs w:val="28"/>
          <w:lang w:val="en-US" w:eastAsia="ru-RU"/>
        </w:rPr>
      </w:pPr>
    </w:p>
    <w:p w14:paraId="0F6AE533" w14:textId="40123651" w:rsidR="00A116EB" w:rsidRPr="006B1FE5" w:rsidRDefault="00A116EB" w:rsidP="00A116EB">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sz w:val="28"/>
          <w:szCs w:val="28"/>
          <w:lang w:val="en-US" w:eastAsia="ru-RU"/>
        </w:rPr>
        <w:t xml:space="preserve">The Company’s Board of Directors considered the following items on </w:t>
      </w:r>
      <w:r>
        <w:rPr>
          <w:rFonts w:ascii="Times New Roman" w:eastAsia="Times New Roman" w:hAnsi="Times New Roman" w:cs="Times New Roman"/>
          <w:sz w:val="28"/>
          <w:szCs w:val="28"/>
          <w:lang w:val="en-US" w:eastAsia="ru-RU"/>
        </w:rPr>
        <w:t xml:space="preserve">May 31, </w:t>
      </w:r>
      <w:r w:rsidRPr="006B1FE5">
        <w:rPr>
          <w:rFonts w:ascii="Times New Roman" w:eastAsia="Times New Roman" w:hAnsi="Times New Roman" w:cs="Times New Roman"/>
          <w:sz w:val="28"/>
          <w:szCs w:val="28"/>
          <w:lang w:val="en-US" w:eastAsia="ru-RU"/>
        </w:rPr>
        <w:t xml:space="preserve">2024, in accordance with “Samruk-Energy” JSC Charter, the Regulations on the Board of Directors of “Samruk-Energy” JSC, the Republic of Kazakhstan Law "On </w:t>
      </w:r>
      <w:r w:rsidRPr="006B1FE5">
        <w:rPr>
          <w:rFonts w:ascii="Times New Roman" w:eastAsia="Times New Roman" w:hAnsi="Times New Roman" w:cs="Times New Roman"/>
          <w:bCs/>
          <w:sz w:val="28"/>
          <w:szCs w:val="28"/>
          <w:lang w:val="en-US" w:eastAsia="ru-RU"/>
        </w:rPr>
        <w:t>joint-stock companies":</w:t>
      </w:r>
    </w:p>
    <w:p w14:paraId="30FB1E3F" w14:textId="059DB5FF"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 xml:space="preserve">- </w:t>
      </w:r>
      <w:r w:rsidR="00A116EB" w:rsidRPr="00A116EB">
        <w:rPr>
          <w:rFonts w:ascii="Times New Roman" w:hAnsi="Times New Roman" w:cs="Times New Roman"/>
          <w:sz w:val="28"/>
          <w:szCs w:val="28"/>
          <w:lang w:val="en-US"/>
        </w:rPr>
        <w:t>Report of the Chairman of the</w:t>
      </w:r>
      <w:r>
        <w:rPr>
          <w:rFonts w:ascii="Times New Roman" w:hAnsi="Times New Roman" w:cs="Times New Roman"/>
          <w:sz w:val="28"/>
          <w:szCs w:val="28"/>
          <w:lang w:val="en-US"/>
        </w:rPr>
        <w:t xml:space="preserve"> Board for the reporting period</w:t>
      </w:r>
      <w:proofErr w:type="gramStart"/>
      <w:r>
        <w:rPr>
          <w:rFonts w:ascii="Times New Roman" w:hAnsi="Times New Roman" w:cs="Times New Roman"/>
          <w:sz w:val="28"/>
          <w:szCs w:val="28"/>
          <w:lang w:val="en-US"/>
        </w:rPr>
        <w:t>;</w:t>
      </w:r>
      <w:proofErr w:type="gramEnd"/>
    </w:p>
    <w:p w14:paraId="2CC41E55" w14:textId="579AE6FE"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Report of the executive on economic and financial m</w:t>
      </w:r>
      <w:r>
        <w:rPr>
          <w:rFonts w:ascii="Times New Roman" w:hAnsi="Times New Roman" w:cs="Times New Roman"/>
          <w:sz w:val="28"/>
          <w:szCs w:val="28"/>
          <w:lang w:val="en-US"/>
        </w:rPr>
        <w:t>atters for the reporting period</w:t>
      </w:r>
      <w:proofErr w:type="gramStart"/>
      <w:r>
        <w:rPr>
          <w:rFonts w:ascii="Times New Roman" w:hAnsi="Times New Roman" w:cs="Times New Roman"/>
          <w:sz w:val="28"/>
          <w:szCs w:val="28"/>
          <w:lang w:val="en-US"/>
        </w:rPr>
        <w:t>;</w:t>
      </w:r>
      <w:proofErr w:type="gramEnd"/>
    </w:p>
    <w:p w14:paraId="7ACC70FD" w14:textId="1A6C7C86"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Approval of the Development Plan (business plan) of the Company for 2024–2028, taking into account adjustments. Approval of the Company's Budget for the first calendar year (2024) considering adjustments, planned by the Development Plan (business plan) of the Company for 2024–2028, </w:t>
      </w:r>
      <w:r>
        <w:rPr>
          <w:rFonts w:ascii="Times New Roman" w:hAnsi="Times New Roman" w:cs="Times New Roman"/>
          <w:sz w:val="28"/>
          <w:szCs w:val="28"/>
          <w:lang w:val="en-US"/>
        </w:rPr>
        <w:t>considering adjustments</w:t>
      </w:r>
      <w:proofErr w:type="gramStart"/>
      <w:r>
        <w:rPr>
          <w:rFonts w:ascii="Times New Roman" w:hAnsi="Times New Roman" w:cs="Times New Roman"/>
          <w:sz w:val="28"/>
          <w:szCs w:val="28"/>
          <w:lang w:val="en-US"/>
        </w:rPr>
        <w:t>;</w:t>
      </w:r>
      <w:proofErr w:type="gramEnd"/>
    </w:p>
    <w:p w14:paraId="101794C2" w14:textId="5856C13A"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Approval of the report on the implementation of the Action Plan for the implementation of the </w:t>
      </w:r>
      <w:r w:rsidR="004A2912">
        <w:rPr>
          <w:rFonts w:ascii="Times New Roman" w:hAnsi="Times New Roman" w:cs="Times New Roman"/>
          <w:sz w:val="28"/>
          <w:szCs w:val="28"/>
          <w:lang w:val="en-US"/>
        </w:rPr>
        <w:t>Company</w:t>
      </w:r>
      <w:r w:rsidR="00A116EB" w:rsidRPr="00A116EB">
        <w:rPr>
          <w:rFonts w:ascii="Times New Roman" w:hAnsi="Times New Roman" w:cs="Times New Roman"/>
          <w:sz w:val="28"/>
          <w:szCs w:val="28"/>
          <w:lang w:val="en-US"/>
        </w:rPr>
        <w:t xml:space="preserve">'s Development Strategy for 2022-2031 </w:t>
      </w:r>
      <w:r w:rsidR="004A2912">
        <w:rPr>
          <w:rFonts w:ascii="Times New Roman" w:hAnsi="Times New Roman" w:cs="Times New Roman"/>
          <w:sz w:val="28"/>
          <w:szCs w:val="28"/>
          <w:lang w:val="en-US"/>
        </w:rPr>
        <w:t xml:space="preserve">based on </w:t>
      </w:r>
      <w:r w:rsidR="00A116EB" w:rsidRPr="00A116EB">
        <w:rPr>
          <w:rFonts w:ascii="Times New Roman" w:hAnsi="Times New Roman" w:cs="Times New Roman"/>
          <w:sz w:val="28"/>
          <w:szCs w:val="28"/>
          <w:lang w:val="en-US"/>
        </w:rPr>
        <w:t>the res</w:t>
      </w:r>
      <w:r>
        <w:rPr>
          <w:rFonts w:ascii="Times New Roman" w:hAnsi="Times New Roman" w:cs="Times New Roman"/>
          <w:sz w:val="28"/>
          <w:szCs w:val="28"/>
          <w:lang w:val="en-US"/>
        </w:rPr>
        <w:t>ults of the 1st quarter of 2024;</w:t>
      </w:r>
    </w:p>
    <w:p w14:paraId="73B2957D" w14:textId="18CBA685"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Approval of the interim financial statements of t</w:t>
      </w:r>
      <w:r>
        <w:rPr>
          <w:rFonts w:ascii="Times New Roman" w:hAnsi="Times New Roman" w:cs="Times New Roman"/>
          <w:sz w:val="28"/>
          <w:szCs w:val="28"/>
          <w:lang w:val="en-US"/>
        </w:rPr>
        <w:t>he Company as of March 31, 2024;</w:t>
      </w:r>
    </w:p>
    <w:p w14:paraId="36DAE202" w14:textId="77777777" w:rsidR="0060476C"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Approval of the integrated annual report </w:t>
      </w:r>
      <w:r w:rsidR="004A2912">
        <w:rPr>
          <w:rFonts w:ascii="Times New Roman" w:hAnsi="Times New Roman" w:cs="Times New Roman"/>
          <w:sz w:val="28"/>
          <w:szCs w:val="28"/>
          <w:lang w:val="en-US"/>
        </w:rPr>
        <w:t xml:space="preserve">based </w:t>
      </w:r>
      <w:r w:rsidR="00A116EB" w:rsidRPr="00A116EB">
        <w:rPr>
          <w:rFonts w:ascii="Times New Roman" w:hAnsi="Times New Roman" w:cs="Times New Roman"/>
          <w:sz w:val="28"/>
          <w:szCs w:val="28"/>
          <w:lang w:val="en-US"/>
        </w:rPr>
        <w:t xml:space="preserve">on the </w:t>
      </w:r>
      <w:proofErr w:type="gramStart"/>
      <w:r w:rsidR="00A116EB" w:rsidRPr="00A116EB">
        <w:rPr>
          <w:rFonts w:ascii="Times New Roman" w:hAnsi="Times New Roman" w:cs="Times New Roman"/>
          <w:sz w:val="28"/>
          <w:szCs w:val="28"/>
          <w:lang w:val="en-US"/>
        </w:rPr>
        <w:t>Company's</w:t>
      </w:r>
      <w:proofErr w:type="gramEnd"/>
      <w:r w:rsidR="00A116EB" w:rsidRPr="00A116EB">
        <w:rPr>
          <w:rFonts w:ascii="Times New Roman" w:hAnsi="Times New Roman" w:cs="Times New Roman"/>
          <w:sz w:val="28"/>
          <w:szCs w:val="28"/>
          <w:lang w:val="en-US"/>
        </w:rPr>
        <w:t xml:space="preserve"> </w:t>
      </w:r>
      <w:r w:rsidR="004A2912">
        <w:rPr>
          <w:rFonts w:ascii="Times New Roman" w:hAnsi="Times New Roman" w:cs="Times New Roman"/>
          <w:sz w:val="28"/>
          <w:szCs w:val="28"/>
          <w:lang w:val="en-US"/>
        </w:rPr>
        <w:t xml:space="preserve">operating results </w:t>
      </w:r>
      <w:r>
        <w:rPr>
          <w:rFonts w:ascii="Times New Roman" w:hAnsi="Times New Roman" w:cs="Times New Roman"/>
          <w:sz w:val="28"/>
          <w:szCs w:val="28"/>
          <w:lang w:val="en-US"/>
        </w:rPr>
        <w:t>for 2023;</w:t>
      </w:r>
    </w:p>
    <w:p w14:paraId="0443B49E" w14:textId="4D47F92B"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Consideration of the report on the implementation of the Roadmap for improving the sustainable development management system of the </w:t>
      </w:r>
      <w:r w:rsidR="004A2912">
        <w:rPr>
          <w:rFonts w:ascii="Times New Roman" w:hAnsi="Times New Roman" w:cs="Times New Roman"/>
          <w:sz w:val="28"/>
          <w:szCs w:val="28"/>
          <w:lang w:val="en-US"/>
        </w:rPr>
        <w:t>Company</w:t>
      </w:r>
      <w:r w:rsidR="00A116EB" w:rsidRPr="00A116EB">
        <w:rPr>
          <w:rFonts w:ascii="Times New Roman" w:hAnsi="Times New Roman" w:cs="Times New Roman"/>
          <w:sz w:val="28"/>
          <w:szCs w:val="28"/>
          <w:lang w:val="en-US"/>
        </w:rPr>
        <w:t xml:space="preserve"> for 2024 </w:t>
      </w:r>
      <w:r w:rsidR="004A2912">
        <w:rPr>
          <w:rFonts w:ascii="Times New Roman" w:hAnsi="Times New Roman" w:cs="Times New Roman"/>
          <w:sz w:val="28"/>
          <w:szCs w:val="28"/>
          <w:lang w:val="en-US"/>
        </w:rPr>
        <w:t>based on the</w:t>
      </w:r>
      <w:r w:rsidR="00A116EB" w:rsidRPr="00A116EB">
        <w:rPr>
          <w:rFonts w:ascii="Times New Roman" w:hAnsi="Times New Roman" w:cs="Times New Roman"/>
          <w:sz w:val="28"/>
          <w:szCs w:val="28"/>
          <w:lang w:val="en-US"/>
        </w:rPr>
        <w:t xml:space="preserve"> res</w:t>
      </w:r>
      <w:r>
        <w:rPr>
          <w:rFonts w:ascii="Times New Roman" w:hAnsi="Times New Roman" w:cs="Times New Roman"/>
          <w:sz w:val="28"/>
          <w:szCs w:val="28"/>
          <w:lang w:val="en-US"/>
        </w:rPr>
        <w:t>ults of the 1st quarter of 2024</w:t>
      </w:r>
      <w:proofErr w:type="gramStart"/>
      <w:r>
        <w:rPr>
          <w:rFonts w:ascii="Times New Roman" w:hAnsi="Times New Roman" w:cs="Times New Roman"/>
          <w:sz w:val="28"/>
          <w:szCs w:val="28"/>
          <w:lang w:val="en-US"/>
        </w:rPr>
        <w:t>;</w:t>
      </w:r>
      <w:proofErr w:type="gramEnd"/>
    </w:p>
    <w:p w14:paraId="3474CC98" w14:textId="692E5318"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Determination of the position for the representatives of the </w:t>
      </w:r>
      <w:r w:rsidR="004A2912">
        <w:rPr>
          <w:rFonts w:ascii="Times New Roman" w:hAnsi="Times New Roman" w:cs="Times New Roman"/>
          <w:sz w:val="28"/>
          <w:szCs w:val="28"/>
          <w:lang w:val="en-US"/>
        </w:rPr>
        <w:t>Company</w:t>
      </w:r>
      <w:r w:rsidR="00A116EB" w:rsidRPr="00A116EB">
        <w:rPr>
          <w:rFonts w:ascii="Times New Roman" w:hAnsi="Times New Roman" w:cs="Times New Roman"/>
          <w:sz w:val="28"/>
          <w:szCs w:val="28"/>
          <w:lang w:val="en-US"/>
        </w:rPr>
        <w:t xml:space="preserve"> on the agenda of the annual general meeting of shareholders of "</w:t>
      </w:r>
      <w:r w:rsidR="004A2912">
        <w:rPr>
          <w:rFonts w:ascii="Times New Roman" w:hAnsi="Times New Roman" w:cs="Times New Roman"/>
          <w:sz w:val="28"/>
          <w:szCs w:val="28"/>
          <w:lang w:val="en-US"/>
        </w:rPr>
        <w:t>ESDPP-2 Plant</w:t>
      </w:r>
      <w:r w:rsidR="00A116EB" w:rsidRPr="00A116EB">
        <w:rPr>
          <w:rFonts w:ascii="Times New Roman" w:hAnsi="Times New Roman" w:cs="Times New Roman"/>
          <w:sz w:val="28"/>
          <w:szCs w:val="28"/>
          <w:lang w:val="en-US"/>
        </w:rPr>
        <w:t>"</w:t>
      </w:r>
      <w:r w:rsidR="004A2912">
        <w:rPr>
          <w:rFonts w:ascii="Times New Roman" w:hAnsi="Times New Roman" w:cs="Times New Roman"/>
          <w:sz w:val="28"/>
          <w:szCs w:val="28"/>
          <w:lang w:val="en-US"/>
        </w:rPr>
        <w:t xml:space="preserve"> JSC</w:t>
      </w:r>
      <w:r w:rsidR="00A116EB" w:rsidRPr="00A116EB">
        <w:rPr>
          <w:rFonts w:ascii="Times New Roman" w:hAnsi="Times New Roman" w:cs="Times New Roman"/>
          <w:sz w:val="28"/>
          <w:szCs w:val="28"/>
          <w:lang w:val="en-US"/>
        </w:rPr>
        <w:t xml:space="preserve">: "On amendments to the composition of the Board of Directors of </w:t>
      </w:r>
      <w:r w:rsidR="004A2912">
        <w:rPr>
          <w:rFonts w:ascii="Times New Roman" w:hAnsi="Times New Roman" w:cs="Times New Roman"/>
          <w:sz w:val="28"/>
          <w:szCs w:val="28"/>
          <w:lang w:val="en-US"/>
        </w:rPr>
        <w:t>“ESDPP-2 Plant</w:t>
      </w:r>
      <w:r w:rsidR="00A116EB" w:rsidRPr="00A116EB">
        <w:rPr>
          <w:rFonts w:ascii="Times New Roman" w:hAnsi="Times New Roman" w:cs="Times New Roman"/>
          <w:sz w:val="28"/>
          <w:szCs w:val="28"/>
          <w:lang w:val="en-US"/>
        </w:rPr>
        <w:t>"</w:t>
      </w:r>
      <w:r w:rsidR="004A2912">
        <w:rPr>
          <w:rFonts w:ascii="Times New Roman" w:hAnsi="Times New Roman" w:cs="Times New Roman"/>
          <w:sz w:val="28"/>
          <w:szCs w:val="28"/>
          <w:lang w:val="en-US"/>
        </w:rPr>
        <w:t xml:space="preserve"> JSC</w:t>
      </w:r>
      <w:r w:rsidR="00A116EB">
        <w:rPr>
          <w:rFonts w:ascii="Times New Roman" w:hAnsi="Times New Roman" w:cs="Times New Roman"/>
          <w:sz w:val="28"/>
          <w:szCs w:val="28"/>
          <w:lang w:val="en-US"/>
        </w:rPr>
        <w:t>,</w:t>
      </w:r>
    </w:p>
    <w:p w14:paraId="7FD9A9B9" w14:textId="49160118"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Consideration of the report on </w:t>
      </w:r>
      <w:r w:rsidR="004A2912">
        <w:rPr>
          <w:rFonts w:ascii="Times New Roman" w:hAnsi="Times New Roman" w:cs="Times New Roman"/>
          <w:sz w:val="28"/>
          <w:szCs w:val="28"/>
          <w:lang w:val="en-US"/>
        </w:rPr>
        <w:t>the use</w:t>
      </w:r>
      <w:r w:rsidR="00A116EB" w:rsidRPr="00A116EB">
        <w:rPr>
          <w:rFonts w:ascii="Times New Roman" w:hAnsi="Times New Roman" w:cs="Times New Roman"/>
          <w:sz w:val="28"/>
          <w:szCs w:val="28"/>
          <w:lang w:val="en-US"/>
        </w:rPr>
        <w:t xml:space="preserve"> of investments in the investment projects of the Company </w:t>
      </w:r>
      <w:r w:rsidR="004A2912">
        <w:rPr>
          <w:rFonts w:ascii="Times New Roman" w:hAnsi="Times New Roman" w:cs="Times New Roman"/>
          <w:sz w:val="28"/>
          <w:szCs w:val="28"/>
          <w:lang w:val="en-US"/>
        </w:rPr>
        <w:t>according to the results</w:t>
      </w:r>
      <w:r>
        <w:rPr>
          <w:rFonts w:ascii="Times New Roman" w:hAnsi="Times New Roman" w:cs="Times New Roman"/>
          <w:sz w:val="28"/>
          <w:szCs w:val="28"/>
          <w:lang w:val="en-US"/>
        </w:rPr>
        <w:t xml:space="preserve"> of the 1st quarter of 2024</w:t>
      </w:r>
      <w:proofErr w:type="gramStart"/>
      <w:r>
        <w:rPr>
          <w:rFonts w:ascii="Times New Roman" w:hAnsi="Times New Roman" w:cs="Times New Roman"/>
          <w:sz w:val="28"/>
          <w:szCs w:val="28"/>
          <w:lang w:val="en-US"/>
        </w:rPr>
        <w:t>;</w:t>
      </w:r>
      <w:proofErr w:type="gramEnd"/>
    </w:p>
    <w:p w14:paraId="5C511B7C" w14:textId="5390B5A3"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w:t>
      </w:r>
      <w:r w:rsidR="004A2912">
        <w:rPr>
          <w:rFonts w:ascii="Times New Roman" w:hAnsi="Times New Roman" w:cs="Times New Roman"/>
          <w:sz w:val="28"/>
          <w:szCs w:val="28"/>
          <w:lang w:val="en-US"/>
        </w:rPr>
        <w:t>Almaty Power Plant (APP) c</w:t>
      </w:r>
      <w:r w:rsidR="00A116EB" w:rsidRPr="00A116EB">
        <w:rPr>
          <w:rFonts w:ascii="Times New Roman" w:hAnsi="Times New Roman" w:cs="Times New Roman"/>
          <w:sz w:val="28"/>
          <w:szCs w:val="28"/>
          <w:lang w:val="en-US"/>
        </w:rPr>
        <w:t xml:space="preserve">onclusion </w:t>
      </w:r>
      <w:r w:rsidR="004A2912">
        <w:rPr>
          <w:rFonts w:ascii="Times New Roman" w:hAnsi="Times New Roman" w:cs="Times New Roman"/>
          <w:sz w:val="28"/>
          <w:szCs w:val="28"/>
          <w:lang w:val="en-US"/>
        </w:rPr>
        <w:t xml:space="preserve"> of </w:t>
      </w:r>
      <w:r w:rsidR="00A116EB" w:rsidRPr="00A116EB">
        <w:rPr>
          <w:rFonts w:ascii="Times New Roman" w:hAnsi="Times New Roman" w:cs="Times New Roman"/>
          <w:sz w:val="28"/>
          <w:szCs w:val="28"/>
          <w:lang w:val="en-US"/>
        </w:rPr>
        <w:t xml:space="preserve">Additional Agreement No. 1 to the Contract for the purchase of services for maintaining </w:t>
      </w:r>
      <w:r w:rsidR="004A2912">
        <w:rPr>
          <w:rFonts w:ascii="Times New Roman" w:hAnsi="Times New Roman" w:cs="Times New Roman"/>
          <w:sz w:val="28"/>
          <w:szCs w:val="28"/>
          <w:lang w:val="en-US"/>
        </w:rPr>
        <w:t>availability of capacity</w:t>
      </w:r>
      <w:r w:rsidR="00A116EB" w:rsidRPr="00A116EB">
        <w:rPr>
          <w:rFonts w:ascii="Times New Roman" w:hAnsi="Times New Roman" w:cs="Times New Roman"/>
          <w:sz w:val="28"/>
          <w:szCs w:val="28"/>
          <w:lang w:val="en-US"/>
        </w:rPr>
        <w:t xml:space="preserve"> during the construction of newly commissioned generating units with maneuverable generation mode No. 10-01-DP/AT-01 of March 17, 2023 with "Financial </w:t>
      </w:r>
      <w:r w:rsidR="004A2912">
        <w:rPr>
          <w:rFonts w:ascii="Times New Roman" w:hAnsi="Times New Roman" w:cs="Times New Roman"/>
          <w:sz w:val="28"/>
          <w:szCs w:val="28"/>
          <w:lang w:val="en-US"/>
        </w:rPr>
        <w:t>Settlement Center</w:t>
      </w:r>
      <w:r w:rsidR="00A116EB" w:rsidRPr="00A116EB">
        <w:rPr>
          <w:rFonts w:ascii="Times New Roman" w:hAnsi="Times New Roman" w:cs="Times New Roman"/>
          <w:sz w:val="28"/>
          <w:szCs w:val="28"/>
          <w:lang w:val="en-US"/>
        </w:rPr>
        <w:t xml:space="preserve"> for Renewable Energy Support"</w:t>
      </w:r>
      <w:r w:rsidR="004A2912">
        <w:rPr>
          <w:rFonts w:ascii="Times New Roman" w:hAnsi="Times New Roman" w:cs="Times New Roman"/>
          <w:sz w:val="28"/>
          <w:szCs w:val="28"/>
          <w:lang w:val="en-US"/>
        </w:rPr>
        <w:t xml:space="preserve"> LLP</w:t>
      </w:r>
      <w:r>
        <w:rPr>
          <w:rFonts w:ascii="Times New Roman" w:hAnsi="Times New Roman" w:cs="Times New Roman"/>
          <w:sz w:val="28"/>
          <w:szCs w:val="28"/>
          <w:lang w:val="en-US"/>
        </w:rPr>
        <w:t>;</w:t>
      </w:r>
    </w:p>
    <w:p w14:paraId="2E9858DD" w14:textId="7DC5F627"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Approval of the Information Technology and Dig</w:t>
      </w:r>
      <w:r w:rsidR="004A2912">
        <w:rPr>
          <w:rFonts w:ascii="Times New Roman" w:hAnsi="Times New Roman" w:cs="Times New Roman"/>
          <w:sz w:val="28"/>
          <w:szCs w:val="28"/>
          <w:lang w:val="en-US"/>
        </w:rPr>
        <w:t>itization</w:t>
      </w:r>
      <w:r w:rsidR="00A116EB" w:rsidRPr="00A116EB">
        <w:rPr>
          <w:rFonts w:ascii="Times New Roman" w:hAnsi="Times New Roman" w:cs="Times New Roman"/>
          <w:sz w:val="28"/>
          <w:szCs w:val="28"/>
          <w:lang w:val="en-US"/>
        </w:rPr>
        <w:t xml:space="preserve"> Strategy of the Company for 2024-2026 and amendment to the Company's Dev</w:t>
      </w:r>
      <w:r>
        <w:rPr>
          <w:rFonts w:ascii="Times New Roman" w:hAnsi="Times New Roman" w:cs="Times New Roman"/>
          <w:sz w:val="28"/>
          <w:szCs w:val="28"/>
          <w:lang w:val="en-US"/>
        </w:rPr>
        <w:t>elopment Strategy for 2022-2031;</w:t>
      </w:r>
    </w:p>
    <w:p w14:paraId="2595D095" w14:textId="6466F463"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Consideration of the Report on the results of the investigation of an accident resulting in the death of an employee of "Ekibastuz </w:t>
      </w:r>
      <w:r w:rsidR="004A2912">
        <w:rPr>
          <w:rFonts w:ascii="Times New Roman" w:hAnsi="Times New Roman" w:cs="Times New Roman"/>
          <w:sz w:val="28"/>
          <w:szCs w:val="28"/>
          <w:lang w:val="en-US"/>
        </w:rPr>
        <w:t>SDPP</w:t>
      </w:r>
      <w:r w:rsidR="00A116EB" w:rsidRPr="00A116EB">
        <w:rPr>
          <w:rFonts w:ascii="Times New Roman" w:hAnsi="Times New Roman" w:cs="Times New Roman"/>
          <w:sz w:val="28"/>
          <w:szCs w:val="28"/>
          <w:lang w:val="en-US"/>
        </w:rPr>
        <w:t xml:space="preserve">-1 named after </w:t>
      </w:r>
      <w:proofErr w:type="spellStart"/>
      <w:r w:rsidR="00A116EB" w:rsidRPr="00A116EB">
        <w:rPr>
          <w:rFonts w:ascii="Times New Roman" w:hAnsi="Times New Roman" w:cs="Times New Roman"/>
          <w:sz w:val="28"/>
          <w:szCs w:val="28"/>
          <w:lang w:val="en-US"/>
        </w:rPr>
        <w:t>Bulat</w:t>
      </w:r>
      <w:proofErr w:type="spellEnd"/>
      <w:r w:rsidR="00A116EB" w:rsidRPr="00A116EB">
        <w:rPr>
          <w:rFonts w:ascii="Times New Roman" w:hAnsi="Times New Roman" w:cs="Times New Roman"/>
          <w:sz w:val="28"/>
          <w:szCs w:val="28"/>
          <w:lang w:val="en-US"/>
        </w:rPr>
        <w:t xml:space="preserve"> </w:t>
      </w:r>
      <w:proofErr w:type="spellStart"/>
      <w:r w:rsidR="00A116EB" w:rsidRPr="00A116EB">
        <w:rPr>
          <w:rFonts w:ascii="Times New Roman" w:hAnsi="Times New Roman" w:cs="Times New Roman"/>
          <w:sz w:val="28"/>
          <w:szCs w:val="28"/>
          <w:lang w:val="en-US"/>
        </w:rPr>
        <w:t>Nurzhanov</w:t>
      </w:r>
      <w:proofErr w:type="spellEnd"/>
      <w:r w:rsidR="00A116EB" w:rsidRPr="00A116EB">
        <w:rPr>
          <w:rFonts w:ascii="Times New Roman" w:hAnsi="Times New Roman" w:cs="Times New Roman"/>
          <w:sz w:val="28"/>
          <w:szCs w:val="28"/>
          <w:lang w:val="en-US"/>
        </w:rPr>
        <w:t>"</w:t>
      </w:r>
      <w:r>
        <w:rPr>
          <w:rFonts w:ascii="Times New Roman" w:hAnsi="Times New Roman" w:cs="Times New Roman"/>
          <w:sz w:val="28"/>
          <w:szCs w:val="28"/>
          <w:lang w:val="en-US"/>
        </w:rPr>
        <w:t xml:space="preserve"> LLP;</w:t>
      </w:r>
    </w:p>
    <w:p w14:paraId="7F6FA3BD" w14:textId="7D581B15"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Questions regarding the activities of the C</w:t>
      </w:r>
      <w:r>
        <w:rPr>
          <w:rFonts w:ascii="Times New Roman" w:hAnsi="Times New Roman" w:cs="Times New Roman"/>
          <w:sz w:val="28"/>
          <w:szCs w:val="28"/>
          <w:lang w:val="en-US"/>
        </w:rPr>
        <w:t>ompany's Internal Audit Service</w:t>
      </w:r>
      <w:proofErr w:type="gramStart"/>
      <w:r>
        <w:rPr>
          <w:rFonts w:ascii="Times New Roman" w:hAnsi="Times New Roman" w:cs="Times New Roman"/>
          <w:sz w:val="28"/>
          <w:szCs w:val="28"/>
          <w:lang w:val="en-US"/>
        </w:rPr>
        <w:t>;</w:t>
      </w:r>
      <w:proofErr w:type="gramEnd"/>
    </w:p>
    <w:p w14:paraId="78E99207" w14:textId="367F163B"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Approval of the Rules for </w:t>
      </w:r>
      <w:r w:rsidR="004A2912">
        <w:rPr>
          <w:rFonts w:ascii="Times New Roman" w:hAnsi="Times New Roman" w:cs="Times New Roman"/>
          <w:sz w:val="28"/>
          <w:szCs w:val="28"/>
          <w:lang w:val="kk-KZ"/>
        </w:rPr>
        <w:t>с</w:t>
      </w:r>
      <w:r w:rsidR="004A2912">
        <w:rPr>
          <w:rFonts w:ascii="Times New Roman" w:hAnsi="Times New Roman" w:cs="Times New Roman"/>
          <w:sz w:val="28"/>
          <w:szCs w:val="28"/>
          <w:lang w:val="en-US"/>
        </w:rPr>
        <w:t>conducting due diligence in respect</w:t>
      </w:r>
      <w:r w:rsidR="00A116EB" w:rsidRPr="00A116EB">
        <w:rPr>
          <w:rFonts w:ascii="Times New Roman" w:hAnsi="Times New Roman" w:cs="Times New Roman"/>
          <w:sz w:val="28"/>
          <w:szCs w:val="28"/>
          <w:lang w:val="en-US"/>
        </w:rPr>
        <w:t xml:space="preserve"> </w:t>
      </w:r>
      <w:r>
        <w:rPr>
          <w:rFonts w:ascii="Times New Roman" w:hAnsi="Times New Roman" w:cs="Times New Roman"/>
          <w:sz w:val="28"/>
          <w:szCs w:val="28"/>
          <w:lang w:val="en-US"/>
        </w:rPr>
        <w:t>of the Company's counterparties;</w:t>
      </w:r>
    </w:p>
    <w:p w14:paraId="339406DD" w14:textId="05449AE2" w:rsidR="00A116EB" w:rsidRPr="00A116EB"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t>-</w:t>
      </w:r>
      <w:r w:rsidR="00A116EB" w:rsidRPr="00A116EB">
        <w:rPr>
          <w:rFonts w:ascii="Times New Roman" w:hAnsi="Times New Roman" w:cs="Times New Roman"/>
          <w:sz w:val="28"/>
          <w:szCs w:val="28"/>
          <w:lang w:val="en-US"/>
        </w:rPr>
        <w:t xml:space="preserve"> Amendments to the Regulations on the Compliance Service of the Company, job description of the head of the Co</w:t>
      </w:r>
      <w:r>
        <w:rPr>
          <w:rFonts w:ascii="Times New Roman" w:hAnsi="Times New Roman" w:cs="Times New Roman"/>
          <w:sz w:val="28"/>
          <w:szCs w:val="28"/>
          <w:lang w:val="en-US"/>
        </w:rPr>
        <w:t>mpliance Service of the Company;</w:t>
      </w:r>
    </w:p>
    <w:p w14:paraId="26CEA411" w14:textId="7D4DFA04" w:rsidR="001F2D30" w:rsidRDefault="0060476C" w:rsidP="00A116EB">
      <w:pPr>
        <w:spacing w:after="0" w:line="240" w:lineRule="auto"/>
        <w:ind w:firstLine="567"/>
        <w:jc w:val="both"/>
        <w:rPr>
          <w:rFonts w:ascii="Times New Roman" w:hAnsi="Times New Roman" w:cs="Times New Roman"/>
          <w:sz w:val="28"/>
          <w:szCs w:val="28"/>
          <w:lang w:val="en-US"/>
        </w:rPr>
      </w:pPr>
      <w:r w:rsidRPr="0060476C">
        <w:rPr>
          <w:rFonts w:ascii="Times New Roman" w:hAnsi="Times New Roman" w:cs="Times New Roman"/>
          <w:sz w:val="28"/>
          <w:szCs w:val="28"/>
          <w:lang w:val="en-US"/>
        </w:rPr>
        <w:lastRenderedPageBreak/>
        <w:t>-</w:t>
      </w:r>
      <w:r w:rsidR="00A116EB" w:rsidRPr="00A116EB">
        <w:rPr>
          <w:rFonts w:ascii="Times New Roman" w:hAnsi="Times New Roman" w:cs="Times New Roman"/>
          <w:sz w:val="28"/>
          <w:szCs w:val="28"/>
          <w:lang w:val="en-US"/>
        </w:rPr>
        <w:t xml:space="preserve"> Approval of the report on the self-assessment of the </w:t>
      </w:r>
      <w:r w:rsidR="004A2912">
        <w:rPr>
          <w:rFonts w:ascii="Times New Roman" w:hAnsi="Times New Roman" w:cs="Times New Roman"/>
          <w:sz w:val="28"/>
          <w:szCs w:val="28"/>
          <w:lang w:val="en-US"/>
        </w:rPr>
        <w:t>performance</w:t>
      </w:r>
      <w:r w:rsidR="00A116EB" w:rsidRPr="00A116EB">
        <w:rPr>
          <w:rFonts w:ascii="Times New Roman" w:hAnsi="Times New Roman" w:cs="Times New Roman"/>
          <w:sz w:val="28"/>
          <w:szCs w:val="28"/>
          <w:lang w:val="en-US"/>
        </w:rPr>
        <w:t xml:space="preserve"> of the Board of Directors, its Committees, Chairman, members of the Board of Directors, and the corporate secretary of the Company </w:t>
      </w:r>
      <w:r w:rsidR="004A2912">
        <w:rPr>
          <w:rFonts w:ascii="Times New Roman" w:hAnsi="Times New Roman" w:cs="Times New Roman"/>
          <w:sz w:val="28"/>
          <w:szCs w:val="28"/>
          <w:lang w:val="en-US"/>
        </w:rPr>
        <w:t>based on</w:t>
      </w:r>
      <w:r w:rsidR="009032BF">
        <w:rPr>
          <w:rFonts w:ascii="Times New Roman" w:hAnsi="Times New Roman" w:cs="Times New Roman"/>
          <w:sz w:val="28"/>
          <w:szCs w:val="28"/>
          <w:lang w:val="en-US"/>
        </w:rPr>
        <w:t xml:space="preserve"> the results of 2023;</w:t>
      </w:r>
    </w:p>
    <w:p w14:paraId="5499E797" w14:textId="66D273FF" w:rsidR="009032BF" w:rsidRPr="009032BF" w:rsidRDefault="009032BF" w:rsidP="00A116EB">
      <w:pPr>
        <w:spacing w:after="0" w:line="240" w:lineRule="auto"/>
        <w:ind w:firstLine="567"/>
        <w:jc w:val="both"/>
        <w:rPr>
          <w:rFonts w:ascii="Times New Roman" w:hAnsi="Times New Roman" w:cs="Times New Roman"/>
          <w:sz w:val="28"/>
          <w:szCs w:val="28"/>
          <w:lang w:val="en-US"/>
        </w:rPr>
      </w:pPr>
      <w:r w:rsidRPr="00455499">
        <w:rPr>
          <w:rFonts w:ascii="Times New Roman" w:hAnsi="Times New Roman" w:cs="Times New Roman"/>
          <w:sz w:val="28"/>
          <w:szCs w:val="28"/>
          <w:lang w:val="en-US"/>
        </w:rPr>
        <w:t>- The appointment of members to “CCGT Turkestan” LLP Supervisory Board and the early termination of powers of a member of “CCGT Turkestan” LLP Supervisory Board.</w:t>
      </w:r>
    </w:p>
    <w:p w14:paraId="7057E43B" w14:textId="76DBAF9B" w:rsidR="00A116EB" w:rsidRPr="00A116EB" w:rsidRDefault="00A116EB" w:rsidP="00A116EB">
      <w:pPr>
        <w:spacing w:after="0" w:line="240" w:lineRule="auto"/>
        <w:ind w:firstLine="567"/>
        <w:jc w:val="both"/>
        <w:rPr>
          <w:rFonts w:ascii="Times New Roman" w:hAnsi="Times New Roman" w:cs="Times New Roman"/>
          <w:sz w:val="28"/>
          <w:szCs w:val="28"/>
          <w:lang w:val="en-US"/>
        </w:rPr>
      </w:pPr>
      <w:bookmarkStart w:id="0" w:name="_GoBack"/>
      <w:bookmarkEnd w:id="0"/>
    </w:p>
    <w:p w14:paraId="696FC1BA" w14:textId="77777777" w:rsidR="00A116EB" w:rsidRPr="006B1FE5" w:rsidRDefault="00A116EB" w:rsidP="00A116EB">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b/>
          <w:sz w:val="28"/>
          <w:szCs w:val="28"/>
          <w:lang w:val="en-US" w:eastAsia="ru-RU"/>
        </w:rPr>
        <w:t xml:space="preserve">The following members of the Board of Directors </w:t>
      </w:r>
      <w:r>
        <w:rPr>
          <w:rFonts w:ascii="Times New Roman" w:eastAsia="Times New Roman" w:hAnsi="Times New Roman" w:cs="Times New Roman"/>
          <w:b/>
          <w:sz w:val="28"/>
          <w:szCs w:val="28"/>
          <w:lang w:val="en-US" w:eastAsia="ru-RU"/>
        </w:rPr>
        <w:t>attended</w:t>
      </w:r>
      <w:r w:rsidRPr="006B1FE5">
        <w:rPr>
          <w:rFonts w:ascii="Times New Roman" w:eastAsia="Times New Roman" w:hAnsi="Times New Roman" w:cs="Times New Roman"/>
          <w:b/>
          <w:sz w:val="28"/>
          <w:szCs w:val="28"/>
          <w:lang w:val="en-US" w:eastAsia="ru-RU"/>
        </w:rPr>
        <w:t xml:space="preserve">: </w:t>
      </w:r>
    </w:p>
    <w:p w14:paraId="7F67EAB6" w14:textId="77777777" w:rsidR="00A116EB" w:rsidRPr="006B1FE5" w:rsidRDefault="00A116EB" w:rsidP="00A116EB">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b/>
          <w:sz w:val="28"/>
          <w:szCs w:val="28"/>
          <w:lang w:val="en-US" w:eastAsia="ru-RU"/>
        </w:rPr>
        <w:t xml:space="preserve">Kazutin </w:t>
      </w:r>
      <w:proofErr w:type="spellStart"/>
      <w:r w:rsidRPr="006B1FE5">
        <w:rPr>
          <w:rFonts w:ascii="Times New Roman" w:eastAsia="Times New Roman" w:hAnsi="Times New Roman" w:cs="Times New Roman"/>
          <w:b/>
          <w:sz w:val="28"/>
          <w:szCs w:val="28"/>
          <w:lang w:val="en-US" w:eastAsia="ru-RU"/>
        </w:rPr>
        <w:t>N.Yu</w:t>
      </w:r>
      <w:proofErr w:type="spellEnd"/>
      <w:r w:rsidRPr="006B1FE5">
        <w:rPr>
          <w:rFonts w:ascii="Times New Roman" w:eastAsia="Times New Roman" w:hAnsi="Times New Roman" w:cs="Times New Roman"/>
          <w:b/>
          <w:sz w:val="28"/>
          <w:szCs w:val="28"/>
          <w:lang w:val="en-US" w:eastAsia="ru-RU"/>
        </w:rPr>
        <w:t xml:space="preserve">., Ogay A.V., Moldabayev K.T., Maxutov K.B., </w:t>
      </w:r>
    </w:p>
    <w:p w14:paraId="50A4543B" w14:textId="77777777" w:rsidR="00A116EB" w:rsidRPr="006B1FE5" w:rsidRDefault="00A116EB" w:rsidP="00A116EB">
      <w:pPr>
        <w:spacing w:after="0" w:line="240" w:lineRule="auto"/>
        <w:ind w:firstLine="567"/>
        <w:jc w:val="both"/>
        <w:rPr>
          <w:rFonts w:ascii="Times New Roman" w:eastAsia="Times New Roman" w:hAnsi="Times New Roman" w:cs="Times New Roman"/>
          <w:b/>
          <w:sz w:val="28"/>
          <w:szCs w:val="28"/>
          <w:lang w:val="en-US" w:eastAsia="ru-RU"/>
        </w:rPr>
      </w:pPr>
      <w:r w:rsidRPr="006B1FE5">
        <w:rPr>
          <w:rFonts w:ascii="Times New Roman" w:eastAsia="Times New Roman" w:hAnsi="Times New Roman" w:cs="Times New Roman"/>
          <w:b/>
          <w:sz w:val="28"/>
          <w:szCs w:val="28"/>
          <w:lang w:val="en-US" w:eastAsia="ru-RU"/>
        </w:rPr>
        <w:t xml:space="preserve">Ogay V.D., Kashkinbekov A.K., Zhubayev A.S. </w:t>
      </w:r>
    </w:p>
    <w:p w14:paraId="4B404F0C" w14:textId="77777777" w:rsidR="00A116EB" w:rsidRPr="006B1FE5" w:rsidRDefault="00A116EB" w:rsidP="00A116EB">
      <w:pPr>
        <w:spacing w:after="0" w:line="240" w:lineRule="auto"/>
        <w:ind w:firstLine="567"/>
        <w:jc w:val="both"/>
        <w:rPr>
          <w:rFonts w:ascii="Times New Roman" w:eastAsia="Times New Roman" w:hAnsi="Times New Roman" w:cs="Times New Roman"/>
          <w:b/>
          <w:sz w:val="28"/>
          <w:szCs w:val="28"/>
          <w:lang w:val="en-US" w:eastAsia="ru-RU"/>
        </w:rPr>
      </w:pPr>
    </w:p>
    <w:p w14:paraId="009B85FC" w14:textId="77777777" w:rsidR="00A116EB" w:rsidRPr="00A116EB" w:rsidRDefault="00A116EB">
      <w:pPr>
        <w:rPr>
          <w:lang w:val="en-US"/>
        </w:rPr>
      </w:pPr>
    </w:p>
    <w:sectPr w:rsidR="00A116EB" w:rsidRPr="00A11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30"/>
    <w:rsid w:val="001F2D30"/>
    <w:rsid w:val="00432BF1"/>
    <w:rsid w:val="00455499"/>
    <w:rsid w:val="004A2912"/>
    <w:rsid w:val="0060476C"/>
    <w:rsid w:val="006C5D21"/>
    <w:rsid w:val="009032BF"/>
    <w:rsid w:val="00A11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2094"/>
  <w15:chartTrackingRefBased/>
  <w15:docId w15:val="{F82B46A1-81A9-43D0-98E6-4DB7E30E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7</cp:revision>
  <cp:lastPrinted>2024-05-28T10:43:00Z</cp:lastPrinted>
  <dcterms:created xsi:type="dcterms:W3CDTF">2024-05-28T10:49:00Z</dcterms:created>
  <dcterms:modified xsi:type="dcterms:W3CDTF">2024-05-31T11:43:00Z</dcterms:modified>
</cp:coreProperties>
</file>