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от </w:t>
      </w:r>
      <w:r>
        <w:rPr>
          <w:rFonts w:ascii="Times New Roman" w:hAnsi="Times New Roman" w:cs="Times New Roman"/>
          <w:b/>
          <w:sz w:val="28"/>
          <w:szCs w:val="28"/>
        </w:rPr>
        <w:t>28 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28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16FD">
        <w:rPr>
          <w:rFonts w:ascii="Times New Roman" w:hAnsi="Times New Roman" w:cs="Times New Roman"/>
          <w:sz w:val="28"/>
          <w:szCs w:val="28"/>
        </w:rPr>
        <w:t xml:space="preserve"> рассмотрении отчета об исполнении Дорожной карты по совершенствованию системы управления устойчивым развитием Общества на 2023-2024гг. </w:t>
      </w:r>
      <w:r>
        <w:rPr>
          <w:rFonts w:ascii="Times New Roman" w:hAnsi="Times New Roman" w:cs="Times New Roman"/>
          <w:sz w:val="28"/>
          <w:szCs w:val="28"/>
        </w:rPr>
        <w:t>по итогам 1 полугодия 2023 года;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Об утверждении Кадровой поли</w:t>
      </w:r>
      <w:r>
        <w:rPr>
          <w:rFonts w:ascii="Times New Roman" w:hAnsi="Times New Roman" w:cs="Times New Roman"/>
          <w:sz w:val="28"/>
          <w:szCs w:val="28"/>
        </w:rPr>
        <w:t>тики Общества на 2023-2031 годы;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Отчет о деятельности Службы внутреннего аудита О</w:t>
      </w:r>
      <w:r>
        <w:rPr>
          <w:rFonts w:ascii="Times New Roman" w:hAnsi="Times New Roman" w:cs="Times New Roman"/>
          <w:sz w:val="28"/>
          <w:szCs w:val="28"/>
        </w:rPr>
        <w:t>бщества за 2 квартал 2023 года;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Оценка эффективности деятельности Службы внутреннего аудита Общества и ее руководителя по итогам 2 квартала 2023 года. Премирование работников Службы внутреннего аудита Общества по итогам 2 </w:t>
      </w:r>
      <w:r>
        <w:rPr>
          <w:rFonts w:ascii="Times New Roman" w:hAnsi="Times New Roman" w:cs="Times New Roman"/>
          <w:sz w:val="28"/>
          <w:szCs w:val="28"/>
        </w:rPr>
        <w:t>квартала 2023 года;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Об утверждении Отчета о деятельности Омбудсмена и оценки эффективности достигнутых целей за 2 квартал 2023 года. Оценка результативности и премирование Омбудсмена</w:t>
      </w:r>
      <w:r>
        <w:rPr>
          <w:rFonts w:ascii="Times New Roman" w:hAnsi="Times New Roman" w:cs="Times New Roman"/>
          <w:sz w:val="28"/>
          <w:szCs w:val="28"/>
        </w:rPr>
        <w:t xml:space="preserve"> по итогам 2 квартала 2023 года;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Оценка деятельности Корпоративного секретаря Общества за 2 квартал 2023 года. Премирование Корпоративного секретаря Общества по итога</w:t>
      </w:r>
      <w:r>
        <w:rPr>
          <w:rFonts w:ascii="Times New Roman" w:hAnsi="Times New Roman" w:cs="Times New Roman"/>
          <w:sz w:val="28"/>
          <w:szCs w:val="28"/>
        </w:rPr>
        <w:t>м работы за 2 квартал 2023 года;</w:t>
      </w:r>
    </w:p>
    <w:p w:rsidR="00A216FD" w:rsidRP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 членов Совета директоров АО «</w:t>
      </w:r>
      <w:proofErr w:type="spellStart"/>
      <w:r w:rsidRPr="00A216FD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 w:rsidRPr="00A216FD">
        <w:rPr>
          <w:rFonts w:ascii="Times New Roman" w:hAnsi="Times New Roman" w:cs="Times New Roman"/>
          <w:sz w:val="28"/>
          <w:szCs w:val="28"/>
        </w:rPr>
        <w:t>», об избрании членов Совета директоров АО «</w:t>
      </w:r>
      <w:proofErr w:type="spellStart"/>
      <w:r w:rsidRPr="00A216FD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 w:rsidRPr="00A216FD">
        <w:rPr>
          <w:rFonts w:ascii="Times New Roman" w:hAnsi="Times New Roman" w:cs="Times New Roman"/>
          <w:sz w:val="28"/>
          <w:szCs w:val="28"/>
        </w:rPr>
        <w:t>», определении срока их полномочий, размера и условий выплаты вознаграждения и компенсации расходов членов Совета директоров за ис</w:t>
      </w:r>
      <w:r>
        <w:rPr>
          <w:rFonts w:ascii="Times New Roman" w:hAnsi="Times New Roman" w:cs="Times New Roman"/>
          <w:sz w:val="28"/>
          <w:szCs w:val="28"/>
        </w:rPr>
        <w:t>полнение ими своих обязанностей;</w:t>
      </w: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16FD">
        <w:rPr>
          <w:rFonts w:ascii="Times New Roman" w:hAnsi="Times New Roman" w:cs="Times New Roman"/>
          <w:sz w:val="28"/>
          <w:szCs w:val="28"/>
        </w:rPr>
        <w:t xml:space="preserve"> О признании утратившим силу пункта 1 решения Совета директоров Общества от 28 октября 2022 года (протокол №13/22) по четвёртому вопросу «О некоторых вопросах создаваемой юрисдикции Международного финансового центра «Астана» Qazaq Green Power PLC» в части утверждения Устава Публичной компании «Qazaq Green Power PLC».</w:t>
      </w: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Проголосовали следующие члены Совета директоров:</w:t>
      </w: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Репин А.Ю., Максутов К.Б.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Жаркешов Е.С.,</w:t>
      </w:r>
    </w:p>
    <w:p w:rsidR="00A216FD" w:rsidRDefault="00A216FD" w:rsidP="00A21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7729A" w:rsidRDefault="00D7729A"/>
    <w:sectPr w:rsidR="00D7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FD"/>
    <w:rsid w:val="00A216FD"/>
    <w:rsid w:val="00D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9EB2-55E8-4159-9CFE-0440044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6F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2023-07-20T06:38:00Z</dcterms:created>
  <dcterms:modified xsi:type="dcterms:W3CDTF">2023-07-20T06:42:00Z</dcterms:modified>
</cp:coreProperties>
</file>