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AD" w:rsidRPr="002968AD" w:rsidRDefault="002968AD" w:rsidP="002968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Самұрық-Энерго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968AD">
        <w:rPr>
          <w:rFonts w:ascii="Times New Roman" w:hAnsi="Times New Roman" w:cs="Times New Roman"/>
          <w:b/>
          <w:sz w:val="28"/>
          <w:szCs w:val="28"/>
        </w:rPr>
        <w:t xml:space="preserve"> АҚ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компаниялар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2968AD">
        <w:rPr>
          <w:rFonts w:ascii="Times New Roman" w:hAnsi="Times New Roman" w:cs="Times New Roman"/>
          <w:b/>
          <w:sz w:val="28"/>
          <w:szCs w:val="28"/>
        </w:rPr>
        <w:t xml:space="preserve"> 2023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емлекет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пайдасына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шығарған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төлемдер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</w:p>
    <w:p w:rsidR="002968AD" w:rsidRPr="002968AD" w:rsidRDefault="002968AD" w:rsidP="002968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5C4" w:rsidRPr="0019469D" w:rsidRDefault="002968AD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Кіріспе</w:t>
      </w:r>
      <w:proofErr w:type="spellEnd"/>
    </w:p>
    <w:p w:rsidR="00665EE9" w:rsidRPr="00665EE9" w:rsidRDefault="002968AD" w:rsidP="00665EE9">
      <w:pPr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Осы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есеп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«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Самұрық-Энерго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»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АҚ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-ның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Қоғам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оның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еншілес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компанияларын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қоса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алғанда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Pr="00AB72F4">
        <w:rPr>
          <w:rStyle w:val="ac"/>
          <w:rFonts w:ascii="Times New Roman" w:hAnsi="Times New Roman" w:cs="Times New Roman"/>
          <w:b w:val="0"/>
          <w:sz w:val="28"/>
          <w:szCs w:val="28"/>
        </w:rPr>
        <w:t>2023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жылы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мемлекетке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төлеген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төлемдер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ін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е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шолу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болып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табылады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және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«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Самұрық-Энерго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»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АҚ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Директорлар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кеңесінің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2024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жылғы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«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26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»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ақпан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дағы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шешімімен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бекітілген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(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№02/24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хаттама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)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«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Самұрық-Энерго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»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АҚ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-ның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2024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жылға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арналған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орнықты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даму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ын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басқару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жүйесін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жетілдіру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жөніндегі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Жол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картасына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сәйкес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әзірленді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665EE9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 </w:t>
      </w:r>
    </w:p>
    <w:p w:rsidR="006725C4" w:rsidRPr="0019469D" w:rsidRDefault="00AB72F4" w:rsidP="0019469D">
      <w:pPr>
        <w:pStyle w:val="a3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мәліметтер</w:t>
      </w:r>
    </w:p>
    <w:p w:rsidR="00071B9D" w:rsidRPr="003B38D0" w:rsidRDefault="00AB72F4" w:rsidP="0019469D">
      <w:pPr>
        <w:pStyle w:val="Basictext"/>
        <w:spacing w:before="0" w:after="24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Самұрық-Энерго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72F4">
        <w:rPr>
          <w:rFonts w:ascii="Times New Roman" w:hAnsi="Times New Roman" w:cs="Times New Roman"/>
          <w:sz w:val="28"/>
          <w:szCs w:val="28"/>
        </w:rPr>
        <w:t xml:space="preserve"> АҚ 2007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сәуірде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құрылып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, 2007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мамырда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.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Самұрық-Энерго</w:t>
      </w:r>
      <w:proofErr w:type="spellEnd"/>
      <w:r w:rsidR="005002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72F4">
        <w:rPr>
          <w:rFonts w:ascii="Times New Roman" w:hAnsi="Times New Roman" w:cs="Times New Roman"/>
          <w:sz w:val="28"/>
          <w:szCs w:val="28"/>
        </w:rPr>
        <w:t xml:space="preserve"> АҚ-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акционері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Самұрық-Қазына</w:t>
      </w:r>
      <w:proofErr w:type="spellEnd"/>
      <w:r w:rsidR="0050026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әл-ауқат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="005002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72F4">
        <w:rPr>
          <w:rFonts w:ascii="Times New Roman" w:hAnsi="Times New Roman" w:cs="Times New Roman"/>
          <w:sz w:val="28"/>
          <w:szCs w:val="28"/>
        </w:rPr>
        <w:t xml:space="preserve"> АҚ (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</w:rPr>
        <w:t>–</w:t>
      </w:r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Самұрық-Қазына</w:t>
      </w:r>
      <w:proofErr w:type="spellEnd"/>
      <w:r w:rsidR="005002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72F4">
        <w:rPr>
          <w:rFonts w:ascii="Times New Roman" w:hAnsi="Times New Roman" w:cs="Times New Roman"/>
          <w:sz w:val="28"/>
          <w:szCs w:val="28"/>
        </w:rPr>
        <w:t>)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>, о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омпанияның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100% акция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сы тиесілі</w:t>
      </w:r>
      <w:r w:rsidRPr="00AB7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Үкіметі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түпкілікті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бақылаушы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>.</w:t>
      </w:r>
    </w:p>
    <w:p w:rsidR="00071B9D" w:rsidRPr="003B38D0" w:rsidRDefault="00500265" w:rsidP="003B38D0">
      <w:pPr>
        <w:pStyle w:val="Basictext"/>
        <w:spacing w:before="0" w:after="24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00265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көмірсутектер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суды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халыққа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кәсіпорындарға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желіде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су</w:t>
      </w:r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станцияларын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өтелетін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r w:rsidR="00CF48AD" w:rsidRPr="00500265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станцияларының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кешендерін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жалға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CF48AD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компанияларды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біріктіретін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холдингтік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>.</w:t>
      </w:r>
    </w:p>
    <w:p w:rsidR="006725C4" w:rsidRPr="0019469D" w:rsidRDefault="00CF48AD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Есепті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кезең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есептің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шекарасы</w:t>
      </w:r>
      <w:proofErr w:type="spellEnd"/>
    </w:p>
    <w:p w:rsidR="00CF48AD" w:rsidRPr="00CF48AD" w:rsidRDefault="00CF48AD" w:rsidP="00CF48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r w:rsidRPr="00CF48AD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еншілес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қаралады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>.</w:t>
      </w:r>
    </w:p>
    <w:p w:rsidR="00CF48AD" w:rsidRDefault="00CF48AD" w:rsidP="00CF48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 қоса алғандағы</w:t>
      </w:r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>.</w:t>
      </w:r>
    </w:p>
    <w:p w:rsidR="00CF48AD" w:rsidRPr="003B38D0" w:rsidRDefault="00CF48AD" w:rsidP="00CF48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D0" w:rsidRPr="0019469D" w:rsidRDefault="00CF48AD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Мемлекет</w:t>
      </w:r>
      <w:proofErr w:type="spellEnd"/>
    </w:p>
    <w:p w:rsidR="003B38D0" w:rsidRPr="003B38D0" w:rsidRDefault="00CF48AD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Мемлекетке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>.</w:t>
      </w: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D0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Компани</w:t>
      </w:r>
      <w:r w:rsidR="00CF48AD">
        <w:rPr>
          <w:rFonts w:ascii="Times New Roman" w:hAnsi="Times New Roman" w:cs="Times New Roman"/>
          <w:b/>
          <w:sz w:val="28"/>
          <w:szCs w:val="28"/>
          <w:lang w:val="kk-KZ"/>
        </w:rPr>
        <w:t>ялар</w:t>
      </w:r>
    </w:p>
    <w:p w:rsidR="0019469D" w:rsidRPr="0019469D" w:rsidRDefault="00CF48AD" w:rsidP="001946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қша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аударымдары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еншілес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түсініледі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8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8"/>
        <w:gridCol w:w="6522"/>
      </w:tblGrid>
      <w:tr w:rsidR="00071B9D" w:rsidRPr="003B38D0" w:rsidTr="00983680">
        <w:tc>
          <w:tcPr>
            <w:tcW w:w="5000" w:type="pct"/>
            <w:gridSpan w:val="2"/>
          </w:tcPr>
          <w:p w:rsidR="00983680" w:rsidRPr="003B38D0" w:rsidRDefault="00983680" w:rsidP="007C2F83">
            <w:pPr>
              <w:pStyle w:val="Tabletext"/>
              <w:ind w:left="0" w:firstLine="0"/>
              <w:jc w:val="both"/>
              <w:rPr>
                <w:rFonts w:ascii="Times New Roman" w:hAnsi="Times New Roman"/>
                <w:bCs/>
                <w:i/>
                <w:iCs/>
                <w:spacing w:val="-2"/>
                <w:sz w:val="28"/>
                <w:szCs w:val="28"/>
              </w:rPr>
            </w:pP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983680" w:rsidRPr="00182270" w:rsidRDefault="00983680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«Сам</w:t>
            </w:r>
            <w:proofErr w:type="spellStart"/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ұрық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Энерго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  <w:p w:rsidR="00071B9D" w:rsidRPr="00182270" w:rsidRDefault="00071B9D" w:rsidP="00B71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Болат Нұржанов атындағы Екібастұз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МА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ЭС-1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» ЖШС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B71F4B" w:rsidRDefault="00071B9D" w:rsidP="00B71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«Алатау Жары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қ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Компаниясы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B71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Алмат</w:t>
            </w:r>
            <w:proofErr w:type="spellEnd"/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ы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станци</w:t>
            </w:r>
            <w:proofErr w:type="spellEnd"/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ялары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B71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Мойна</w:t>
            </w:r>
            <w:proofErr w:type="spellEnd"/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қ С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ЭС»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B71F4B">
            <w:pPr>
              <w:pStyle w:val="a3"/>
              <w:numPr>
                <w:ilvl w:val="0"/>
                <w:numId w:val="2"/>
              </w:numPr>
              <w:ind w:right="-342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="00B71F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Бірінші жел электр станциясы</w:t>
            </w: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</w:tr>
      <w:tr w:rsidR="00071B9D" w:rsidRPr="003B38D0" w:rsidTr="00983680">
        <w:trPr>
          <w:gridAfter w:val="1"/>
          <w:wAfter w:w="6522" w:type="dxa"/>
          <w:trHeight w:val="80"/>
        </w:trPr>
        <w:tc>
          <w:tcPr>
            <w:tcW w:w="2870" w:type="pct"/>
          </w:tcPr>
          <w:p w:rsidR="00071B9D" w:rsidRPr="00182270" w:rsidRDefault="00071B9D" w:rsidP="00B71F4B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Шардар</w:t>
            </w:r>
            <w:proofErr w:type="spellEnd"/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а 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ЭС»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  <w:trHeight w:val="431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Ereymentau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Wind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071B9D" w:rsidRPr="003B38D0" w:rsidTr="00983680">
        <w:trPr>
          <w:gridAfter w:val="1"/>
          <w:wAfter w:w="6522" w:type="dxa"/>
          <w:trHeight w:val="423"/>
        </w:trPr>
        <w:tc>
          <w:tcPr>
            <w:tcW w:w="2870" w:type="pct"/>
          </w:tcPr>
          <w:p w:rsidR="00071B9D" w:rsidRPr="00182270" w:rsidRDefault="00071B9D" w:rsidP="00B71F4B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«Б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ұқтырма 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ЭС»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B71F4B" w:rsidP="00B71F4B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Қ</w:t>
            </w:r>
            <w:proofErr w:type="spellStart"/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азгидротехэнерго</w:t>
            </w:r>
            <w:proofErr w:type="spellEnd"/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B71F4B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Алматыэнергосбыт</w:t>
            </w:r>
            <w:proofErr w:type="spellEnd"/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B71F4B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«Energy Solutions Center»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ЖШС</w:t>
            </w:r>
          </w:p>
          <w:p w:rsidR="0019469D" w:rsidRPr="00EE774D" w:rsidRDefault="001946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Samruk-Green</w:t>
            </w:r>
            <w:proofErr w:type="spellEnd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Energy</w:t>
            </w:r>
            <w:proofErr w:type="spellEnd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  <w:p w:rsidR="00EE774D" w:rsidRPr="00EE774D" w:rsidRDefault="00B71F4B" w:rsidP="00EE774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>Теплоэнергомаш</w:t>
            </w:r>
            <w:proofErr w:type="spellEnd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  <w:p w:rsidR="00841ADA" w:rsidRPr="00EE774D" w:rsidRDefault="00B71F4B" w:rsidP="00EE774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>Qazaq</w:t>
            </w:r>
            <w:proofErr w:type="spellEnd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>Green</w:t>
            </w:r>
            <w:proofErr w:type="spellEnd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PLC</w:t>
            </w:r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</w:p>
          <w:p w:rsidR="0019469D" w:rsidRPr="0019469D" w:rsidRDefault="0019469D" w:rsidP="00EE774D">
            <w:pPr>
              <w:pStyle w:val="Tabletext"/>
              <w:ind w:left="710"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946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19469D" w:rsidRPr="002F5584" w:rsidRDefault="0019469D" w:rsidP="0019469D">
            <w:pPr>
              <w:pStyle w:val="Tabletext"/>
              <w:ind w:left="144" w:hanging="86"/>
              <w:rPr>
                <w:rFonts w:cs="Arial"/>
                <w:spacing w:val="-2"/>
                <w:sz w:val="14"/>
                <w:szCs w:val="18"/>
              </w:rPr>
            </w:pPr>
          </w:p>
        </w:tc>
      </w:tr>
    </w:tbl>
    <w:p w:rsidR="006725C4" w:rsidRDefault="00B71F4B" w:rsidP="00983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Мемлекет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пайдасына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2F4">
        <w:rPr>
          <w:rFonts w:ascii="Times New Roman" w:hAnsi="Times New Roman" w:cs="Times New Roman"/>
          <w:b/>
          <w:sz w:val="28"/>
          <w:szCs w:val="28"/>
          <w:lang w:val="kk-KZ"/>
        </w:rPr>
        <w:t>төленген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аударымдар</w:t>
      </w:r>
      <w:proofErr w:type="spellEnd"/>
    </w:p>
    <w:p w:rsidR="007362F4" w:rsidRPr="007362F4" w:rsidRDefault="007362F4" w:rsidP="007362F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бюджетіне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ақшамен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төленген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салықтар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төлемдердің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сомалары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, миллион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теңгемен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бөлініп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>:</w:t>
      </w:r>
    </w:p>
    <w:p w:rsidR="007362F4" w:rsidRPr="007362F4" w:rsidRDefault="007362F4" w:rsidP="007362F4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62F4">
        <w:rPr>
          <w:rFonts w:ascii="Times New Roman" w:hAnsi="Times New Roman" w:cs="Times New Roman"/>
          <w:i/>
          <w:sz w:val="28"/>
          <w:szCs w:val="28"/>
        </w:rPr>
        <w:t>Корпоративтік</w:t>
      </w:r>
      <w:proofErr w:type="spellEnd"/>
      <w:r w:rsidRPr="007362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i/>
          <w:sz w:val="28"/>
          <w:szCs w:val="28"/>
        </w:rPr>
        <w:t>табыс</w:t>
      </w:r>
      <w:proofErr w:type="spellEnd"/>
      <w:r w:rsidRPr="007362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i/>
          <w:sz w:val="28"/>
          <w:szCs w:val="28"/>
        </w:rPr>
        <w:t>салығы</w:t>
      </w:r>
      <w:proofErr w:type="spellEnd"/>
      <w:r w:rsidRPr="007362F4">
        <w:rPr>
          <w:rFonts w:ascii="Times New Roman" w:hAnsi="Times New Roman" w:cs="Times New Roman"/>
          <w:i/>
          <w:sz w:val="28"/>
          <w:szCs w:val="28"/>
        </w:rPr>
        <w:t xml:space="preserve"> (КТС)</w:t>
      </w:r>
    </w:p>
    <w:p w:rsidR="007362F4" w:rsidRPr="007362F4" w:rsidRDefault="007362F4" w:rsidP="007362F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көзінен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ұсталатын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</w:p>
    <w:p w:rsidR="007362F4" w:rsidRDefault="007362F4" w:rsidP="007362F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Пайдалы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қазбаларды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өндіруге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салынатын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салық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700E9">
        <w:rPr>
          <w:rFonts w:ascii="Times New Roman" w:hAnsi="Times New Roman" w:cs="Times New Roman"/>
          <w:i/>
          <w:sz w:val="28"/>
          <w:szCs w:val="28"/>
          <w:lang w:val="kk-KZ"/>
        </w:rPr>
        <w:t>ПҚӨСС</w:t>
      </w:r>
      <w:r w:rsidRPr="003700E9">
        <w:rPr>
          <w:rFonts w:ascii="Times New Roman" w:hAnsi="Times New Roman" w:cs="Times New Roman"/>
          <w:i/>
          <w:sz w:val="28"/>
          <w:szCs w:val="28"/>
        </w:rPr>
        <w:t>)</w:t>
      </w:r>
      <w:r w:rsidRPr="00736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қойнауын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пайдаланушының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өндірілетін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қазбалардың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жеке-жеке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төлемі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>.</w:t>
      </w:r>
    </w:p>
    <w:p w:rsidR="00074878" w:rsidRDefault="003700E9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Басқа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салықтар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0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салынатын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тигізген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учаскелерін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радиожиілік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пайдаланғаны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құн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салығын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жарнаманы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орналастырғаны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төлемд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 алғанда</w:t>
      </w:r>
      <w:r w:rsidR="00367703">
        <w:rPr>
          <w:rFonts w:ascii="Times New Roman" w:hAnsi="Times New Roman" w:cs="Times New Roman"/>
          <w:sz w:val="28"/>
          <w:szCs w:val="28"/>
          <w:lang w:val="kk-KZ"/>
        </w:rPr>
        <w:t>ғы салықтар</w:t>
      </w:r>
      <w:r w:rsidRPr="003700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қосылған құнға салынатын салықты қоспағанда.</w:t>
      </w:r>
    </w:p>
    <w:p w:rsidR="00074878" w:rsidRDefault="00074878" w:rsidP="00074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78" w:rsidRPr="00074878" w:rsidRDefault="00074878" w:rsidP="00074878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Валюта</w:t>
      </w:r>
    </w:p>
    <w:p w:rsidR="00074878" w:rsidRDefault="00367703" w:rsidP="00074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валютасы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теңгемен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Шетел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валютасындағы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операциялар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бастапқыда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операция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қолданыл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бағам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валюта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</w:p>
    <w:p w:rsidR="00074878" w:rsidRDefault="00367703" w:rsidP="003677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03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367703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елдер</w:t>
      </w:r>
      <w:proofErr w:type="spellEnd"/>
      <w:r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  <w:r w:rsidRPr="00367703">
        <w:rPr>
          <w:rFonts w:ascii="Times New Roman" w:hAnsi="Times New Roman" w:cs="Times New Roman"/>
          <w:b/>
          <w:sz w:val="28"/>
          <w:szCs w:val="28"/>
        </w:rPr>
        <w:t xml:space="preserve"> (млн.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теңгемен</w:t>
      </w:r>
      <w:proofErr w:type="spellEnd"/>
      <w:r w:rsidRPr="0036770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1644"/>
        <w:gridCol w:w="1510"/>
        <w:gridCol w:w="1644"/>
        <w:gridCol w:w="1724"/>
      </w:tblGrid>
      <w:tr w:rsidR="0024463B" w:rsidTr="00B96632">
        <w:tc>
          <w:tcPr>
            <w:tcW w:w="2164" w:type="dxa"/>
            <w:vMerge w:val="restart"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63B" w:rsidRDefault="00367703" w:rsidP="003677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Үкімет</w:t>
            </w:r>
            <w:r w:rsidR="00244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</w:t>
            </w:r>
            <w:r w:rsidR="0024463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471" w:type="dxa"/>
            <w:gridSpan w:val="4"/>
          </w:tcPr>
          <w:p w:rsidR="0024463B" w:rsidRDefault="00367703" w:rsidP="003677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Төлем түрі</w:t>
            </w:r>
          </w:p>
        </w:tc>
      </w:tr>
      <w:tr w:rsidR="0024463B" w:rsidRPr="001D5305" w:rsidTr="00B96632">
        <w:tc>
          <w:tcPr>
            <w:tcW w:w="2164" w:type="dxa"/>
            <w:vMerge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24463B" w:rsidRPr="001D5305" w:rsidRDefault="00367703" w:rsidP="003677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КТС</w:t>
            </w:r>
          </w:p>
        </w:tc>
        <w:tc>
          <w:tcPr>
            <w:tcW w:w="1510" w:type="dxa"/>
          </w:tcPr>
          <w:p w:rsidR="0024463B" w:rsidRPr="00367703" w:rsidRDefault="00367703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ПҚӨСС</w:t>
            </w:r>
          </w:p>
        </w:tc>
        <w:tc>
          <w:tcPr>
            <w:tcW w:w="1644" w:type="dxa"/>
          </w:tcPr>
          <w:p w:rsidR="0024463B" w:rsidRPr="00367703" w:rsidRDefault="00367703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Өзге</w:t>
            </w:r>
          </w:p>
        </w:tc>
        <w:tc>
          <w:tcPr>
            <w:tcW w:w="1673" w:type="dxa"/>
          </w:tcPr>
          <w:p w:rsidR="0024463B" w:rsidRPr="00367703" w:rsidRDefault="00367703" w:rsidP="007C2F83">
            <w:pPr>
              <w:pStyle w:val="a3"/>
              <w:ind w:left="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</w:tr>
      <w:tr w:rsidR="0024463B" w:rsidTr="00B96632">
        <w:tc>
          <w:tcPr>
            <w:tcW w:w="2164" w:type="dxa"/>
          </w:tcPr>
          <w:p w:rsidR="0090255D" w:rsidRPr="001D5305" w:rsidRDefault="00367703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Қазақ</w:t>
            </w:r>
            <w:r w:rsidR="0024463B"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стан</w:t>
            </w:r>
          </w:p>
        </w:tc>
        <w:tc>
          <w:tcPr>
            <w:tcW w:w="1644" w:type="dxa"/>
          </w:tcPr>
          <w:p w:rsidR="0090255D" w:rsidRPr="00AC391D" w:rsidRDefault="00AC391D" w:rsidP="007C2F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25 721</w:t>
            </w:r>
          </w:p>
        </w:tc>
        <w:tc>
          <w:tcPr>
            <w:tcW w:w="1510" w:type="dxa"/>
          </w:tcPr>
          <w:p w:rsidR="0090255D" w:rsidRPr="00AC391D" w:rsidRDefault="0037209B" w:rsidP="00AC3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AC39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44" w:type="dxa"/>
          </w:tcPr>
          <w:p w:rsidR="0090255D" w:rsidRPr="00AC391D" w:rsidRDefault="00ED50A5" w:rsidP="00E35F6D">
            <w:pPr>
              <w:pStyle w:val="a3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13 654</w:t>
            </w:r>
          </w:p>
        </w:tc>
        <w:tc>
          <w:tcPr>
            <w:tcW w:w="1673" w:type="dxa"/>
          </w:tcPr>
          <w:p w:rsidR="0090255D" w:rsidRPr="00AC391D" w:rsidRDefault="00ED50A5" w:rsidP="00E35F6D">
            <w:pPr>
              <w:ind w:left="360" w:right="3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39 432</w:t>
            </w:r>
          </w:p>
        </w:tc>
      </w:tr>
    </w:tbl>
    <w:p w:rsidR="0024463B" w:rsidRDefault="0024463B" w:rsidP="0024463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63B" w:rsidRDefault="00367703" w:rsidP="003677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03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367703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компаниялар</w:t>
      </w:r>
      <w:proofErr w:type="spellEnd"/>
      <w:r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  <w:r w:rsidRPr="00367703">
        <w:rPr>
          <w:rFonts w:ascii="Times New Roman" w:hAnsi="Times New Roman" w:cs="Times New Roman"/>
          <w:b/>
          <w:sz w:val="28"/>
          <w:szCs w:val="28"/>
        </w:rPr>
        <w:t xml:space="preserve"> (млн. </w:t>
      </w:r>
      <w:proofErr w:type="spellStart"/>
      <w:r w:rsidRPr="00367703">
        <w:rPr>
          <w:rFonts w:ascii="Times New Roman" w:hAnsi="Times New Roman" w:cs="Times New Roman"/>
          <w:b/>
          <w:sz w:val="28"/>
          <w:szCs w:val="28"/>
        </w:rPr>
        <w:t>теңгемен</w:t>
      </w:r>
      <w:proofErr w:type="spellEnd"/>
      <w:r w:rsidRPr="00367703">
        <w:rPr>
          <w:rFonts w:ascii="Times New Roman" w:hAnsi="Times New Roman" w:cs="Times New Roman"/>
          <w:b/>
          <w:sz w:val="28"/>
          <w:szCs w:val="28"/>
        </w:rPr>
        <w:t>)</w:t>
      </w:r>
      <w:r w:rsidR="0024463B" w:rsidRPr="0024463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82" w:type="dxa"/>
        <w:jc w:val="center"/>
        <w:tblLook w:val="04A0" w:firstRow="1" w:lastRow="0" w:firstColumn="1" w:lastColumn="0" w:noHBand="0" w:noVBand="1"/>
      </w:tblPr>
      <w:tblGrid>
        <w:gridCol w:w="3620"/>
        <w:gridCol w:w="1538"/>
        <w:gridCol w:w="1260"/>
        <w:gridCol w:w="1458"/>
        <w:gridCol w:w="1506"/>
      </w:tblGrid>
      <w:tr w:rsidR="00757D9C" w:rsidRPr="00757D9C" w:rsidTr="00EA1511">
        <w:trPr>
          <w:trHeight w:val="309"/>
          <w:jc w:val="center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367703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Төлем түрі</w:t>
            </w:r>
          </w:p>
        </w:tc>
      </w:tr>
      <w:tr w:rsidR="00757D9C" w:rsidRPr="00757D9C" w:rsidTr="00EA1511">
        <w:trPr>
          <w:trHeight w:val="309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367703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КТС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7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ПҚӨСС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367703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Өзге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367703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Барлығы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367703" w:rsidRDefault="0037209B" w:rsidP="0036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«Сам</w:t>
            </w:r>
            <w:r w:rsidR="003677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ұрық</w:t>
            </w: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Энерго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="003677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 xml:space="preserve"> АҚ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DD486A" w:rsidRDefault="00DD486A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070260" w:rsidP="00ED50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5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070260" w:rsidP="00ED50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283B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ED5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367703" w:rsidRDefault="00367703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Болат Нұржанов атындағы Екібастұз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МА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ЭС-1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14 344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E35F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21 680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67703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«Алатау Жары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қ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Компаниясы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DD48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</w:t>
            </w:r>
            <w:r w:rsidR="00DD4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283B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4 218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67703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Алмат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ы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станци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ялары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1 741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37209B" w:rsidP="0007026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4 276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67703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Мойна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қ С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2 482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3 032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67703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Бірінші жел электр станциясы</w:t>
            </w: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1 092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070260" w:rsidP="00ED50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="00ED50A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67703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Шардар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а 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ЭС»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37209B" w:rsidRPr="00757D9C" w:rsidTr="00EA1511">
        <w:trPr>
          <w:trHeight w:val="258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67703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Ereymentau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Wind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070260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37209B"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67703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«Б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ұқтырма 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ЭС»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3 807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67703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Қ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азгидротехэнерго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A1511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A1511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67703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Алматыэнергосбыт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A1511" w:rsidRDefault="00EA1511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A1511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A1511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1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AB31D5" w:rsidRDefault="00AB31D5" w:rsidP="00AB31D5">
            <w:pPr>
              <w:pStyle w:val="Tabletex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1D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«Energy Solutions Center»</w:t>
            </w:r>
            <w:r w:rsidRPr="00AB31D5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A1511" w:rsidRDefault="00EA1511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AB31D5" w:rsidRDefault="00AB31D5" w:rsidP="00AB31D5">
            <w:pPr>
              <w:pStyle w:val="Tabletex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spellStart"/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>Samruk-Green</w:t>
            </w:r>
            <w:proofErr w:type="spellEnd"/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>Energy</w:t>
            </w:r>
            <w:proofErr w:type="spellEnd"/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AB31D5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EA1511" w:rsidRPr="00757D9C" w:rsidTr="00EA1511">
        <w:trPr>
          <w:trHeight w:val="113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511" w:rsidRPr="00FB7CB2" w:rsidRDefault="00EA1511" w:rsidP="00E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Qazaq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Green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Power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PLC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511" w:rsidRPr="00FB7CB2" w:rsidRDefault="00EA1511" w:rsidP="00EA15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511" w:rsidRPr="00FB7CB2" w:rsidRDefault="00EA1511" w:rsidP="00EA15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A1511" w:rsidRPr="00EA1511" w:rsidRDefault="00EA1511" w:rsidP="00EA151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A1511" w:rsidRPr="00EA1511" w:rsidRDefault="00EA1511" w:rsidP="00EA15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</w:tr>
      <w:tr w:rsidR="0037209B" w:rsidRPr="00757D9C" w:rsidTr="00EA1511">
        <w:trPr>
          <w:trHeight w:val="113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E774D" w:rsidRDefault="00AB31D5" w:rsidP="0037209B">
            <w:pPr>
              <w:pStyle w:val="Tabletex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Теплоэнергомаш</w:t>
            </w:r>
            <w:proofErr w:type="spellEnd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E774D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7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E774D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7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E774D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BA43E1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7209B" w:rsidRPr="00757D9C" w:rsidTr="00EA1511">
        <w:trPr>
          <w:trHeight w:val="250"/>
          <w:jc w:val="center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AB31D5" w:rsidP="00AB3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EA1511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25 721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EA15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15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D50A5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13 654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D50A5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39 432</w:t>
            </w:r>
            <w:r w:rsidR="00EA1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</w:tbl>
    <w:p w:rsidR="0024463B" w:rsidRPr="00B96632" w:rsidRDefault="0024463B" w:rsidP="00372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463B" w:rsidRPr="00B9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E85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ED32CF"/>
    <w:multiLevelType w:val="hybridMultilevel"/>
    <w:tmpl w:val="C3DA167E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783333"/>
    <w:multiLevelType w:val="hybridMultilevel"/>
    <w:tmpl w:val="7174D81A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56"/>
    <w:rsid w:val="000253CC"/>
    <w:rsid w:val="00070260"/>
    <w:rsid w:val="00071B9D"/>
    <w:rsid w:val="00074878"/>
    <w:rsid w:val="00097B02"/>
    <w:rsid w:val="00124DB0"/>
    <w:rsid w:val="00182270"/>
    <w:rsid w:val="0019469D"/>
    <w:rsid w:val="001D5305"/>
    <w:rsid w:val="0024217C"/>
    <w:rsid w:val="0024463B"/>
    <w:rsid w:val="00283B80"/>
    <w:rsid w:val="0028445A"/>
    <w:rsid w:val="002968AD"/>
    <w:rsid w:val="002A783E"/>
    <w:rsid w:val="00324840"/>
    <w:rsid w:val="00367703"/>
    <w:rsid w:val="003700E9"/>
    <w:rsid w:val="0037209B"/>
    <w:rsid w:val="003B38D0"/>
    <w:rsid w:val="00500265"/>
    <w:rsid w:val="00502193"/>
    <w:rsid w:val="00577B11"/>
    <w:rsid w:val="00665EE9"/>
    <w:rsid w:val="006725C4"/>
    <w:rsid w:val="007362F4"/>
    <w:rsid w:val="00757D9C"/>
    <w:rsid w:val="007C2F83"/>
    <w:rsid w:val="00841ADA"/>
    <w:rsid w:val="00870377"/>
    <w:rsid w:val="008A0BE4"/>
    <w:rsid w:val="0090255D"/>
    <w:rsid w:val="00920F6E"/>
    <w:rsid w:val="009236F0"/>
    <w:rsid w:val="00937026"/>
    <w:rsid w:val="009515F0"/>
    <w:rsid w:val="00983680"/>
    <w:rsid w:val="00A340A5"/>
    <w:rsid w:val="00A865DE"/>
    <w:rsid w:val="00AA4E8E"/>
    <w:rsid w:val="00AB31D5"/>
    <w:rsid w:val="00AB72F4"/>
    <w:rsid w:val="00AC391D"/>
    <w:rsid w:val="00AC5659"/>
    <w:rsid w:val="00AD6C49"/>
    <w:rsid w:val="00AE08AB"/>
    <w:rsid w:val="00AF6D88"/>
    <w:rsid w:val="00B71F4B"/>
    <w:rsid w:val="00B82E56"/>
    <w:rsid w:val="00B96632"/>
    <w:rsid w:val="00BA43E1"/>
    <w:rsid w:val="00C33ABF"/>
    <w:rsid w:val="00C92DF4"/>
    <w:rsid w:val="00CC305B"/>
    <w:rsid w:val="00CF48AD"/>
    <w:rsid w:val="00DA2347"/>
    <w:rsid w:val="00DD486A"/>
    <w:rsid w:val="00E139E3"/>
    <w:rsid w:val="00E35F6D"/>
    <w:rsid w:val="00EA1511"/>
    <w:rsid w:val="00ED50A5"/>
    <w:rsid w:val="00EE774D"/>
    <w:rsid w:val="00EF45C0"/>
    <w:rsid w:val="00F32AB9"/>
    <w:rsid w:val="00F74590"/>
    <w:rsid w:val="00FB7CB2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048A-1054-4590-970B-06C822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77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Мунтинова Асель</dc:creator>
  <cp:keywords/>
  <dc:description/>
  <cp:lastModifiedBy>Боранбаева Динара</cp:lastModifiedBy>
  <cp:revision>2</cp:revision>
  <cp:lastPrinted>2023-05-04T10:13:00Z</cp:lastPrinted>
  <dcterms:created xsi:type="dcterms:W3CDTF">2024-03-14T05:45:00Z</dcterms:created>
  <dcterms:modified xsi:type="dcterms:W3CDTF">2024-03-14T05:45:00Z</dcterms:modified>
</cp:coreProperties>
</file>