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C3143" w:rsidRPr="00AE2893" w:rsidP="00AE2893" w14:paraId="32EC9E1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C3143" w:rsidRPr="00AE2893" w:rsidP="00AE2893" w14:paraId="3A7AB89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110874F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289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75078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AE2893" w:rsidP="00AE2893" w14:paraId="0C7AED3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62EBECA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0FE315B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15C5E7A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6454AC0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1F58C23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2B1F95D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75C52FF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28CE6AD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11E60FB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AE2893" w:rsidP="00AE2893" w14:paraId="41F626F1" w14:textId="777777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893">
        <w:rPr>
          <w:rFonts w:ascii="Times New Roman" w:hAnsi="Times New Roman" w:cs="Times New Roman"/>
          <w:b/>
          <w:sz w:val="28"/>
        </w:rPr>
        <w:t>А</w:t>
      </w:r>
      <w:r w:rsidRPr="00AE2893" w:rsidR="004A4030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:rsidR="00C16BDD" w:rsidRPr="00AE2893" w:rsidP="00AE2893" w14:paraId="1B40B342" w14:textId="777777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0E3" w:rsidRPr="00AE2893" w:rsidP="00AE2893" w14:paraId="1C29BE4D" w14:textId="777777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893">
        <w:rPr>
          <w:rFonts w:ascii="Times New Roman" w:hAnsi="Times New Roman" w:cs="Times New Roman"/>
          <w:b/>
          <w:sz w:val="28"/>
        </w:rPr>
        <w:t>АПРЕЛЬ</w:t>
      </w:r>
      <w:r w:rsidRPr="00AE2893">
        <w:rPr>
          <w:rFonts w:ascii="Times New Roman" w:hAnsi="Times New Roman" w:cs="Times New Roman"/>
          <w:b/>
          <w:sz w:val="28"/>
        </w:rPr>
        <w:t xml:space="preserve"> 20</w:t>
      </w:r>
      <w:r w:rsidRPr="00AE2893" w:rsidR="004A4030">
        <w:rPr>
          <w:rFonts w:ascii="Times New Roman" w:hAnsi="Times New Roman" w:cs="Times New Roman"/>
          <w:b/>
          <w:sz w:val="28"/>
        </w:rPr>
        <w:t>22</w:t>
      </w:r>
      <w:r w:rsidRPr="00AE2893">
        <w:rPr>
          <w:rFonts w:ascii="Times New Roman" w:hAnsi="Times New Roman" w:cs="Times New Roman"/>
          <w:b/>
          <w:sz w:val="28"/>
        </w:rPr>
        <w:t xml:space="preserve"> ГОДА</w:t>
      </w:r>
    </w:p>
    <w:p w:rsidR="00F770E3" w:rsidRPr="00AE2893" w:rsidP="00AE2893" w14:paraId="087642DA" w14:textId="777777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0E3" w:rsidRPr="00AE2893" w:rsidP="00AE2893" w14:paraId="3BEF657C" w14:textId="777777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6BDD" w:rsidRPr="00AE2893" w:rsidP="00AE2893" w14:paraId="6A151A0A" w14:textId="777777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0E3" w:rsidRPr="00AE2893" w:rsidP="00AE2893" w14:paraId="4694E339" w14:textId="777777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58DDE9A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5458C33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6C460D3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5676CB7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2668095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003C280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1ED855F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6C66616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2EB4C7D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AE2893" w:rsidP="00AE2893" w14:paraId="6863B8A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54AFE34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21F87" w:rsidRPr="00AE2893" w:rsidP="00AE2893" w14:paraId="7AAF7B0D" w14:textId="77777777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AE2893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AE2893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Pr="00AE2893" w:rsidR="00FD3C15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AE2893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:rsidR="00721F87" w:rsidRPr="00AE2893" w:rsidP="00AE2893" w14:paraId="39109483" w14:textId="77777777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AE2893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AE2893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AE2893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Pr="00AE2893" w:rsidR="00AB24CD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69-23-39 </w:t>
      </w:r>
    </w:p>
    <w:p w:rsidR="000C3143" w:rsidRPr="00AE2893" w:rsidP="00AE2893" w14:paraId="4C1E49E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44761" w:rsidRPr="00AE2893" w:rsidP="00AE2893" w14:paraId="41069E8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35FC78E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AE2893" w:rsidP="00AE2893" w14:paraId="31B8452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AE2893" w:rsidP="00AE2893" w14:paraId="0541212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AE2893" w:rsidP="00AE2893" w14:paraId="2EA20CB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AE2893" w:rsidP="00AE2893" w14:paraId="19CFAF9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AE2893" w:rsidP="00AE2893" w14:paraId="4F90E4A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AE2893" w:rsidP="00AE2893" w14:paraId="04A1244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2893">
        <w:rPr>
          <w:rFonts w:ascii="Times New Roman" w:hAnsi="Times New Roman" w:cs="Times New Roman"/>
          <w:b/>
          <w:sz w:val="28"/>
        </w:rPr>
        <w:t>Май</w:t>
      </w:r>
      <w:r w:rsidRPr="00AE2893" w:rsidR="004774E8">
        <w:rPr>
          <w:rFonts w:ascii="Times New Roman" w:hAnsi="Times New Roman" w:cs="Times New Roman"/>
          <w:b/>
          <w:sz w:val="28"/>
        </w:rPr>
        <w:t xml:space="preserve"> 20</w:t>
      </w:r>
      <w:r w:rsidRPr="00AE2893" w:rsidR="004041A3">
        <w:rPr>
          <w:rFonts w:ascii="Times New Roman" w:hAnsi="Times New Roman" w:cs="Times New Roman"/>
          <w:b/>
          <w:sz w:val="28"/>
        </w:rPr>
        <w:t>2</w:t>
      </w:r>
      <w:r w:rsidRPr="00AE2893" w:rsidR="00B305B6">
        <w:rPr>
          <w:rFonts w:ascii="Times New Roman" w:hAnsi="Times New Roman" w:cs="Times New Roman"/>
          <w:b/>
          <w:sz w:val="28"/>
        </w:rPr>
        <w:t>2</w:t>
      </w:r>
      <w:r w:rsidRPr="00AE2893" w:rsidR="00721F87">
        <w:rPr>
          <w:rFonts w:ascii="Times New Roman" w:hAnsi="Times New Roman" w:cs="Times New Roman"/>
          <w:b/>
          <w:sz w:val="28"/>
        </w:rPr>
        <w:t xml:space="preserve"> </w:t>
      </w:r>
      <w:r w:rsidRPr="00AE2893">
        <w:rPr>
          <w:rFonts w:ascii="Times New Roman" w:hAnsi="Times New Roman" w:cs="Times New Roman"/>
          <w:b/>
          <w:sz w:val="28"/>
        </w:rPr>
        <w:t>г</w:t>
      </w:r>
      <w:r w:rsidRPr="00AE2893" w:rsidR="00721F87">
        <w:rPr>
          <w:rFonts w:ascii="Times New Roman" w:hAnsi="Times New Roman" w:cs="Times New Roman"/>
          <w:b/>
          <w:sz w:val="28"/>
        </w:rPr>
        <w:t>ода</w:t>
      </w:r>
    </w:p>
    <w:p w:rsidR="00182B57" w:rsidRPr="00AE2893" w:rsidP="00AE2893" w14:paraId="34FA6FF2" w14:textId="7777777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E2893">
        <w:rPr>
          <w:rFonts w:ascii="Times New Roman" w:hAnsi="Times New Roman" w:cs="Times New Roman"/>
          <w:b/>
          <w:sz w:val="28"/>
        </w:rPr>
        <w:br w:type="page"/>
      </w:r>
    </w:p>
    <w:p w:rsidR="00182B57" w:rsidRPr="00AE2893" w:rsidP="00AE2893" w14:paraId="06A565D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C462A" w:rsidRPr="00AE2893" w:rsidP="00AE2893" w14:paraId="123FC0A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eastAsiaTheme="minorHAnsi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:rsidR="00545712" w:rsidRPr="00AE2893" w:rsidP="00AE2893" w14:paraId="32CF2D60" w14:textId="77777777">
          <w:pPr>
            <w:pStyle w:val="TOCHeading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AE289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E2893" w:rsidRPr="00AE2893" w:rsidP="00AE2893" w14:paraId="46370713" w14:textId="77777777">
          <w:pPr>
            <w:pStyle w:val="TOC1"/>
            <w:rPr>
              <w:sz w:val="22"/>
              <w:szCs w:val="22"/>
              <w:lang w:eastAsia="ru-RU"/>
            </w:rPr>
          </w:pPr>
          <w:r w:rsidRPr="00AE2893">
            <w:rPr>
              <w:noProof w:val="0"/>
            </w:rPr>
            <w:fldChar w:fldCharType="begin"/>
          </w:r>
          <w:r w:rsidRPr="00AE2893">
            <w:rPr>
              <w:noProof w:val="0"/>
            </w:rPr>
            <w:instrText xml:space="preserve"> TOC \o "1-3" \h \z \u </w:instrText>
          </w:r>
          <w:r w:rsidRPr="00AE2893">
            <w:rPr>
              <w:noProof w:val="0"/>
            </w:rPr>
            <w:fldChar w:fldCharType="separate"/>
          </w:r>
          <w:hyperlink w:anchor="_Toc104388597" w:history="1">
            <w:r w:rsidRPr="00AE2893">
              <w:rPr>
                <w:rStyle w:val="Hyperlink"/>
                <w:b/>
              </w:rPr>
              <w:t>1.</w:t>
            </w:r>
            <w:r w:rsidRPr="00AE2893">
              <w:rPr>
                <w:sz w:val="22"/>
                <w:szCs w:val="22"/>
                <w:lang w:eastAsia="ru-RU"/>
              </w:rPr>
              <w:tab/>
            </w:r>
            <w:r w:rsidRPr="00AE2893">
              <w:rPr>
                <w:rStyle w:val="Hyperlink"/>
                <w:b/>
              </w:rPr>
              <w:t>Производство электрической энергии в ЕЭС Казахстана</w:t>
            </w:r>
            <w:r w:rsidRPr="00AE2893">
              <w:rPr>
                <w:webHidden/>
              </w:rPr>
              <w:tab/>
            </w:r>
            <w:r w:rsidRPr="00AE2893">
              <w:rPr>
                <w:webHidden/>
              </w:rPr>
              <w:fldChar w:fldCharType="begin"/>
            </w:r>
            <w:r w:rsidRPr="00AE2893">
              <w:rPr>
                <w:webHidden/>
              </w:rPr>
              <w:instrText xml:space="preserve"> PAGEREF _Toc104388597 \h </w:instrText>
            </w:r>
            <w:r w:rsidRPr="00AE2893">
              <w:rPr>
                <w:webHidden/>
              </w:rPr>
              <w:fldChar w:fldCharType="separate"/>
            </w:r>
            <w:r w:rsidRPr="00AE2893">
              <w:rPr>
                <w:webHidden/>
              </w:rPr>
              <w:t>3</w:t>
            </w:r>
            <w:r w:rsidRPr="00AE2893">
              <w:rPr>
                <w:webHidden/>
              </w:rPr>
              <w:fldChar w:fldCharType="end"/>
            </w:r>
          </w:hyperlink>
        </w:p>
        <w:p w:rsidR="00AE2893" w:rsidRPr="00AE2893" w:rsidP="00AE2893" w14:paraId="481735A6" w14:textId="77777777">
          <w:pPr>
            <w:pStyle w:val="TOC1"/>
            <w:rPr>
              <w:sz w:val="22"/>
              <w:szCs w:val="22"/>
              <w:lang w:eastAsia="ru-RU"/>
            </w:rPr>
          </w:pPr>
          <w:hyperlink w:anchor="_Toc104388598" w:history="1">
            <w:r w:rsidRPr="00AE2893">
              <w:rPr>
                <w:rStyle w:val="Hyperlink"/>
                <w:i/>
              </w:rPr>
              <w:t>1.1 Производство электроэнергии по областям РК</w:t>
            </w:r>
            <w:r w:rsidRPr="00AE2893">
              <w:rPr>
                <w:webHidden/>
              </w:rPr>
              <w:tab/>
            </w:r>
            <w:r w:rsidRPr="00AE2893">
              <w:rPr>
                <w:webHidden/>
              </w:rPr>
              <w:fldChar w:fldCharType="begin"/>
            </w:r>
            <w:r w:rsidRPr="00AE2893">
              <w:rPr>
                <w:webHidden/>
              </w:rPr>
              <w:instrText xml:space="preserve"> PAGEREF _Toc104388598 \h </w:instrText>
            </w:r>
            <w:r w:rsidRPr="00AE2893">
              <w:rPr>
                <w:webHidden/>
              </w:rPr>
              <w:fldChar w:fldCharType="separate"/>
            </w:r>
            <w:r w:rsidRPr="00AE2893">
              <w:rPr>
                <w:webHidden/>
              </w:rPr>
              <w:t>3</w:t>
            </w:r>
            <w:r w:rsidRPr="00AE2893">
              <w:rPr>
                <w:webHidden/>
              </w:rPr>
              <w:fldChar w:fldCharType="end"/>
            </w:r>
          </w:hyperlink>
        </w:p>
        <w:p w:rsidR="00AE2893" w:rsidRPr="00AE2893" w:rsidP="00AE2893" w14:paraId="3D7201AA" w14:textId="7C3C5EE1">
          <w:pPr>
            <w:pStyle w:val="TOC1"/>
            <w:rPr>
              <w:sz w:val="22"/>
              <w:szCs w:val="22"/>
              <w:lang w:eastAsia="ru-RU"/>
            </w:rPr>
          </w:pPr>
          <w:hyperlink w:anchor="_Toc104388599" w:history="1">
            <w:r w:rsidRPr="00AE2893">
              <w:rPr>
                <w:rStyle w:val="Hyperlink"/>
                <w:i/>
              </w:rPr>
              <w:t>1</w:t>
            </w:r>
            <w:r>
              <w:rPr>
                <w:rStyle w:val="Hyperlink"/>
                <w:i/>
              </w:rPr>
              <w:t>.2 Производство электроэнергии</w:t>
            </w:r>
            <w:r w:rsidRPr="00AE2893">
              <w:rPr>
                <w:rStyle w:val="Hyperlink"/>
                <w:i/>
              </w:rPr>
              <w:t xml:space="preserve"> энергопроизводящими организациями</w:t>
            </w:r>
          </w:hyperlink>
        </w:p>
        <w:p w:rsidR="00AE2893" w:rsidRPr="009A3DA3" w:rsidP="00AE2893" w14:paraId="59B6A0DC" w14:textId="4DA4EC78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00" w:history="1">
            <w:r w:rsidRPr="00AE2893">
              <w:rPr>
                <w:rStyle w:val="Hyperlink"/>
                <w:i/>
              </w:rPr>
              <w:t>АО «Самрук-Энерго»</w:t>
            </w:r>
            <w:r w:rsidRPr="00AE2893">
              <w:rPr>
                <w:webHidden/>
              </w:rPr>
              <w:tab/>
            </w:r>
          </w:hyperlink>
          <w:r w:rsidR="009A3DA3">
            <w:rPr>
              <w:lang w:val="en-US"/>
            </w:rPr>
            <w:t>5</w:t>
          </w:r>
        </w:p>
        <w:p w:rsidR="00AE2893" w:rsidRPr="009A3DA3" w:rsidP="00AE2893" w14:paraId="4E460A69" w14:textId="26DA4E9B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01" w:history="1">
            <w:r>
              <w:rPr>
                <w:rStyle w:val="Hyperlink"/>
                <w:i/>
              </w:rPr>
              <w:t>1.3</w:t>
            </w:r>
            <w:r w:rsidRPr="00AE2893">
              <w:rPr>
                <w:rStyle w:val="Hyperlink"/>
                <w:i/>
              </w:rPr>
              <w:t xml:space="preserve"> Доли энергохолдингов и крупных энергопроизводящих организаций</w:t>
            </w:r>
            <w:r w:rsidRPr="00AE2893">
              <w:rPr>
                <w:webHidden/>
              </w:rPr>
              <w:tab/>
            </w:r>
          </w:hyperlink>
          <w:r w:rsidR="009A3DA3">
            <w:rPr>
              <w:lang w:val="en-US"/>
            </w:rPr>
            <w:t>5</w:t>
          </w:r>
        </w:p>
        <w:p w:rsidR="00AE2893" w:rsidRPr="009A3DA3" w:rsidP="00AE2893" w14:paraId="700A4CF6" w14:textId="4AEBA250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02" w:history="1">
            <w:r w:rsidRPr="008A1BD0">
              <w:rPr>
                <w:rStyle w:val="Hyperlink"/>
                <w:b/>
              </w:rPr>
              <w:t>2.</w:t>
            </w:r>
            <w:r w:rsidRPr="008A1BD0">
              <w:rPr>
                <w:sz w:val="22"/>
                <w:szCs w:val="22"/>
                <w:lang w:eastAsia="ru-RU"/>
              </w:rPr>
              <w:tab/>
            </w:r>
            <w:r w:rsidRPr="008A1BD0">
              <w:rPr>
                <w:rStyle w:val="Hyperlink"/>
                <w:b/>
              </w:rPr>
              <w:t>Потребление электрической энергии в ЕЭС Казахстана</w:t>
            </w:r>
            <w:r w:rsidRPr="008A1BD0">
              <w:rPr>
                <w:webHidden/>
              </w:rPr>
              <w:tab/>
            </w:r>
          </w:hyperlink>
          <w:r w:rsidR="009A3DA3">
            <w:rPr>
              <w:lang w:val="en-US"/>
            </w:rPr>
            <w:t>6</w:t>
          </w:r>
        </w:p>
        <w:p w:rsidR="00AE2893" w:rsidRPr="009A3DA3" w:rsidP="00AE2893" w14:paraId="56376C02" w14:textId="110CFE5E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03" w:history="1">
            <w:r w:rsidRPr="008A1BD0">
              <w:rPr>
                <w:rStyle w:val="Hyperlink"/>
                <w:i/>
              </w:rPr>
              <w:t>2.1 Потребление электрической энергии по зонам и областям</w:t>
            </w:r>
            <w:r w:rsidRPr="008A1BD0">
              <w:rPr>
                <w:webHidden/>
              </w:rPr>
              <w:tab/>
            </w:r>
          </w:hyperlink>
          <w:r w:rsidR="009A3DA3">
            <w:rPr>
              <w:lang w:val="en-US"/>
            </w:rPr>
            <w:t>7</w:t>
          </w:r>
        </w:p>
        <w:p w:rsidR="00AE2893" w:rsidRPr="009A3DA3" w:rsidP="00AE2893" w14:paraId="27375F45" w14:textId="10657D48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04" w:history="1">
            <w:r w:rsidRPr="008A1BD0">
              <w:rPr>
                <w:rStyle w:val="Hyperlink"/>
                <w:i/>
              </w:rPr>
              <w:t>2.2 Потребление электроэнергии потребителями энергохолдингов и крупных энергопроизводящих организаций</w:t>
            </w:r>
            <w:r w:rsidRPr="008A1BD0">
              <w:rPr>
                <w:webHidden/>
              </w:rPr>
              <w:tab/>
            </w:r>
          </w:hyperlink>
          <w:r w:rsidR="009A3DA3">
            <w:rPr>
              <w:lang w:val="en-US"/>
            </w:rPr>
            <w:t>8</w:t>
          </w:r>
        </w:p>
        <w:p w:rsidR="00AE2893" w:rsidRPr="009A3DA3" w:rsidP="00AE2893" w14:paraId="7C2F19D6" w14:textId="47A79674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08" w:history="1">
            <w:r w:rsidRPr="008A1BD0">
              <w:rPr>
                <w:rStyle w:val="Hyperlink"/>
                <w:rFonts w:eastAsiaTheme="majorEastAsia"/>
                <w:i/>
              </w:rPr>
              <w:t>2.3</w:t>
            </w:r>
            <w:r w:rsidRPr="008A1BD0">
              <w:rPr>
                <w:sz w:val="22"/>
                <w:szCs w:val="22"/>
                <w:lang w:eastAsia="ru-RU"/>
              </w:rPr>
              <w:tab/>
            </w:r>
            <w:r w:rsidRPr="008A1BD0">
              <w:rPr>
                <w:rStyle w:val="Hyperlink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Pr="008A1BD0">
              <w:rPr>
                <w:webHidden/>
              </w:rPr>
              <w:tab/>
            </w:r>
          </w:hyperlink>
          <w:r w:rsidR="009A3DA3">
            <w:rPr>
              <w:lang w:val="en-US"/>
            </w:rPr>
            <w:t>9</w:t>
          </w:r>
        </w:p>
        <w:p w:rsidR="00AE2893" w:rsidRPr="009A3DA3" w:rsidP="00AE2893" w14:paraId="35FF315C" w14:textId="19EBAD5E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09" w:history="1">
            <w:r w:rsidRPr="008A1BD0">
              <w:rPr>
                <w:rStyle w:val="Hyperlink"/>
                <w:i/>
              </w:rPr>
              <w:t>2.</w:t>
            </w:r>
            <w:r w:rsidRPr="008A1BD0">
              <w:rPr>
                <w:rStyle w:val="Hyperlink"/>
                <w:i/>
              </w:rPr>
              <w:t>4</w:t>
            </w:r>
            <w:r w:rsidRPr="008A1BD0">
              <w:rPr>
                <w:sz w:val="22"/>
                <w:szCs w:val="22"/>
                <w:lang w:eastAsia="ru-RU"/>
              </w:rPr>
              <w:tab/>
            </w:r>
            <w:r w:rsidRPr="008A1BD0">
              <w:rPr>
                <w:rStyle w:val="Hyperlink"/>
                <w:i/>
              </w:rPr>
              <w:t>Экспорт-импорт электрической энергии</w:t>
            </w:r>
            <w:r w:rsidRPr="008A1BD0">
              <w:rPr>
                <w:webHidden/>
              </w:rPr>
              <w:tab/>
            </w:r>
            <w:r w:rsidRPr="008A1BD0">
              <w:rPr>
                <w:webHidden/>
              </w:rPr>
              <w:fldChar w:fldCharType="begin"/>
            </w:r>
            <w:r w:rsidRPr="008A1BD0">
              <w:rPr>
                <w:webHidden/>
              </w:rPr>
              <w:instrText xml:space="preserve"> PAGEREF _Toc104388609 \h </w:instrText>
            </w:r>
            <w:r w:rsidRPr="008A1BD0">
              <w:rPr>
                <w:webHidden/>
              </w:rPr>
              <w:fldChar w:fldCharType="separate"/>
            </w:r>
            <w:r w:rsidRPr="008A1BD0">
              <w:rPr>
                <w:webHidden/>
              </w:rPr>
              <w:t>1</w:t>
            </w:r>
            <w:r w:rsidRPr="008A1BD0">
              <w:rPr>
                <w:webHidden/>
              </w:rPr>
              <w:fldChar w:fldCharType="end"/>
            </w:r>
          </w:hyperlink>
          <w:r w:rsidR="009A3DA3">
            <w:rPr>
              <w:lang w:val="en-US"/>
            </w:rPr>
            <w:t>0</w:t>
          </w:r>
        </w:p>
        <w:p w:rsidR="00AE2893" w:rsidRPr="009A3DA3" w:rsidP="00AE2893" w14:paraId="057C08F8" w14:textId="0080E2CE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13" w:history="1">
            <w:r w:rsidR="008A1BD0">
              <w:rPr>
                <w:rStyle w:val="Hyperlink"/>
                <w:b/>
              </w:rPr>
              <w:t>3</w:t>
            </w:r>
            <w:r w:rsidRPr="00AE2893">
              <w:rPr>
                <w:rStyle w:val="Hyperlink"/>
                <w:b/>
              </w:rPr>
              <w:t>.</w:t>
            </w:r>
            <w:r w:rsidRPr="00AE2893">
              <w:rPr>
                <w:sz w:val="22"/>
                <w:szCs w:val="22"/>
                <w:lang w:eastAsia="ru-RU"/>
              </w:rPr>
              <w:tab/>
            </w:r>
            <w:r w:rsidRPr="00AE2893">
              <w:rPr>
                <w:rStyle w:val="Hyperlink"/>
                <w:b/>
              </w:rPr>
              <w:t>Уголь</w:t>
            </w:r>
            <w:r w:rsidRPr="00AE2893">
              <w:rPr>
                <w:webHidden/>
              </w:rPr>
              <w:tab/>
            </w:r>
            <w:r w:rsidRPr="00AE2893">
              <w:rPr>
                <w:webHidden/>
              </w:rPr>
              <w:fldChar w:fldCharType="begin"/>
            </w:r>
            <w:r w:rsidRPr="00AE2893">
              <w:rPr>
                <w:webHidden/>
              </w:rPr>
              <w:instrText xml:space="preserve"> PAGEREF _Toc104388613 \h </w:instrText>
            </w:r>
            <w:r w:rsidRPr="00AE2893">
              <w:rPr>
                <w:webHidden/>
              </w:rPr>
              <w:fldChar w:fldCharType="separate"/>
            </w:r>
            <w:r w:rsidRPr="00AE2893">
              <w:rPr>
                <w:webHidden/>
              </w:rPr>
              <w:t>1</w:t>
            </w:r>
            <w:r w:rsidRPr="00AE2893">
              <w:rPr>
                <w:webHidden/>
              </w:rPr>
              <w:fldChar w:fldCharType="end"/>
            </w:r>
          </w:hyperlink>
          <w:r w:rsidR="009A3DA3">
            <w:rPr>
              <w:lang w:val="en-US"/>
            </w:rPr>
            <w:t>1</w:t>
          </w:r>
        </w:p>
        <w:p w:rsidR="00AE2893" w:rsidRPr="009A3DA3" w:rsidP="00AE2893" w14:paraId="0270BDC8" w14:textId="38E4E2EA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14" w:history="1">
            <w:r w:rsidR="008A1BD0">
              <w:rPr>
                <w:rStyle w:val="Hyperlink"/>
                <w:b/>
              </w:rPr>
              <w:t>4</w:t>
            </w:r>
            <w:r w:rsidRPr="00AE2893">
              <w:rPr>
                <w:rStyle w:val="Hyperlink"/>
                <w:b/>
              </w:rPr>
              <w:t>.</w:t>
            </w:r>
            <w:r w:rsidRPr="00AE2893">
              <w:rPr>
                <w:sz w:val="22"/>
                <w:szCs w:val="22"/>
                <w:lang w:eastAsia="ru-RU"/>
              </w:rPr>
              <w:tab/>
            </w:r>
            <w:r w:rsidRPr="00AE2893">
              <w:rPr>
                <w:rStyle w:val="Hyperlink"/>
                <w:b/>
              </w:rPr>
              <w:t>Возобновляемые источники энергии</w:t>
            </w:r>
            <w:r w:rsidRPr="00AE2893">
              <w:rPr>
                <w:webHidden/>
              </w:rPr>
              <w:tab/>
            </w:r>
            <w:r w:rsidRPr="00AE2893">
              <w:rPr>
                <w:webHidden/>
              </w:rPr>
              <w:fldChar w:fldCharType="begin"/>
            </w:r>
            <w:r w:rsidRPr="00AE2893">
              <w:rPr>
                <w:webHidden/>
              </w:rPr>
              <w:instrText xml:space="preserve"> PAGEREF _Toc104388614 \h </w:instrText>
            </w:r>
            <w:r w:rsidRPr="00AE2893">
              <w:rPr>
                <w:webHidden/>
              </w:rPr>
              <w:fldChar w:fldCharType="separate"/>
            </w:r>
            <w:r w:rsidRPr="00AE2893">
              <w:rPr>
                <w:webHidden/>
              </w:rPr>
              <w:t>1</w:t>
            </w:r>
            <w:r w:rsidRPr="00AE2893">
              <w:rPr>
                <w:webHidden/>
              </w:rPr>
              <w:fldChar w:fldCharType="end"/>
            </w:r>
          </w:hyperlink>
          <w:r w:rsidR="009A3DA3">
            <w:rPr>
              <w:lang w:val="en-US"/>
            </w:rPr>
            <w:t>2</w:t>
          </w:r>
        </w:p>
        <w:p w:rsidR="00AE2893" w:rsidRPr="009A3DA3" w:rsidP="00AE2893" w14:paraId="3A2D5129" w14:textId="2A46201D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15" w:history="1">
            <w:r w:rsidR="009A3DA3">
              <w:rPr>
                <w:rStyle w:val="Hyperlink"/>
                <w:i/>
                <w:lang w:val="en-US"/>
              </w:rPr>
              <w:t>4</w:t>
            </w:r>
            <w:r w:rsidRPr="00AE2893">
              <w:rPr>
                <w:rStyle w:val="Hyperlink"/>
                <w:i/>
              </w:rPr>
              <w:t>.1</w:t>
            </w:r>
            <w:r w:rsidRPr="00AE2893">
              <w:rPr>
                <w:sz w:val="22"/>
                <w:szCs w:val="22"/>
                <w:lang w:eastAsia="ru-RU"/>
              </w:rPr>
              <w:tab/>
            </w:r>
            <w:r w:rsidRPr="00AE2893">
              <w:rPr>
                <w:rStyle w:val="Hyperlink"/>
                <w:i/>
              </w:rPr>
              <w:t>Показатели ВИЭ в РК</w:t>
            </w:r>
            <w:r w:rsidRPr="00AE2893">
              <w:rPr>
                <w:webHidden/>
              </w:rPr>
              <w:tab/>
            </w:r>
            <w:r w:rsidRPr="00AE2893">
              <w:rPr>
                <w:webHidden/>
              </w:rPr>
              <w:fldChar w:fldCharType="begin"/>
            </w:r>
            <w:r w:rsidRPr="00AE2893">
              <w:rPr>
                <w:webHidden/>
              </w:rPr>
              <w:instrText xml:space="preserve"> PAGEREF _Toc104388615 \h </w:instrText>
            </w:r>
            <w:r w:rsidRPr="00AE2893">
              <w:rPr>
                <w:webHidden/>
              </w:rPr>
              <w:fldChar w:fldCharType="separate"/>
            </w:r>
            <w:r w:rsidRPr="00AE2893">
              <w:rPr>
                <w:webHidden/>
              </w:rPr>
              <w:t>1</w:t>
            </w:r>
            <w:r w:rsidRPr="00AE2893">
              <w:rPr>
                <w:webHidden/>
              </w:rPr>
              <w:fldChar w:fldCharType="end"/>
            </w:r>
          </w:hyperlink>
          <w:r w:rsidR="009A3DA3">
            <w:rPr>
              <w:lang w:val="en-US"/>
            </w:rPr>
            <w:t>2</w:t>
          </w:r>
        </w:p>
        <w:p w:rsidR="00AE2893" w:rsidRPr="009A3DA3" w:rsidP="00AE2893" w14:paraId="778F71E0" w14:textId="74B5885F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16" w:history="1">
            <w:r w:rsidR="009A3DA3">
              <w:rPr>
                <w:rStyle w:val="Hyperlink"/>
                <w:i/>
                <w:lang w:val="en-US"/>
              </w:rPr>
              <w:t>4</w:t>
            </w:r>
            <w:r w:rsidRPr="00AE2893">
              <w:rPr>
                <w:rStyle w:val="Hyperlink"/>
                <w:i/>
              </w:rPr>
              <w:t>.2</w:t>
            </w:r>
            <w:r w:rsidRPr="00AE2893">
              <w:rPr>
                <w:sz w:val="22"/>
                <w:szCs w:val="22"/>
                <w:lang w:eastAsia="ru-RU"/>
              </w:rPr>
              <w:tab/>
            </w:r>
            <w:r w:rsidRPr="00AE2893">
              <w:rPr>
                <w:rStyle w:val="Hyperlink"/>
                <w:i/>
              </w:rPr>
              <w:t>Тариф на поддержку ВИЭ</w:t>
            </w:r>
            <w:r w:rsidRPr="00AE2893">
              <w:rPr>
                <w:webHidden/>
              </w:rPr>
              <w:tab/>
            </w:r>
            <w:r w:rsidRPr="00AE2893">
              <w:rPr>
                <w:webHidden/>
              </w:rPr>
              <w:fldChar w:fldCharType="begin"/>
            </w:r>
            <w:r w:rsidRPr="00AE2893">
              <w:rPr>
                <w:webHidden/>
              </w:rPr>
              <w:instrText xml:space="preserve"> PAGEREF _Toc104388616 \h </w:instrText>
            </w:r>
            <w:r w:rsidRPr="00AE2893">
              <w:rPr>
                <w:webHidden/>
              </w:rPr>
              <w:fldChar w:fldCharType="separate"/>
            </w:r>
            <w:r w:rsidRPr="00AE2893">
              <w:rPr>
                <w:webHidden/>
              </w:rPr>
              <w:t>1</w:t>
            </w:r>
            <w:r w:rsidRPr="00AE2893">
              <w:rPr>
                <w:webHidden/>
              </w:rPr>
              <w:fldChar w:fldCharType="end"/>
            </w:r>
          </w:hyperlink>
          <w:r w:rsidR="009A3DA3">
            <w:rPr>
              <w:lang w:val="en-US"/>
            </w:rPr>
            <w:t>3</w:t>
          </w:r>
        </w:p>
        <w:p w:rsidR="00AE2893" w:rsidRPr="009A3DA3" w:rsidP="00AE2893" w14:paraId="68937BBA" w14:textId="51995849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20" w:history="1">
            <w:r w:rsidR="009A3DA3">
              <w:rPr>
                <w:rStyle w:val="Hyperlink"/>
                <w:b/>
                <w:lang w:val="en-US"/>
              </w:rPr>
              <w:t>5</w:t>
            </w:r>
            <w:r w:rsidRPr="00AE2893">
              <w:rPr>
                <w:rStyle w:val="Hyperlink"/>
                <w:b/>
              </w:rPr>
              <w:t>.</w:t>
            </w:r>
            <w:r w:rsidRPr="00AE2893">
              <w:rPr>
                <w:sz w:val="22"/>
                <w:szCs w:val="22"/>
                <w:lang w:eastAsia="ru-RU"/>
              </w:rPr>
              <w:tab/>
            </w:r>
            <w:r w:rsidRPr="00AE2893">
              <w:rPr>
                <w:rStyle w:val="Hyperlink"/>
                <w:b/>
              </w:rPr>
              <w:t>Международное отношения</w:t>
            </w:r>
            <w:r w:rsidRPr="00AE2893">
              <w:rPr>
                <w:webHidden/>
              </w:rPr>
              <w:tab/>
            </w:r>
          </w:hyperlink>
          <w:r w:rsidR="009A3DA3">
            <w:rPr>
              <w:lang w:val="en-US"/>
            </w:rPr>
            <w:t>13</w:t>
          </w:r>
        </w:p>
        <w:p w:rsidR="00AE2893" w:rsidRPr="009A3DA3" w:rsidP="00AE2893" w14:paraId="7CFE869A" w14:textId="5662C560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21" w:history="1">
            <w:r w:rsidR="009A3DA3">
              <w:rPr>
                <w:rStyle w:val="Hyperlink"/>
                <w:i/>
                <w:lang w:val="en-US"/>
              </w:rPr>
              <w:t>5</w:t>
            </w:r>
            <w:r w:rsidRPr="00AE2893">
              <w:rPr>
                <w:rStyle w:val="Hyperlink"/>
                <w:i/>
              </w:rPr>
              <w:t>.1</w:t>
            </w:r>
            <w:r w:rsidRPr="00AE2893">
              <w:rPr>
                <w:sz w:val="22"/>
                <w:szCs w:val="22"/>
                <w:lang w:eastAsia="ru-RU"/>
              </w:rPr>
              <w:tab/>
            </w:r>
            <w:r w:rsidRPr="00AE2893">
              <w:rPr>
                <w:rStyle w:val="Hyperlink"/>
                <w:i/>
              </w:rPr>
              <w:t>Статус формирования Общего электроэнергетического рынка Евразийского экономического союза</w:t>
            </w:r>
            <w:r w:rsidRPr="00AE2893">
              <w:rPr>
                <w:webHidden/>
              </w:rPr>
              <w:tab/>
            </w:r>
          </w:hyperlink>
          <w:r w:rsidR="009A3DA3">
            <w:rPr>
              <w:lang w:val="en-US"/>
            </w:rPr>
            <w:t>13</w:t>
          </w:r>
        </w:p>
        <w:p w:rsidR="00AE2893" w:rsidRPr="009A3DA3" w:rsidP="00AE2893" w14:paraId="4B7EC1B3" w14:textId="3DBEDF19">
          <w:pPr>
            <w:pStyle w:val="TOC1"/>
            <w:rPr>
              <w:sz w:val="22"/>
              <w:szCs w:val="22"/>
              <w:lang w:val="en-US" w:eastAsia="ru-RU"/>
            </w:rPr>
          </w:pPr>
          <w:hyperlink w:anchor="_Toc104388622" w:history="1">
            <w:r w:rsidR="009A3DA3">
              <w:rPr>
                <w:rStyle w:val="Hyperlink"/>
                <w:rFonts w:eastAsia="Times New Roman"/>
                <w:i/>
                <w:lang w:val="en-US"/>
              </w:rPr>
              <w:t>5</w:t>
            </w:r>
            <w:r w:rsidRPr="00AE2893">
              <w:rPr>
                <w:rStyle w:val="Hyperlink"/>
                <w:rFonts w:eastAsia="Times New Roman"/>
                <w:i/>
              </w:rPr>
              <w:t>.2</w:t>
            </w:r>
            <w:r w:rsidRPr="00AE2893">
              <w:rPr>
                <w:sz w:val="22"/>
                <w:szCs w:val="22"/>
                <w:lang w:eastAsia="ru-RU"/>
              </w:rPr>
              <w:tab/>
            </w:r>
            <w:r w:rsidRPr="00AE2893">
              <w:rPr>
                <w:rStyle w:val="Hyperlink"/>
                <w:i/>
              </w:rPr>
              <w:t>Обзор СМИ в странах СНГ</w:t>
            </w:r>
            <w:r w:rsidRPr="00AE2893">
              <w:rPr>
                <w:webHidden/>
              </w:rPr>
              <w:tab/>
            </w:r>
          </w:hyperlink>
          <w:r w:rsidR="009A3DA3">
            <w:rPr>
              <w:lang w:val="en-US"/>
            </w:rPr>
            <w:t>15</w:t>
          </w:r>
          <w:bookmarkStart w:id="0" w:name="_GoBack"/>
          <w:bookmarkEnd w:id="0"/>
        </w:p>
        <w:p w:rsidR="006265C7" w:rsidRPr="00AE2893" w:rsidP="00AE2893" w14:paraId="4067A634" w14:textId="77777777">
          <w:pPr>
            <w:pStyle w:val="TOC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AE2893">
            <w:rPr>
              <w:noProof w:val="0"/>
            </w:rPr>
            <w:fldChar w:fldCharType="end"/>
          </w:r>
        </w:p>
      </w:sdtContent>
    </w:sdt>
    <w:p w:rsidR="005D1AE3" w:rsidRPr="00AE2893" w:rsidP="00AE2893" w14:paraId="635FF0EE" w14:textId="77777777">
      <w:pPr>
        <w:pStyle w:val="Heading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:rsidR="00AC3F34" w:rsidRPr="00AE2893" w:rsidP="00AE2893" w14:paraId="72AAC4B5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7E8E" w:rsidRPr="00AE2893" w:rsidP="00AE2893" w14:paraId="1C494353" w14:textId="77777777">
      <w:pPr>
        <w:spacing w:after="0" w:line="240" w:lineRule="auto"/>
        <w:rPr>
          <w:rFonts w:ascii="Times New Roman" w:hAnsi="Times New Roman" w:cs="Times New Roman"/>
        </w:rPr>
      </w:pPr>
      <w:r w:rsidRPr="00AE2893">
        <w:rPr>
          <w:rFonts w:ascii="Times New Roman" w:hAnsi="Times New Roman" w:cs="Times New Roman"/>
        </w:rPr>
        <w:br w:type="page"/>
      </w:r>
    </w:p>
    <w:p w:rsidR="00EE65F8" w:rsidRPr="00AE2893" w:rsidP="00AE2893" w14:paraId="41A88C76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876" w:rsidRPr="00AE2893" w:rsidP="00AE2893" w14:paraId="7A216561" w14:textId="77777777">
      <w:pPr>
        <w:pStyle w:val="Heading1"/>
        <w:numPr>
          <w:ilvl w:val="0"/>
          <w:numId w:val="2"/>
        </w:numPr>
        <w:tabs>
          <w:tab w:val="left" w:pos="426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4388597"/>
      <w:r w:rsidRPr="00AE2893">
        <w:rPr>
          <w:rFonts w:ascii="Times New Roman" w:hAnsi="Times New Roman" w:cs="Times New Roman"/>
          <w:b/>
          <w:color w:val="auto"/>
          <w:sz w:val="28"/>
          <w:szCs w:val="28"/>
        </w:rPr>
        <w:t>Производство электрической энергии в ЕЭС Казахстана</w:t>
      </w:r>
      <w:bookmarkEnd w:id="1"/>
    </w:p>
    <w:p w:rsidR="00F31222" w:rsidRPr="00AE2893" w:rsidP="00AE2893" w14:paraId="6E3B2442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030" w:rsidRPr="00AE2893" w:rsidP="00AE2893" w14:paraId="6DEAF91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</w:t>
      </w:r>
      <w:r w:rsidRPr="008A1BD0" w:rsidR="007F1AC1">
        <w:rPr>
          <w:rFonts w:ascii="Times New Roman" w:hAnsi="Times New Roman" w:cs="Times New Roman"/>
          <w:sz w:val="28"/>
        </w:rPr>
        <w:t>январе-</w:t>
      </w:r>
      <w:r w:rsidRPr="008A1BD0" w:rsidR="00DF6C13">
        <w:rPr>
          <w:rFonts w:ascii="Times New Roman" w:hAnsi="Times New Roman" w:cs="Times New Roman"/>
          <w:sz w:val="28"/>
        </w:rPr>
        <w:t>апреле</w:t>
      </w:r>
      <w:r w:rsidRPr="008A1BD0" w:rsidR="007F1AC1">
        <w:rPr>
          <w:rFonts w:ascii="Times New Roman" w:hAnsi="Times New Roman" w:cs="Times New Roman"/>
          <w:sz w:val="28"/>
        </w:rPr>
        <w:br/>
      </w:r>
      <w:r w:rsidRPr="008A1BD0">
        <w:rPr>
          <w:rFonts w:ascii="Times New Roman" w:hAnsi="Times New Roman" w:cs="Times New Roman"/>
          <w:sz w:val="28"/>
        </w:rPr>
        <w:t>202</w:t>
      </w:r>
      <w:r w:rsidRPr="008A1BD0" w:rsidR="00A404F1">
        <w:rPr>
          <w:rFonts w:ascii="Times New Roman" w:hAnsi="Times New Roman" w:cs="Times New Roman"/>
          <w:sz w:val="28"/>
        </w:rPr>
        <w:t>2</w:t>
      </w:r>
      <w:r w:rsidRPr="008A1BD0">
        <w:rPr>
          <w:rFonts w:ascii="Times New Roman" w:hAnsi="Times New Roman" w:cs="Times New Roman"/>
          <w:sz w:val="28"/>
        </w:rPr>
        <w:t xml:space="preserve"> года было выработано </w:t>
      </w:r>
      <w:r w:rsidRPr="008A1BD0" w:rsidR="00DF6C13">
        <w:rPr>
          <w:rFonts w:ascii="Times New Roman" w:hAnsi="Times New Roman" w:cs="Times New Roman"/>
          <w:sz w:val="28"/>
        </w:rPr>
        <w:t>39 533,5</w:t>
      </w:r>
      <w:r w:rsidRPr="008A1BD0" w:rsidR="00234085">
        <w:rPr>
          <w:rFonts w:ascii="Times New Roman" w:hAnsi="Times New Roman" w:cs="Times New Roman"/>
          <w:sz w:val="28"/>
        </w:rPr>
        <w:t xml:space="preserve"> </w:t>
      </w:r>
      <w:r w:rsidRPr="008A1BD0">
        <w:rPr>
          <w:rFonts w:ascii="Times New Roman" w:hAnsi="Times New Roman" w:cs="Times New Roman"/>
          <w:sz w:val="28"/>
        </w:rPr>
        <w:t xml:space="preserve">млн. </w:t>
      </w:r>
      <w:r w:rsidRPr="008A1BD0">
        <w:rPr>
          <w:rFonts w:ascii="Times New Roman" w:hAnsi="Times New Roman" w:cs="Times New Roman"/>
          <w:sz w:val="28"/>
        </w:rPr>
        <w:t>кВтч</w:t>
      </w:r>
      <w:r w:rsidRPr="008A1BD0">
        <w:rPr>
          <w:rFonts w:ascii="Times New Roman" w:hAnsi="Times New Roman" w:cs="Times New Roman"/>
          <w:sz w:val="28"/>
        </w:rPr>
        <w:t xml:space="preserve"> электроэнергии, что на </w:t>
      </w:r>
      <w:r w:rsidRPr="008A1BD0" w:rsidR="00DF6C13">
        <w:rPr>
          <w:rFonts w:ascii="Times New Roman" w:hAnsi="Times New Roman" w:cs="Times New Roman"/>
          <w:sz w:val="28"/>
        </w:rPr>
        <w:t>502,8</w:t>
      </w:r>
      <w:r w:rsidRPr="008A1BD0" w:rsidR="00514FE9">
        <w:rPr>
          <w:rFonts w:ascii="Times New Roman" w:hAnsi="Times New Roman" w:cs="Times New Roman"/>
          <w:sz w:val="28"/>
        </w:rPr>
        <w:t xml:space="preserve"> млн. </w:t>
      </w:r>
      <w:r w:rsidRPr="008A1BD0" w:rsidR="00514FE9">
        <w:rPr>
          <w:rFonts w:ascii="Times New Roman" w:hAnsi="Times New Roman" w:cs="Times New Roman"/>
          <w:sz w:val="28"/>
        </w:rPr>
        <w:t>кВтч</w:t>
      </w:r>
      <w:r w:rsidRPr="008A1BD0" w:rsidR="00514FE9">
        <w:rPr>
          <w:rFonts w:ascii="Times New Roman" w:hAnsi="Times New Roman" w:cs="Times New Roman"/>
          <w:sz w:val="28"/>
        </w:rPr>
        <w:t xml:space="preserve"> или на </w:t>
      </w:r>
      <w:r w:rsidRPr="008A1BD0" w:rsidR="00DF6C13">
        <w:rPr>
          <w:rFonts w:ascii="Times New Roman" w:hAnsi="Times New Roman" w:cs="Times New Roman"/>
          <w:sz w:val="28"/>
        </w:rPr>
        <w:t>1,3</w:t>
      </w:r>
      <w:r w:rsidRPr="008A1BD0">
        <w:rPr>
          <w:rFonts w:ascii="Times New Roman" w:hAnsi="Times New Roman" w:cs="Times New Roman"/>
          <w:sz w:val="28"/>
        </w:rPr>
        <w:t xml:space="preserve">% </w:t>
      </w:r>
      <w:r w:rsidRPr="008A1BD0" w:rsidR="00DF6C13">
        <w:rPr>
          <w:rFonts w:ascii="Times New Roman" w:hAnsi="Times New Roman" w:cs="Times New Roman"/>
          <w:sz w:val="28"/>
        </w:rPr>
        <w:t>меньше</w:t>
      </w:r>
      <w:r w:rsidRPr="008A1BD0" w:rsidR="00A404F1">
        <w:rPr>
          <w:rFonts w:ascii="Times New Roman" w:hAnsi="Times New Roman" w:cs="Times New Roman"/>
          <w:sz w:val="28"/>
        </w:rPr>
        <w:t xml:space="preserve"> аналогичного периода 2021</w:t>
      </w:r>
      <w:r w:rsidRPr="008A1BD0">
        <w:rPr>
          <w:rFonts w:ascii="Times New Roman" w:hAnsi="Times New Roman" w:cs="Times New Roman"/>
          <w:sz w:val="28"/>
        </w:rPr>
        <w:t xml:space="preserve"> года. </w:t>
      </w:r>
      <w:r w:rsidRPr="008A1BD0" w:rsidR="008124C9">
        <w:rPr>
          <w:rFonts w:ascii="Times New Roman" w:hAnsi="Times New Roman" w:cs="Times New Roman"/>
          <w:sz w:val="28"/>
        </w:rPr>
        <w:t>У</w:t>
      </w:r>
      <w:r w:rsidRPr="008A1BD0" w:rsidR="00DF6C13">
        <w:rPr>
          <w:rFonts w:ascii="Times New Roman" w:hAnsi="Times New Roman" w:cs="Times New Roman"/>
          <w:sz w:val="28"/>
        </w:rPr>
        <w:t>меньшение</w:t>
      </w:r>
      <w:r w:rsidRPr="008A1BD0">
        <w:rPr>
          <w:rFonts w:ascii="Times New Roman" w:hAnsi="Times New Roman" w:cs="Times New Roman"/>
          <w:sz w:val="28"/>
        </w:rPr>
        <w:t xml:space="preserve"> выработки наблюдалось</w:t>
      </w:r>
      <w:r w:rsidRPr="008A1BD0" w:rsidR="00000C10">
        <w:rPr>
          <w:rFonts w:ascii="Times New Roman" w:hAnsi="Times New Roman" w:cs="Times New Roman"/>
          <w:sz w:val="28"/>
        </w:rPr>
        <w:t xml:space="preserve"> </w:t>
      </w:r>
      <w:r w:rsidRPr="008A1BD0" w:rsidR="008124C9">
        <w:rPr>
          <w:rFonts w:ascii="Times New Roman" w:hAnsi="Times New Roman" w:cs="Times New Roman"/>
          <w:sz w:val="28"/>
        </w:rPr>
        <w:t xml:space="preserve">по </w:t>
      </w:r>
      <w:r w:rsidRPr="008A1BD0" w:rsidR="00DF6C13">
        <w:rPr>
          <w:rFonts w:ascii="Times New Roman" w:hAnsi="Times New Roman" w:cs="Times New Roman"/>
          <w:sz w:val="28"/>
        </w:rPr>
        <w:t>Северной</w:t>
      </w:r>
      <w:r w:rsidRPr="008A1BD0" w:rsidR="008124C9">
        <w:rPr>
          <w:rFonts w:ascii="Times New Roman" w:hAnsi="Times New Roman" w:cs="Times New Roman"/>
          <w:sz w:val="28"/>
        </w:rPr>
        <w:t xml:space="preserve"> зоне </w:t>
      </w:r>
      <w:r w:rsidRPr="008A1BD0" w:rsidR="00C12640">
        <w:rPr>
          <w:rFonts w:ascii="Times New Roman" w:hAnsi="Times New Roman" w:cs="Times New Roman"/>
          <w:sz w:val="28"/>
        </w:rPr>
        <w:t>ЕЭС Казахстана.</w:t>
      </w:r>
      <w:r w:rsidRPr="00AE2893" w:rsidR="00BA276A">
        <w:rPr>
          <w:rFonts w:ascii="Times New Roman" w:hAnsi="Times New Roman" w:cs="Times New Roman"/>
          <w:sz w:val="28"/>
        </w:rPr>
        <w:t xml:space="preserve"> </w:t>
      </w:r>
    </w:p>
    <w:p w:rsidR="00794336" w:rsidRPr="00AE2893" w:rsidP="00AE2893" w14:paraId="6A624CE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05F73" w:rsidRPr="00AE2893" w:rsidP="00AE2893" w14:paraId="582D35A0" w14:textId="777777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E2893">
        <w:rPr>
          <w:rFonts w:ascii="Times New Roman" w:hAnsi="Times New Roman" w:cs="Times New Roman"/>
          <w:i/>
          <w:sz w:val="24"/>
        </w:rPr>
        <w:t xml:space="preserve">млн. </w:t>
      </w:r>
      <w:r w:rsidRPr="00AE2893">
        <w:rPr>
          <w:rFonts w:ascii="Times New Roman" w:hAnsi="Times New Roman" w:cs="Times New Roman"/>
          <w:i/>
          <w:sz w:val="24"/>
        </w:rPr>
        <w:t>кВтч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560"/>
        <w:gridCol w:w="2172"/>
        <w:gridCol w:w="1472"/>
        <w:gridCol w:w="1364"/>
        <w:gridCol w:w="1490"/>
        <w:gridCol w:w="1435"/>
      </w:tblGrid>
      <w:tr w14:paraId="14B7BBF4" w14:textId="77777777" w:rsidTr="000318EE">
        <w:tblPrEx>
          <w:tblW w:w="100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4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</w:tcPr>
          <w:p w:rsidR="00531B1A" w:rsidRPr="00AE2893" w:rsidP="00531B1A" w14:paraId="20311AA4" w14:textId="4860C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" w:name="_Toc510196463"/>
            <w:r w:rsidRPr="00AE2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п/п</w:t>
            </w:r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:rsidR="00531B1A" w:rsidRPr="00AE2893" w:rsidP="00AE2893" w14:paraId="596F10B1" w14:textId="713BD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Зона</w:t>
            </w:r>
          </w:p>
        </w:tc>
        <w:tc>
          <w:tcPr>
            <w:tcW w:w="2172" w:type="dxa"/>
            <w:vMerge w:val="restart"/>
            <w:shd w:val="clear" w:color="auto" w:fill="8DB3E2" w:themeFill="text2" w:themeFillTint="66"/>
            <w:vAlign w:val="center"/>
            <w:hideMark/>
          </w:tcPr>
          <w:p w:rsidR="00531B1A" w:rsidRPr="00AE2893" w:rsidP="00AE2893" w14:paraId="14E040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:rsidR="00531B1A" w:rsidRPr="00AE2893" w:rsidP="00AE2893" w14:paraId="7A21C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Январь-апрель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:rsidR="00531B1A" w:rsidRPr="00AE2893" w:rsidP="00AE2893" w14:paraId="7D50C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:rsidR="00531B1A" w:rsidRPr="00AE2893" w:rsidP="00AE2893" w14:paraId="1E03D9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14:paraId="610ACBB5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6D72D9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67B24552" w14:textId="16D7B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  <w:hideMark/>
          </w:tcPr>
          <w:p w:rsidR="00531B1A" w:rsidRPr="00AE2893" w:rsidP="00AE2893" w14:paraId="3D1A58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:rsidR="00531B1A" w:rsidRPr="00AE2893" w:rsidP="00AE2893" w14:paraId="36B45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:rsidR="00531B1A" w:rsidRPr="00AE2893" w:rsidP="00AE2893" w14:paraId="3FC1C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531B1A" w:rsidRPr="00AE2893" w:rsidP="00AE2893" w14:paraId="08CD8A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:rsidR="00531B1A" w:rsidRPr="00AE2893" w:rsidP="00AE2893" w14:paraId="5054D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14:paraId="36E557C7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 w:val="restart"/>
          </w:tcPr>
          <w:p w:rsidR="00531B1A" w:rsidRPr="00AE2893" w:rsidP="000F674C" w14:paraId="246873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31B1A" w:rsidRPr="00AE2893" w:rsidP="000F674C" w14:paraId="7635C52E" w14:textId="6A06D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  <w:hideMark/>
          </w:tcPr>
          <w:p w:rsidR="00531B1A" w:rsidRPr="00AE2893" w:rsidP="00AE2893" w14:paraId="07DA5B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531B1A" w:rsidRPr="00AE2893" w:rsidP="00AE2893" w14:paraId="5EE831FF" w14:textId="7027A24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40</w:t>
            </w:r>
            <w:r w:rsidRPr="00AE28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b/>
              </w:rPr>
              <w:t>036,3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bottom"/>
          </w:tcPr>
          <w:p w:rsidR="00531B1A" w:rsidRPr="00AE2893" w:rsidP="00AE2893" w14:paraId="0CD2F861" w14:textId="4C87395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39</w:t>
            </w:r>
            <w:r w:rsidRPr="00AE28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b/>
              </w:rPr>
              <w:t>533,5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bottom"/>
          </w:tcPr>
          <w:p w:rsidR="00531B1A" w:rsidRPr="00AE2893" w:rsidP="00AE2893" w14:paraId="148F5491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-502,8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bottom"/>
          </w:tcPr>
          <w:p w:rsidR="00531B1A" w:rsidRPr="00AE2893" w:rsidP="00AE2893" w14:paraId="59AC0269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-1,3</w:t>
            </w:r>
          </w:p>
        </w:tc>
      </w:tr>
      <w:tr w14:paraId="76CCC114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56BC0A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17653AC6" w14:textId="5613F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218C6A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22D9409D" w14:textId="3B8A47B4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32</w:t>
            </w:r>
            <w:r w:rsidRPr="00AE289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  <w:iCs/>
              </w:rPr>
              <w:t>735,8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03907DD0" w14:textId="42ED953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31</w:t>
            </w:r>
            <w:r w:rsidRPr="00AE289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</w:rPr>
              <w:t>756,5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59373F92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-979,3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378EA7EB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-3,0</w:t>
            </w:r>
          </w:p>
        </w:tc>
      </w:tr>
      <w:tr w14:paraId="5F3172BE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406E4B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28180CE2" w14:textId="06DF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3DB314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1A1C55B5" w14:textId="3011E95B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3 549,9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4C10C9A9" w14:textId="491149E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3 904,6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3B15281E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354,7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35B0EAEE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14:paraId="65F6A7CA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4370B0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070BCB67" w14:textId="62431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6A86E2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53BA3E2E" w14:textId="3A321E2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2 749,5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2AF05B41" w14:textId="2FBB8CB2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2 698,5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61E99FB5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-51,0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5AA0CD73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-1,9</w:t>
            </w:r>
          </w:p>
        </w:tc>
      </w:tr>
      <w:tr w14:paraId="6EBF9887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4F3304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428FE99E" w14:textId="552D8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260228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3BCCB8D1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563,7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37DAFBAC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724,4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66F5D5D7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160,7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00198994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28,5</w:t>
            </w:r>
          </w:p>
        </w:tc>
      </w:tr>
      <w:tr w14:paraId="39E0E942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601B4B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474B61DD" w14:textId="732EA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31F635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4D669E0A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436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74C9B6C7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449,5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7975E5A1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13,5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3AF73CB6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3,1</w:t>
            </w:r>
          </w:p>
        </w:tc>
      </w:tr>
      <w:tr w14:paraId="2B7FD246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6DC7B4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04616C56" w14:textId="12269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2885CD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301CF816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62663B6F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0702EA31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-1,4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15DF1D9D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5850B601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 w:val="restart"/>
            <w:vAlign w:val="center"/>
          </w:tcPr>
          <w:p w:rsidR="00531B1A" w:rsidRPr="00AE2893" w:rsidP="00BE2375" w14:paraId="196298AE" w14:textId="6C74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31B1A" w:rsidRPr="00AE2893" w:rsidP="000F674C" w14:paraId="61B290C8" w14:textId="2164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  <w:hideMark/>
          </w:tcPr>
          <w:p w:rsidR="00531B1A" w:rsidRPr="00AE2893" w:rsidP="00AE2893" w14:paraId="1A6942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531B1A" w:rsidRPr="00AE2893" w:rsidP="00AE2893" w14:paraId="531D1D1A" w14:textId="7AAFB85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30</w:t>
            </w:r>
            <w:r w:rsidRPr="00AE28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b/>
              </w:rPr>
              <w:t>967,9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bottom"/>
          </w:tcPr>
          <w:p w:rsidR="00531B1A" w:rsidRPr="00AE2893" w:rsidP="00AE2893" w14:paraId="1EF25D57" w14:textId="4240A7F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29</w:t>
            </w:r>
            <w:r w:rsidRPr="00AE28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b/>
              </w:rPr>
              <w:t>773,7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bottom"/>
          </w:tcPr>
          <w:p w:rsidR="00531B1A" w:rsidRPr="00AE2893" w:rsidP="00AE2893" w14:paraId="52F3A5DA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-1194,2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bottom"/>
          </w:tcPr>
          <w:p w:rsidR="00531B1A" w:rsidRPr="00AE2893" w:rsidP="00AE2893" w14:paraId="682E6E77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-3,9</w:t>
            </w:r>
          </w:p>
        </w:tc>
      </w:tr>
      <w:tr w14:paraId="2A54EE81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5DA970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2B6317FC" w14:textId="7688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139BE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5FEB52C6" w14:textId="65A7BC34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27</w:t>
            </w:r>
            <w:r w:rsidRPr="00AE289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  <w:iCs/>
              </w:rPr>
              <w:t>461,6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61D371C9" w14:textId="6EEC04F5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26</w:t>
            </w:r>
            <w:r w:rsidRPr="00AE289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</w:rPr>
              <w:t>127,2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07C10F87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-1334,4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147D69EA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-4,9</w:t>
            </w:r>
          </w:p>
        </w:tc>
      </w:tr>
      <w:tr w14:paraId="460EDA6D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783482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174EA30F" w14:textId="484AC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3ED221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1E6BA89C" w14:textId="45799DCE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1</w:t>
            </w:r>
            <w:r w:rsidRPr="00AE289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  <w:iCs/>
              </w:rPr>
              <w:t>068,5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23302EA8" w14:textId="6F8724AF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</w:t>
            </w:r>
            <w:r w:rsidRPr="00AE289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</w:rPr>
              <w:t>050,2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0A7AAF89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-18,3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1FACDFB5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-1,7</w:t>
            </w:r>
          </w:p>
        </w:tc>
      </w:tr>
      <w:tr w14:paraId="2931C8F1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78417E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42DE5FDD" w14:textId="11795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68107A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5B280E1B" w14:textId="2E974D2E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1</w:t>
            </w:r>
            <w:r w:rsidRPr="00AE289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  <w:iCs/>
              </w:rPr>
              <w:t>989,6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2AB20E88" w14:textId="7D789E12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</w:t>
            </w:r>
            <w:r w:rsidRPr="00AE289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</w:rPr>
              <w:t>018,5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0BE44064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28,9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4E86ECA8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1,5</w:t>
            </w:r>
          </w:p>
        </w:tc>
      </w:tr>
      <w:tr w14:paraId="09DF6036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20EABA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75F68C35" w14:textId="03AD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0E6DB2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2156A288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287,8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13A60464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417,4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630320A8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129,6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0A08ACF1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45,0</w:t>
            </w:r>
          </w:p>
        </w:tc>
      </w:tr>
      <w:tr w14:paraId="44395409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12B28C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597AB61B" w14:textId="6801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53A916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18CC68A6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159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74D760DF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160,4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05AC508A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1,4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3E9A659F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0,9</w:t>
            </w:r>
          </w:p>
        </w:tc>
      </w:tr>
      <w:tr w14:paraId="463437E2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531B1A" w:rsidRPr="00AE2893" w:rsidP="00AE2893" w14:paraId="05EFED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31B1A" w:rsidRPr="00AE2893" w:rsidP="00AE2893" w14:paraId="6659BDDA" w14:textId="66CDF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31B1A" w:rsidRPr="00AE2893" w:rsidP="00AE2893" w14:paraId="1BD533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1B1A" w:rsidRPr="00AE2893" w:rsidP="00AE2893" w14:paraId="5D1A3804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531B1A" w:rsidRPr="00AE2893" w:rsidP="00AE2893" w14:paraId="51E3E165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31B1A" w:rsidRPr="00AE2893" w:rsidP="00AE2893" w14:paraId="2E4AC7C5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-1,4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531B1A" w:rsidRPr="00AE2893" w:rsidP="00AE2893" w14:paraId="05DE8F83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1903D874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 w:val="restart"/>
            <w:vAlign w:val="center"/>
          </w:tcPr>
          <w:p w:rsidR="00BE2375" w:rsidRPr="00AE2893" w:rsidP="00BE2375" w14:paraId="1DC97BE9" w14:textId="7ABE8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E2375" w:rsidRPr="00AE2893" w:rsidP="000F674C" w14:paraId="5C50A1C8" w14:textId="606F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  <w:hideMark/>
          </w:tcPr>
          <w:p w:rsidR="00BE2375" w:rsidRPr="00AE2893" w:rsidP="00AE2893" w14:paraId="1C5B56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BE2375" w:rsidRPr="00AE2893" w:rsidP="00AE2893" w14:paraId="771F4022" w14:textId="175519D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4</w:t>
            </w:r>
            <w:r w:rsidRPr="00AE28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b/>
              </w:rPr>
              <w:t>305,8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bottom"/>
          </w:tcPr>
          <w:p w:rsidR="00BE2375" w:rsidRPr="00AE2893" w:rsidP="00AE2893" w14:paraId="04EC43E1" w14:textId="36CE20E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4</w:t>
            </w:r>
            <w:r w:rsidRPr="00AE28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b/>
              </w:rPr>
              <w:t>654,3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bottom"/>
          </w:tcPr>
          <w:p w:rsidR="00BE2375" w:rsidRPr="00AE2893" w:rsidP="00AE2893" w14:paraId="76F4B506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348,5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bottom"/>
          </w:tcPr>
          <w:p w:rsidR="00BE2375" w:rsidRPr="00AE2893" w:rsidP="00AE2893" w14:paraId="24D1A06A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8,1</w:t>
            </w:r>
          </w:p>
        </w:tc>
      </w:tr>
      <w:tr w14:paraId="34D80199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BE2375" w:rsidRPr="00AE2893" w:rsidP="00AE2893" w14:paraId="74B2D1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E2375" w:rsidRPr="00AE2893" w:rsidP="00AE2893" w14:paraId="43939ABB" w14:textId="55A3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E2375" w:rsidRPr="00AE2893" w:rsidP="00AE2893" w14:paraId="10A3C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2375" w:rsidRPr="00AE2893" w:rsidP="00AE2893" w14:paraId="7540C6CB" w14:textId="20CAAE23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2</w:t>
            </w:r>
            <w:r w:rsidRPr="00AE289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  <w:iCs/>
              </w:rPr>
              <w:t>999,4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BE2375" w:rsidRPr="00AE2893" w:rsidP="00AE2893" w14:paraId="5117432B" w14:textId="1CD13428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3</w:t>
            </w:r>
            <w:r w:rsidRPr="00AE289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</w:rPr>
              <w:t>375,1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E2375" w:rsidRPr="00AE2893" w:rsidP="00AE2893" w14:paraId="0478B858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375,7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E2375" w:rsidRPr="00AE2893" w:rsidP="00AE2893" w14:paraId="2644B4C7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12,5</w:t>
            </w:r>
          </w:p>
        </w:tc>
      </w:tr>
      <w:tr w14:paraId="04615344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BE2375" w:rsidRPr="00AE2893" w:rsidP="00AE2893" w14:paraId="76E383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E2375" w:rsidRPr="00AE2893" w:rsidP="00AE2893" w14:paraId="5DC2131C" w14:textId="0B16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E2375" w:rsidRPr="00AE2893" w:rsidP="00AE2893" w14:paraId="796412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2375" w:rsidRPr="00AE2893" w:rsidP="00AE2893" w14:paraId="0F3154EE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759,9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BE2375" w:rsidRPr="00AE2893" w:rsidP="00AE2893" w14:paraId="7293F304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680,0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E2375" w:rsidRPr="00AE2893" w:rsidP="00AE2893" w14:paraId="30DEE860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-79,9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E2375" w:rsidRPr="00AE2893" w:rsidP="00AE2893" w14:paraId="72857188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-10,5</w:t>
            </w:r>
          </w:p>
        </w:tc>
      </w:tr>
      <w:tr w14:paraId="01E05795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BE2375" w:rsidRPr="00AE2893" w:rsidP="00AE2893" w14:paraId="1C6712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E2375" w:rsidRPr="00AE2893" w:rsidP="00AE2893" w14:paraId="24C3F7B3" w14:textId="112A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E2375" w:rsidRPr="00AE2893" w:rsidP="00AE2893" w14:paraId="0D0257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2375" w:rsidRPr="00AE2893" w:rsidP="00AE2893" w14:paraId="2DD0BE6C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106,3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BE2375" w:rsidRPr="00AE2893" w:rsidP="00AE2893" w14:paraId="3C25EEC8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104,0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E2375" w:rsidRPr="00AE2893" w:rsidP="00AE2893" w14:paraId="16463551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-2,3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E2375" w:rsidRPr="00AE2893" w:rsidP="00AE2893" w14:paraId="1E7822EB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-2,2</w:t>
            </w:r>
          </w:p>
        </w:tc>
      </w:tr>
      <w:tr w14:paraId="2445EF44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BE2375" w:rsidRPr="00AE2893" w:rsidP="00AE2893" w14:paraId="7BC426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E2375" w:rsidRPr="00AE2893" w:rsidP="00AE2893" w14:paraId="168CAA2D" w14:textId="3943D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E2375" w:rsidRPr="00AE2893" w:rsidP="00AE2893" w14:paraId="2D6938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2375" w:rsidRPr="00AE2893" w:rsidP="00AE2893" w14:paraId="38B98589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164,1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BE2375" w:rsidRPr="00AE2893" w:rsidP="00AE2893" w14:paraId="40449D67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207,0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E2375" w:rsidRPr="00AE2893" w:rsidP="00AE2893" w14:paraId="235760F2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42,9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E2375" w:rsidRPr="00AE2893" w:rsidP="00AE2893" w14:paraId="6A2EE64C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26,1</w:t>
            </w:r>
          </w:p>
        </w:tc>
      </w:tr>
      <w:tr w14:paraId="29373C16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BE2375" w:rsidRPr="00AE2893" w:rsidP="00AE2893" w14:paraId="7C33CA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E2375" w:rsidRPr="00AE2893" w:rsidP="00AE2893" w14:paraId="29F8CEA2" w14:textId="2EFEB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E2375" w:rsidRPr="00AE2893" w:rsidP="00AE2893" w14:paraId="491BE8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2375" w:rsidRPr="00AE2893" w:rsidP="00AE2893" w14:paraId="4EC2CDC5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276,1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BE2375" w:rsidRPr="00AE2893" w:rsidP="00AE2893" w14:paraId="225CCEF7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288,2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E2375" w:rsidRPr="00AE2893" w:rsidP="00AE2893" w14:paraId="5D7CAFBF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12,1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E2375" w:rsidRPr="00AE2893" w:rsidP="00AE2893" w14:paraId="136F204F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4,4</w:t>
            </w:r>
          </w:p>
        </w:tc>
      </w:tr>
      <w:tr w14:paraId="209CF6B9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 w:val="restart"/>
            <w:vAlign w:val="center"/>
          </w:tcPr>
          <w:p w:rsidR="00BE2375" w:rsidRPr="00AE2893" w:rsidP="00BE2375" w14:paraId="6CE86365" w14:textId="52F3D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E2375" w:rsidRPr="00AE2893" w:rsidP="000F674C" w14:paraId="4708D31C" w14:textId="69F1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  <w:hideMark/>
          </w:tcPr>
          <w:p w:rsidR="00BE2375" w:rsidRPr="00AE2893" w:rsidP="00AE2893" w14:paraId="3897BF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BE2375" w:rsidRPr="00AE2893" w:rsidP="00AE2893" w14:paraId="308A16F1" w14:textId="1A8732C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4</w:t>
            </w:r>
            <w:r w:rsidRPr="00AE28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b/>
              </w:rPr>
              <w:t>762,6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bottom"/>
          </w:tcPr>
          <w:p w:rsidR="00BE2375" w:rsidRPr="00AE2893" w:rsidP="00AE2893" w14:paraId="3C9EE9A0" w14:textId="4FB2FF3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5</w:t>
            </w:r>
            <w:r w:rsidRPr="00AE28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b/>
              </w:rPr>
              <w:t>105,5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bottom"/>
          </w:tcPr>
          <w:p w:rsidR="00BE2375" w:rsidRPr="00AE2893" w:rsidP="00AE2893" w14:paraId="3775834E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342,9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bottom"/>
          </w:tcPr>
          <w:p w:rsidR="00BE2375" w:rsidRPr="00AE2893" w:rsidP="00AE2893" w14:paraId="323B1B8E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7,2</w:t>
            </w:r>
          </w:p>
        </w:tc>
      </w:tr>
      <w:tr w14:paraId="2FECB0C8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BE2375" w:rsidRPr="00AE2893" w:rsidP="00AE2893" w14:paraId="0DDB87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E2375" w:rsidRPr="00AE2893" w:rsidP="00AE2893" w14:paraId="40B1CC68" w14:textId="2A39F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E2375" w:rsidRPr="00AE2893" w:rsidP="00AE2893" w14:paraId="7FFB8A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2375" w:rsidRPr="00AE2893" w:rsidP="00AE2893" w14:paraId="6FF466C2" w14:textId="20F69AEF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2</w:t>
            </w:r>
            <w:r w:rsidRPr="00AE289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  <w:iCs/>
              </w:rPr>
              <w:t>274,8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BE2375" w:rsidRPr="00AE2893" w:rsidP="00AE2893" w14:paraId="0E171DAF" w14:textId="2FA27926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</w:t>
            </w:r>
            <w:r w:rsidRPr="00AE289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</w:rPr>
              <w:t>254,2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E2375" w:rsidRPr="00AE2893" w:rsidP="00AE2893" w14:paraId="27DA8A22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-20,6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E2375" w:rsidRPr="00AE2893" w:rsidP="00AE2893" w14:paraId="05F1FFBD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-0,9</w:t>
            </w:r>
          </w:p>
        </w:tc>
      </w:tr>
      <w:tr w14:paraId="6BE360D6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BE2375" w:rsidRPr="00AE2893" w:rsidP="00AE2893" w14:paraId="3CD6DE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E2375" w:rsidRPr="00AE2893" w:rsidP="00AE2893" w14:paraId="2646A833" w14:textId="39F3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E2375" w:rsidRPr="00AE2893" w:rsidP="00AE2893" w14:paraId="7FAF61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2375" w:rsidRPr="00AE2893" w:rsidP="00AE2893" w14:paraId="0630D5F8" w14:textId="070E74BC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2</w:t>
            </w:r>
            <w:r w:rsidRPr="00AE289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  <w:iCs/>
              </w:rPr>
              <w:t>375,1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BE2375" w:rsidRPr="00AE2893" w:rsidP="00AE2893" w14:paraId="1A8D4910" w14:textId="50A1002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2</w:t>
            </w:r>
            <w:r w:rsidRPr="00AE289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2893">
              <w:rPr>
                <w:rFonts w:ascii="Times New Roman" w:hAnsi="Times New Roman" w:cs="Times New Roman"/>
                <w:i/>
              </w:rPr>
              <w:t>750,4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E2375" w:rsidRPr="00AE2893" w:rsidP="00AE2893" w14:paraId="3938A69B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375,3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E2375" w:rsidRPr="00AE2893" w:rsidP="00AE2893" w14:paraId="4D5C6033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15,8</w:t>
            </w:r>
          </w:p>
        </w:tc>
      </w:tr>
      <w:tr w14:paraId="10217A7D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BE2375" w:rsidRPr="00AE2893" w:rsidP="00AE2893" w14:paraId="10AB58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E2375" w:rsidRPr="00AE2893" w:rsidP="00AE2893" w14:paraId="0D06E98E" w14:textId="1A10C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E2375" w:rsidRPr="00AE2893" w:rsidP="00AE2893" w14:paraId="5D3AB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2375" w:rsidRPr="00AE2893" w:rsidP="00AE2893" w14:paraId="2FAABA00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111,8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BE2375" w:rsidRPr="00AE2893" w:rsidP="00AE2893" w14:paraId="43AE5882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E2375" w:rsidRPr="00AE2893" w:rsidP="00AE2893" w14:paraId="12864A25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-11,8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E2375" w:rsidRPr="00AE2893" w:rsidP="00AE2893" w14:paraId="44D73BE4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-10,6</w:t>
            </w:r>
          </w:p>
        </w:tc>
      </w:tr>
      <w:tr w14:paraId="6675C74E" w14:textId="77777777" w:rsidTr="000318EE">
        <w:tblPrEx>
          <w:tblW w:w="10055" w:type="dxa"/>
          <w:tblLook w:val="04A0"/>
        </w:tblPrEx>
        <w:trPr>
          <w:trHeight w:val="324"/>
        </w:trPr>
        <w:tc>
          <w:tcPr>
            <w:tcW w:w="562" w:type="dxa"/>
            <w:vMerge/>
          </w:tcPr>
          <w:p w:rsidR="00BE2375" w:rsidRPr="00AE2893" w:rsidP="00AE2893" w14:paraId="22C337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E2375" w:rsidRPr="00AE2893" w:rsidP="00AE2893" w14:paraId="6F64CD06" w14:textId="1866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E2375" w:rsidRPr="00AE2893" w:rsidP="00AE2893" w14:paraId="091A41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2375" w:rsidRPr="00AE2893" w:rsidP="00AE2893" w14:paraId="4F439864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893">
              <w:rPr>
                <w:rFonts w:ascii="Times New Roman" w:hAnsi="Times New Roman" w:cs="Times New Roman"/>
                <w:i/>
                <w:iCs/>
              </w:rPr>
              <w:t>0,9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BE2375" w:rsidRPr="00AE2893" w:rsidP="00AE2893" w14:paraId="6F3A18E1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E2375" w:rsidRPr="00AE2893" w:rsidP="00AE2893" w14:paraId="22D966CD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E2375" w:rsidRPr="00AE2893" w:rsidP="00AE2893" w14:paraId="09499214" w14:textId="77777777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AE2893">
              <w:rPr>
                <w:rFonts w:ascii="Times New Roman" w:hAnsi="Times New Roman" w:cs="Times New Roman"/>
                <w:i/>
              </w:rPr>
              <w:t>0</w:t>
            </w:r>
          </w:p>
        </w:tc>
      </w:tr>
    </w:tbl>
    <w:p w:rsidR="00514FE9" w:rsidRPr="00AE2893" w:rsidP="00AE2893" w14:paraId="4F6BE476" w14:textId="77777777">
      <w:pPr>
        <w:spacing w:after="0" w:line="240" w:lineRule="auto"/>
        <w:rPr>
          <w:rFonts w:ascii="Times New Roman" w:hAnsi="Times New Roman" w:cs="Times New Roman"/>
        </w:rPr>
      </w:pPr>
    </w:p>
    <w:p w:rsidR="00305F73" w:rsidRPr="00AE2893" w:rsidP="00AE2893" w14:paraId="792856A2" w14:textId="77777777">
      <w:pPr>
        <w:pStyle w:val="Heading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104388598"/>
      <w:r w:rsidRPr="00AE2893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Pr="00AE2893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2"/>
      <w:bookmarkEnd w:id="3"/>
    </w:p>
    <w:p w:rsidR="00C16BDD" w:rsidRPr="00AE2893" w:rsidP="00AE2893" w14:paraId="1B9087E7" w14:textId="77777777">
      <w:pPr>
        <w:spacing w:after="0" w:line="240" w:lineRule="auto"/>
        <w:rPr>
          <w:rFonts w:ascii="Times New Roman" w:hAnsi="Times New Roman" w:cs="Times New Roman"/>
        </w:rPr>
      </w:pPr>
    </w:p>
    <w:p w:rsidR="000D31B6" w:rsidRPr="000318EE" w:rsidP="00AE2893" w14:paraId="12BA76EC" w14:textId="77777777">
      <w:pPr>
        <w:shd w:val="clear" w:color="auto" w:fill="FFFF0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18EE">
        <w:rPr>
          <w:rFonts w:ascii="Times New Roman" w:hAnsi="Times New Roman" w:cs="Times New Roman"/>
          <w:sz w:val="28"/>
        </w:rPr>
        <w:t>В январе</w:t>
      </w:r>
      <w:r w:rsidRPr="000318EE" w:rsidR="007F1AC1">
        <w:rPr>
          <w:rFonts w:ascii="Times New Roman" w:hAnsi="Times New Roman" w:cs="Times New Roman"/>
          <w:sz w:val="28"/>
        </w:rPr>
        <w:t>-</w:t>
      </w:r>
      <w:r w:rsidRPr="000318EE" w:rsidR="002F4905">
        <w:rPr>
          <w:rFonts w:ascii="Times New Roman" w:hAnsi="Times New Roman" w:cs="Times New Roman"/>
          <w:sz w:val="28"/>
        </w:rPr>
        <w:t>апреле</w:t>
      </w:r>
      <w:r w:rsidRPr="000318EE" w:rsidR="00727EC7">
        <w:rPr>
          <w:rFonts w:ascii="Times New Roman" w:hAnsi="Times New Roman" w:cs="Times New Roman"/>
          <w:sz w:val="28"/>
        </w:rPr>
        <w:t xml:space="preserve"> </w:t>
      </w:r>
      <w:r w:rsidRPr="000318EE">
        <w:rPr>
          <w:rFonts w:ascii="Times New Roman" w:hAnsi="Times New Roman" w:cs="Times New Roman"/>
          <w:sz w:val="28"/>
        </w:rPr>
        <w:t>2022</w:t>
      </w:r>
      <w:r w:rsidRPr="000318EE" w:rsidR="00305F73">
        <w:rPr>
          <w:rFonts w:ascii="Times New Roman" w:hAnsi="Times New Roman" w:cs="Times New Roman"/>
          <w:sz w:val="28"/>
        </w:rPr>
        <w:t xml:space="preserve"> года по сравнению с аналогичным периодом 202</w:t>
      </w:r>
      <w:r w:rsidRPr="000318EE">
        <w:rPr>
          <w:rFonts w:ascii="Times New Roman" w:hAnsi="Times New Roman" w:cs="Times New Roman"/>
          <w:sz w:val="28"/>
        </w:rPr>
        <w:t>1</w:t>
      </w:r>
      <w:r w:rsidRPr="000318EE" w:rsidR="00305F73">
        <w:rPr>
          <w:rFonts w:ascii="Times New Roman" w:hAnsi="Times New Roman" w:cs="Times New Roman"/>
          <w:sz w:val="28"/>
        </w:rPr>
        <w:t xml:space="preserve"> года производство электроэнергии значительно </w:t>
      </w:r>
      <w:r w:rsidRPr="000318EE" w:rsidR="00CE4699">
        <w:rPr>
          <w:rFonts w:ascii="Times New Roman" w:hAnsi="Times New Roman" w:cs="Times New Roman"/>
          <w:sz w:val="28"/>
        </w:rPr>
        <w:t>увеличилось</w:t>
      </w:r>
      <w:r w:rsidRPr="000318EE" w:rsidR="00C12640">
        <w:rPr>
          <w:rFonts w:ascii="Times New Roman" w:hAnsi="Times New Roman" w:cs="Times New Roman"/>
          <w:sz w:val="28"/>
        </w:rPr>
        <w:t xml:space="preserve"> </w:t>
      </w:r>
      <w:r w:rsidRPr="000318EE" w:rsidR="00305F73">
        <w:rPr>
          <w:rFonts w:ascii="Times New Roman" w:hAnsi="Times New Roman" w:cs="Times New Roman"/>
          <w:sz w:val="28"/>
        </w:rPr>
        <w:t>в</w:t>
      </w:r>
      <w:r w:rsidRPr="000318EE" w:rsidR="00C12640">
        <w:rPr>
          <w:rFonts w:ascii="Times New Roman" w:hAnsi="Times New Roman" w:cs="Times New Roman"/>
          <w:sz w:val="28"/>
        </w:rPr>
        <w:t xml:space="preserve"> </w:t>
      </w:r>
      <w:r w:rsidRPr="000318EE" w:rsidR="00CE4699">
        <w:rPr>
          <w:rFonts w:ascii="Times New Roman" w:hAnsi="Times New Roman" w:cs="Times New Roman"/>
          <w:sz w:val="28"/>
        </w:rPr>
        <w:t>Акмолинской</w:t>
      </w:r>
      <w:r w:rsidRPr="000318EE" w:rsidR="00C12640">
        <w:rPr>
          <w:rFonts w:ascii="Times New Roman" w:hAnsi="Times New Roman" w:cs="Times New Roman"/>
          <w:sz w:val="28"/>
        </w:rPr>
        <w:t xml:space="preserve">, </w:t>
      </w:r>
      <w:r w:rsidRPr="000318EE" w:rsidR="00CE4699">
        <w:rPr>
          <w:rFonts w:ascii="Times New Roman" w:hAnsi="Times New Roman" w:cs="Times New Roman"/>
          <w:sz w:val="28"/>
        </w:rPr>
        <w:t>Атырауской</w:t>
      </w:r>
      <w:r w:rsidRPr="000318EE" w:rsidR="00CE4699">
        <w:rPr>
          <w:rFonts w:ascii="Times New Roman" w:hAnsi="Times New Roman" w:cs="Times New Roman"/>
          <w:sz w:val="28"/>
        </w:rPr>
        <w:t>, Восточно-Казахстанской,</w:t>
      </w:r>
      <w:r w:rsidRPr="000318EE" w:rsidR="00C03B2F">
        <w:rPr>
          <w:rFonts w:ascii="Times New Roman" w:hAnsi="Times New Roman" w:cs="Times New Roman"/>
          <w:sz w:val="28"/>
        </w:rPr>
        <w:t xml:space="preserve"> </w:t>
      </w:r>
      <w:r w:rsidRPr="000318EE" w:rsidR="00CE4699">
        <w:rPr>
          <w:rFonts w:ascii="Times New Roman" w:hAnsi="Times New Roman" w:cs="Times New Roman"/>
          <w:sz w:val="28"/>
        </w:rPr>
        <w:t>Жамбылской</w:t>
      </w:r>
      <w:r w:rsidRPr="000318EE" w:rsidR="00C12640">
        <w:rPr>
          <w:rFonts w:ascii="Times New Roman" w:hAnsi="Times New Roman" w:cs="Times New Roman"/>
          <w:sz w:val="28"/>
        </w:rPr>
        <w:t xml:space="preserve">, </w:t>
      </w:r>
      <w:r w:rsidRPr="000318EE" w:rsidR="00CE4699">
        <w:rPr>
          <w:rFonts w:ascii="Times New Roman" w:hAnsi="Times New Roman" w:cs="Times New Roman"/>
          <w:sz w:val="28"/>
        </w:rPr>
        <w:t>Западно</w:t>
      </w:r>
      <w:r w:rsidRPr="000318EE" w:rsidR="00C12640">
        <w:rPr>
          <w:rFonts w:ascii="Times New Roman" w:hAnsi="Times New Roman" w:cs="Times New Roman"/>
          <w:sz w:val="28"/>
        </w:rPr>
        <w:t>-Казахстанской</w:t>
      </w:r>
      <w:r w:rsidRPr="000318EE" w:rsidR="002C3477">
        <w:rPr>
          <w:rFonts w:ascii="Times New Roman" w:hAnsi="Times New Roman" w:cs="Times New Roman"/>
          <w:sz w:val="28"/>
        </w:rPr>
        <w:t xml:space="preserve">, </w:t>
      </w:r>
      <w:r w:rsidRPr="000318EE" w:rsidR="002C3477">
        <w:rPr>
          <w:rFonts w:ascii="Times New Roman" w:hAnsi="Times New Roman" w:cs="Times New Roman"/>
          <w:sz w:val="28"/>
        </w:rPr>
        <w:t>Костана</w:t>
      </w:r>
      <w:r w:rsidRPr="000318EE" w:rsidR="00CE4699">
        <w:rPr>
          <w:rFonts w:ascii="Times New Roman" w:hAnsi="Times New Roman" w:cs="Times New Roman"/>
          <w:sz w:val="28"/>
        </w:rPr>
        <w:t>йской</w:t>
      </w:r>
      <w:r w:rsidRPr="000318EE" w:rsidR="002F4905">
        <w:rPr>
          <w:rFonts w:ascii="Times New Roman" w:hAnsi="Times New Roman" w:cs="Times New Roman"/>
          <w:sz w:val="28"/>
        </w:rPr>
        <w:t xml:space="preserve"> и </w:t>
      </w:r>
      <w:r w:rsidRPr="000318EE" w:rsidR="00CE4699">
        <w:rPr>
          <w:rFonts w:ascii="Times New Roman" w:hAnsi="Times New Roman" w:cs="Times New Roman"/>
          <w:sz w:val="28"/>
        </w:rPr>
        <w:t>Мангистауской</w:t>
      </w:r>
      <w:r w:rsidRPr="000318EE" w:rsidR="002F4905">
        <w:rPr>
          <w:rFonts w:ascii="Times New Roman" w:hAnsi="Times New Roman" w:cs="Times New Roman"/>
          <w:sz w:val="28"/>
        </w:rPr>
        <w:t xml:space="preserve"> </w:t>
      </w:r>
      <w:r w:rsidRPr="000318EE" w:rsidR="00305F73">
        <w:rPr>
          <w:rFonts w:ascii="Times New Roman" w:hAnsi="Times New Roman" w:cs="Times New Roman"/>
          <w:sz w:val="28"/>
        </w:rPr>
        <w:t xml:space="preserve">областях. </w:t>
      </w:r>
      <w:r w:rsidRPr="000318EE" w:rsidR="00CE4699">
        <w:rPr>
          <w:rFonts w:ascii="Times New Roman" w:hAnsi="Times New Roman" w:cs="Times New Roman"/>
          <w:sz w:val="28"/>
        </w:rPr>
        <w:t xml:space="preserve">Резкое увеличение производства электроэнергии в </w:t>
      </w:r>
      <w:r w:rsidRPr="000318EE" w:rsidR="00CE4699">
        <w:rPr>
          <w:rFonts w:ascii="Times New Roman" w:hAnsi="Times New Roman" w:cs="Times New Roman"/>
          <w:sz w:val="28"/>
        </w:rPr>
        <w:t>Жамбылской</w:t>
      </w:r>
      <w:r w:rsidRPr="000318EE" w:rsidR="00CE4699">
        <w:rPr>
          <w:rFonts w:ascii="Times New Roman" w:hAnsi="Times New Roman" w:cs="Times New Roman"/>
          <w:sz w:val="28"/>
        </w:rPr>
        <w:t xml:space="preserve"> области на </w:t>
      </w:r>
      <w:r w:rsidRPr="000318EE" w:rsidR="002F4905">
        <w:rPr>
          <w:rFonts w:ascii="Times New Roman" w:hAnsi="Times New Roman" w:cs="Times New Roman"/>
          <w:sz w:val="28"/>
        </w:rPr>
        <w:t>473,9</w:t>
      </w:r>
      <w:r w:rsidRPr="000318EE" w:rsidR="00CE4699">
        <w:rPr>
          <w:rFonts w:ascii="Times New Roman" w:hAnsi="Times New Roman" w:cs="Times New Roman"/>
          <w:sz w:val="28"/>
        </w:rPr>
        <w:t xml:space="preserve"> млн </w:t>
      </w:r>
      <w:r w:rsidRPr="000318EE" w:rsidR="00CE4699">
        <w:rPr>
          <w:rFonts w:ascii="Times New Roman" w:hAnsi="Times New Roman" w:cs="Times New Roman"/>
          <w:sz w:val="28"/>
        </w:rPr>
        <w:t>кВтч</w:t>
      </w:r>
      <w:r w:rsidRPr="000318EE" w:rsidR="00CE4699">
        <w:rPr>
          <w:rFonts w:ascii="Times New Roman" w:hAnsi="Times New Roman" w:cs="Times New Roman"/>
          <w:sz w:val="28"/>
        </w:rPr>
        <w:t xml:space="preserve">. или на </w:t>
      </w:r>
      <w:r w:rsidRPr="000318EE" w:rsidR="002F4905">
        <w:rPr>
          <w:rFonts w:ascii="Times New Roman" w:hAnsi="Times New Roman" w:cs="Times New Roman"/>
          <w:sz w:val="28"/>
        </w:rPr>
        <w:t>47,4</w:t>
      </w:r>
      <w:r w:rsidRPr="000318EE" w:rsidR="00CE4699">
        <w:rPr>
          <w:rFonts w:ascii="Times New Roman" w:hAnsi="Times New Roman" w:cs="Times New Roman"/>
          <w:sz w:val="28"/>
        </w:rPr>
        <w:t>% связано с включением дополнительно двух блоков</w:t>
      </w:r>
      <w:r w:rsidRPr="000318EE" w:rsidR="009669D2">
        <w:rPr>
          <w:rFonts w:ascii="Times New Roman" w:hAnsi="Times New Roman" w:cs="Times New Roman"/>
          <w:sz w:val="28"/>
        </w:rPr>
        <w:t xml:space="preserve"> на </w:t>
      </w:r>
      <w:r w:rsidRPr="000318EE" w:rsidR="009669D2">
        <w:rPr>
          <w:rFonts w:ascii="Times New Roman" w:hAnsi="Times New Roman" w:cs="Times New Roman"/>
          <w:sz w:val="28"/>
        </w:rPr>
        <w:t>Жамбылской</w:t>
      </w:r>
      <w:r w:rsidRPr="000318EE" w:rsidR="009669D2">
        <w:rPr>
          <w:rFonts w:ascii="Times New Roman" w:hAnsi="Times New Roman" w:cs="Times New Roman"/>
          <w:sz w:val="28"/>
        </w:rPr>
        <w:t xml:space="preserve"> ГРЭС</w:t>
      </w:r>
      <w:r w:rsidRPr="000318EE" w:rsidR="00CE4699">
        <w:rPr>
          <w:rFonts w:ascii="Times New Roman" w:hAnsi="Times New Roman" w:cs="Times New Roman"/>
          <w:sz w:val="28"/>
        </w:rPr>
        <w:t xml:space="preserve"> в целях покрытия дефицита электроэнергии в Южной зоне. </w:t>
      </w:r>
    </w:p>
    <w:p w:rsidR="00794336" w:rsidRPr="000318EE" w:rsidP="00AE2893" w14:paraId="1670F296" w14:textId="77777777">
      <w:pPr>
        <w:shd w:val="clear" w:color="auto" w:fill="FFFF0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18EE">
        <w:rPr>
          <w:rFonts w:ascii="Times New Roman" w:hAnsi="Times New Roman" w:cs="Times New Roman"/>
          <w:sz w:val="28"/>
        </w:rPr>
        <w:t xml:space="preserve">В то же время, </w:t>
      </w:r>
      <w:r w:rsidRPr="000318EE" w:rsidR="00CE4699">
        <w:rPr>
          <w:rFonts w:ascii="Times New Roman" w:hAnsi="Times New Roman" w:cs="Times New Roman"/>
          <w:sz w:val="28"/>
        </w:rPr>
        <w:t>уменьшение</w:t>
      </w:r>
      <w:r w:rsidRPr="000318EE">
        <w:rPr>
          <w:rFonts w:ascii="Times New Roman" w:hAnsi="Times New Roman" w:cs="Times New Roman"/>
          <w:sz w:val="28"/>
        </w:rPr>
        <w:t xml:space="preserve"> производства электроэнергии наблюдалось в</w:t>
      </w:r>
      <w:r w:rsidRPr="000318EE" w:rsidR="00C12640">
        <w:rPr>
          <w:rFonts w:ascii="Times New Roman" w:hAnsi="Times New Roman" w:cs="Times New Roman"/>
          <w:sz w:val="28"/>
        </w:rPr>
        <w:t xml:space="preserve"> </w:t>
      </w:r>
      <w:r w:rsidRPr="000318EE" w:rsidR="00CE4699">
        <w:rPr>
          <w:rFonts w:ascii="Times New Roman" w:hAnsi="Times New Roman" w:cs="Times New Roman"/>
          <w:sz w:val="28"/>
        </w:rPr>
        <w:t>Актюбинской</w:t>
      </w:r>
      <w:r w:rsidRPr="000318EE" w:rsidR="00C12640">
        <w:rPr>
          <w:rFonts w:ascii="Times New Roman" w:hAnsi="Times New Roman" w:cs="Times New Roman"/>
          <w:sz w:val="28"/>
        </w:rPr>
        <w:t xml:space="preserve">, </w:t>
      </w:r>
      <w:r w:rsidRPr="000318EE" w:rsidR="00CE4699">
        <w:rPr>
          <w:rFonts w:ascii="Times New Roman" w:hAnsi="Times New Roman" w:cs="Times New Roman"/>
          <w:sz w:val="28"/>
        </w:rPr>
        <w:t>Алматинской</w:t>
      </w:r>
      <w:r w:rsidRPr="000318EE" w:rsidR="00CE4699">
        <w:rPr>
          <w:rFonts w:ascii="Times New Roman" w:hAnsi="Times New Roman" w:cs="Times New Roman"/>
          <w:sz w:val="28"/>
        </w:rPr>
        <w:t>, Карагандинской</w:t>
      </w:r>
      <w:r w:rsidRPr="000318EE" w:rsidR="00DC6B8C">
        <w:rPr>
          <w:rFonts w:ascii="Times New Roman" w:hAnsi="Times New Roman" w:cs="Times New Roman"/>
          <w:sz w:val="28"/>
        </w:rPr>
        <w:t xml:space="preserve">, </w:t>
      </w:r>
      <w:r w:rsidRPr="000318EE" w:rsidR="00DC6B8C">
        <w:rPr>
          <w:rFonts w:ascii="Times New Roman" w:hAnsi="Times New Roman" w:cs="Times New Roman"/>
          <w:sz w:val="28"/>
        </w:rPr>
        <w:t>Кызылординской</w:t>
      </w:r>
      <w:r w:rsidRPr="000318EE" w:rsidR="00DC6B8C">
        <w:rPr>
          <w:rFonts w:ascii="Times New Roman" w:hAnsi="Times New Roman" w:cs="Times New Roman"/>
          <w:sz w:val="28"/>
        </w:rPr>
        <w:t xml:space="preserve">, </w:t>
      </w:r>
      <w:r w:rsidRPr="000318EE" w:rsidR="002F4905">
        <w:rPr>
          <w:rFonts w:ascii="Times New Roman" w:hAnsi="Times New Roman" w:cs="Times New Roman"/>
          <w:sz w:val="28"/>
        </w:rPr>
        <w:t xml:space="preserve">Павлодарской, </w:t>
      </w:r>
      <w:r w:rsidRPr="000318EE" w:rsidR="00CE4699">
        <w:rPr>
          <w:rFonts w:ascii="Times New Roman" w:hAnsi="Times New Roman" w:cs="Times New Roman"/>
          <w:sz w:val="28"/>
        </w:rPr>
        <w:t xml:space="preserve">Северо-Казахстанской </w:t>
      </w:r>
      <w:r w:rsidRPr="000318EE" w:rsidR="002C3477">
        <w:rPr>
          <w:rFonts w:ascii="Times New Roman" w:hAnsi="Times New Roman" w:cs="Times New Roman"/>
          <w:sz w:val="28"/>
        </w:rPr>
        <w:t xml:space="preserve">и Туркестанской </w:t>
      </w:r>
      <w:r w:rsidRPr="000318EE">
        <w:rPr>
          <w:rFonts w:ascii="Times New Roman" w:hAnsi="Times New Roman" w:cs="Times New Roman"/>
          <w:sz w:val="28"/>
        </w:rPr>
        <w:t xml:space="preserve">областях. </w:t>
      </w:r>
    </w:p>
    <w:p w:rsidR="00305F73" w:rsidRPr="00AE2893" w:rsidP="00AE2893" w14:paraId="06171679" w14:textId="77777777">
      <w:pPr>
        <w:shd w:val="clear" w:color="auto" w:fill="FFFF00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318EE">
        <w:rPr>
          <w:rFonts w:ascii="Times New Roman" w:hAnsi="Times New Roman" w:cs="Times New Roman"/>
          <w:i/>
          <w:sz w:val="24"/>
        </w:rPr>
        <w:t xml:space="preserve">млн. </w:t>
      </w:r>
      <w:r w:rsidRPr="000318EE">
        <w:rPr>
          <w:rFonts w:ascii="Times New Roman" w:hAnsi="Times New Roman" w:cs="Times New Roman"/>
          <w:i/>
          <w:sz w:val="24"/>
        </w:rPr>
        <w:t>кВтч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3483"/>
        <w:gridCol w:w="1559"/>
        <w:gridCol w:w="1276"/>
        <w:gridCol w:w="1417"/>
        <w:gridCol w:w="1418"/>
      </w:tblGrid>
      <w:tr w14:paraId="7DC6DC5F" w14:textId="77777777" w:rsidTr="000F674C">
        <w:tblPrEx>
          <w:tblW w:w="99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:rsidR="00514FE9" w:rsidRPr="00531B1A" w:rsidP="000F674C" w14:paraId="3EC5D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:rsidR="00514FE9" w:rsidRPr="00531B1A" w:rsidP="000F674C" w14:paraId="473030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:rsidR="00514FE9" w:rsidRPr="00531B1A" w:rsidP="000F674C" w14:paraId="1ECC2F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531B1A" w:rsidR="007F1A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31B1A" w:rsidR="00AB2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:rsidR="00514FE9" w:rsidRPr="00531B1A" w:rsidP="000F674C" w14:paraId="1A42D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r w:rsidRPr="00531B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:rsidR="00514FE9" w:rsidRPr="00531B1A" w:rsidP="000F674C" w14:paraId="10EA0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14:paraId="19CB755D" w14:textId="77777777" w:rsidTr="000F674C">
        <w:tblPrEx>
          <w:tblW w:w="9913" w:type="dxa"/>
          <w:tblLook w:val="04A0"/>
        </w:tblPrEx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514FE9" w:rsidRPr="00531B1A" w:rsidP="00AE2893" w14:paraId="51012A49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:rsidR="00514FE9" w:rsidRPr="00531B1A" w:rsidP="00AE2893" w14:paraId="34C02370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:rsidR="00514FE9" w:rsidRPr="00531B1A" w:rsidP="000F674C" w14:paraId="4A1C4F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:rsidR="00514FE9" w:rsidRPr="00531B1A" w:rsidP="000F674C" w14:paraId="3B199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14FE9" w:rsidRPr="00531B1A" w:rsidP="00AE2893" w14:paraId="5F39D7D9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14FE9" w:rsidRPr="00531B1A" w:rsidP="00AE2893" w14:paraId="491A8775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14:paraId="61EB9465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2D622CCE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2A5DA145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Акмолинская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6500A403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1 973,2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64A10006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2 053,8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0F8AC677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59EC865D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4,1</w:t>
            </w:r>
          </w:p>
        </w:tc>
      </w:tr>
      <w:tr w14:paraId="13AEC015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25A8D523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59056F83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4093DF96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1 372,5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03F56605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1 315,2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78579033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-57,3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5243F22E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-4,2</w:t>
            </w:r>
          </w:p>
        </w:tc>
      </w:tr>
      <w:tr w14:paraId="3216E719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320B924A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00F7DE41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Алматинская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40160E06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2 416,5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2924CEAE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2 345,4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0419A7A1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-71,1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67408ABA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-2,9</w:t>
            </w:r>
          </w:p>
        </w:tc>
      </w:tr>
      <w:tr w14:paraId="34D95E11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33AC88A5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7D02DE41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Атырауская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72156C48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2 328,7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3AE7EBFC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2 541,3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6E54F6B0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4C88BD77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9,1</w:t>
            </w:r>
          </w:p>
        </w:tc>
      </w:tr>
      <w:tr w14:paraId="21D7FECF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11FA71DE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4FEF1442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21E9142D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3 065,8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05B7C0EB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3 125,4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75709E2E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7C714E5B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1,9</w:t>
            </w:r>
          </w:p>
        </w:tc>
      </w:tr>
      <w:tr w14:paraId="50B0095E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76570783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03C83543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Жамбылская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32B00ACE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1 000,8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269B54E8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1 474,7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30151A7B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473,9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34A59E20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47,4</w:t>
            </w:r>
          </w:p>
        </w:tc>
      </w:tr>
      <w:tr w14:paraId="60B9AD23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0C642987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7999D35E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Западно-Казахстанская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1D4EA740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816,8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6D72FD84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872,7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6F74A4CA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68E2D2B1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6,8</w:t>
            </w:r>
          </w:p>
        </w:tc>
      </w:tr>
      <w:tr w14:paraId="251F4349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4E33F394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3A1442C4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3652366A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5 615,8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0AFE58DA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5 113,1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5AA35C97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-502,7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4823EBF0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-9,0</w:t>
            </w:r>
          </w:p>
        </w:tc>
      </w:tr>
      <w:tr w14:paraId="028DE039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3B650CFB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2EAFBB46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Костанайская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26B027DA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4EF58B3E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476,3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3CEBBA71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3A5C50A0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8,1</w:t>
            </w:r>
          </w:p>
        </w:tc>
      </w:tr>
      <w:tr w14:paraId="308BEA00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17DF92DF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77123646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Кызылординская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10B9144B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243,8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274C3446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317E2FA8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-15,9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50F70BC8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-6,5</w:t>
            </w:r>
          </w:p>
        </w:tc>
      </w:tr>
      <w:tr w14:paraId="67189DED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029CBC86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51F90ED6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5ABAFD63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1 617,1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5297A10C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1 691,5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1E0A1A49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049F1C98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4,6</w:t>
            </w:r>
          </w:p>
        </w:tc>
      </w:tr>
      <w:tr w14:paraId="7A891034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366F7B78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6DE0736C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56B8E55A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17 351,9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0E4395ED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17 030,6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51DB4B9C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-321,3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64F08772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-1,9</w:t>
            </w:r>
          </w:p>
        </w:tc>
      </w:tr>
      <w:tr w14:paraId="6DDEC87B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773F9B64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5E3938F2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544A923A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1 148,2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4BD88DA4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659,3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4DBEACDC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-488,9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26FA5D6C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-42,6</w:t>
            </w:r>
          </w:p>
        </w:tc>
      </w:tr>
      <w:tr w14:paraId="2BC7BF83" w14:textId="77777777" w:rsidTr="002F4905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:rsidR="002F4905" w:rsidRPr="00531B1A" w:rsidP="00AE2893" w14:paraId="16BE0521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2F4905" w:rsidRPr="00531B1A" w:rsidP="00AE2893" w14:paraId="12D792F1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lang w:eastAsia="ru-RU"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905" w:rsidRPr="00531B1A" w:rsidP="00AE2893" w14:paraId="732CD3C1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644,7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905" w:rsidRPr="00531B1A" w:rsidP="00AE2893" w14:paraId="19C499C3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606,3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905" w:rsidRPr="00531B1A" w:rsidP="00AE2893" w14:paraId="264B910D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-38,4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905" w:rsidRPr="00531B1A" w:rsidP="00AE2893" w14:paraId="3C0876F1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 w:rsidRPr="00531B1A">
              <w:rPr>
                <w:rFonts w:ascii="Times New Roman" w:hAnsi="Times New Roman" w:cs="Times New Roman"/>
              </w:rPr>
              <w:t>-6,0</w:t>
            </w:r>
          </w:p>
        </w:tc>
      </w:tr>
      <w:tr w14:paraId="34530CE1" w14:textId="77777777" w:rsidTr="000F674C">
        <w:tblPrEx>
          <w:tblW w:w="9913" w:type="dxa"/>
          <w:tblLook w:val="04A0"/>
        </w:tblPrEx>
        <w:trPr>
          <w:trHeight w:val="340"/>
        </w:trPr>
        <w:tc>
          <w:tcPr>
            <w:tcW w:w="760" w:type="dxa"/>
            <w:shd w:val="clear" w:color="auto" w:fill="D9D9D9" w:themeFill="background1" w:themeFillShade="D9"/>
            <w:vAlign w:val="center"/>
            <w:hideMark/>
          </w:tcPr>
          <w:p w:rsidR="002F4905" w:rsidRPr="00531B1A" w:rsidP="00AE2893" w14:paraId="290AD4C4" w14:textId="77777777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D9D9D9" w:themeFill="background1" w:themeFillShade="D9"/>
            <w:vAlign w:val="center"/>
            <w:hideMark/>
          </w:tcPr>
          <w:p w:rsidR="002F4905" w:rsidRPr="00531B1A" w:rsidP="00AE2893" w14:paraId="1F912451" w14:textId="77777777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1B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РК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F4905" w:rsidRPr="00531B1A" w:rsidP="00AE2893" w14:paraId="1E2B0B59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B1A">
              <w:rPr>
                <w:rFonts w:ascii="Times New Roman" w:hAnsi="Times New Roman" w:cs="Times New Roman"/>
                <w:b/>
                <w:bCs/>
              </w:rPr>
              <w:t>40 036,30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F4905" w:rsidRPr="00531B1A" w:rsidP="00AE2893" w14:paraId="745F1997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  <w:b/>
              </w:rPr>
            </w:pPr>
            <w:r w:rsidRPr="00531B1A">
              <w:rPr>
                <w:rFonts w:ascii="Times New Roman" w:hAnsi="Times New Roman" w:cs="Times New Roman"/>
                <w:b/>
              </w:rPr>
              <w:t>39 533,5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4905" w:rsidRPr="00531B1A" w:rsidP="00AE2893" w14:paraId="7F65A1E6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  <w:b/>
              </w:rPr>
            </w:pPr>
            <w:r w:rsidRPr="00531B1A">
              <w:rPr>
                <w:rFonts w:ascii="Times New Roman" w:hAnsi="Times New Roman" w:cs="Times New Roman"/>
                <w:b/>
              </w:rPr>
              <w:t>-502,8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F4905" w:rsidRPr="00531B1A" w:rsidP="00AE2893" w14:paraId="7900F20E" w14:textId="77777777">
            <w:pPr>
              <w:pStyle w:val="NoSpacing"/>
              <w:shd w:val="clear" w:color="auto" w:fill="FFFF00"/>
              <w:jc w:val="center"/>
              <w:rPr>
                <w:rFonts w:ascii="Times New Roman" w:hAnsi="Times New Roman" w:cs="Times New Roman"/>
                <w:b/>
              </w:rPr>
            </w:pPr>
            <w:r w:rsidRPr="00531B1A">
              <w:rPr>
                <w:rFonts w:ascii="Times New Roman" w:hAnsi="Times New Roman" w:cs="Times New Roman"/>
                <w:b/>
              </w:rPr>
              <w:t>-1,3</w:t>
            </w:r>
          </w:p>
        </w:tc>
      </w:tr>
    </w:tbl>
    <w:p w:rsidR="00E566ED" w:rsidRPr="00AE2893" w:rsidP="00AE2893" w14:paraId="7121EF13" w14:textId="77777777">
      <w:pPr>
        <w:pStyle w:val="Heading1"/>
        <w:spacing w:before="0" w:line="240" w:lineRule="auto"/>
        <w:jc w:val="center"/>
        <w:rPr>
          <w:rFonts w:ascii="Times New Roman" w:hAnsi="Times New Roman" w:eastAsiaTheme="minorHAnsi" w:cs="Times New Roman"/>
          <w:color w:val="auto"/>
          <w:sz w:val="22"/>
          <w:szCs w:val="22"/>
        </w:rPr>
      </w:pPr>
    </w:p>
    <w:p w:rsidR="00794336" w:rsidRPr="00AE2893" w:rsidP="00AE2893" w14:paraId="3DDD95DA" w14:textId="77777777">
      <w:pPr>
        <w:spacing w:after="0" w:line="240" w:lineRule="auto"/>
        <w:rPr>
          <w:rFonts w:ascii="Times New Roman" w:hAnsi="Times New Roman" w:cs="Times New Roman"/>
        </w:rPr>
      </w:pPr>
      <w:r w:rsidRPr="00AE2893">
        <w:rPr>
          <w:rFonts w:ascii="Times New Roman" w:hAnsi="Times New Roman" w:cs="Times New Roman"/>
        </w:rPr>
        <w:br w:type="page"/>
      </w:r>
    </w:p>
    <w:p w:rsidR="00BF3092" w:rsidRPr="00AE2893" w:rsidP="00AE2893" w14:paraId="6D745EE3" w14:textId="7045DEA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4" w:name="_Toc510196465"/>
      <w:r>
        <w:rPr>
          <w:rFonts w:ascii="Times New Roman" w:hAnsi="Times New Roman" w:cs="Times New Roman"/>
          <w:i/>
          <w:sz w:val="28"/>
        </w:rPr>
        <w:t>1.</w:t>
      </w:r>
      <w:r>
        <w:rPr>
          <w:rFonts w:ascii="Times New Roman" w:hAnsi="Times New Roman" w:cs="Times New Roman"/>
          <w:i/>
          <w:sz w:val="28"/>
          <w:lang w:val="en-US"/>
        </w:rPr>
        <w:t>2</w:t>
      </w:r>
      <w:r w:rsidRPr="00AE2893" w:rsidR="00BC462A">
        <w:rPr>
          <w:rFonts w:ascii="Times New Roman" w:hAnsi="Times New Roman" w:cs="Times New Roman"/>
          <w:i/>
          <w:sz w:val="28"/>
        </w:rPr>
        <w:t xml:space="preserve"> </w:t>
      </w:r>
      <w:r w:rsidRPr="00AE2893" w:rsidR="00763ABA">
        <w:rPr>
          <w:rFonts w:ascii="Times New Roman" w:hAnsi="Times New Roman" w:cs="Times New Roman"/>
          <w:i/>
          <w:color w:val="000000" w:themeColor="text1"/>
          <w:sz w:val="28"/>
        </w:rPr>
        <w:t xml:space="preserve">Производство электроэнергии </w:t>
      </w:r>
      <w:r w:rsidRPr="00AE2893" w:rsidR="00763ABA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энергопроизводящими</w:t>
      </w:r>
      <w:r w:rsidRPr="00AE2893" w:rsidR="00763ABA">
        <w:rPr>
          <w:rFonts w:ascii="Times New Roman" w:hAnsi="Times New Roman" w:cs="Times New Roman"/>
          <w:i/>
          <w:color w:val="000000" w:themeColor="text1"/>
          <w:sz w:val="28"/>
        </w:rPr>
        <w:t xml:space="preserve"> о</w:t>
      </w:r>
      <w:r w:rsidRPr="00AE2893" w:rsid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рганизациями </w:t>
      </w:r>
    </w:p>
    <w:p w:rsidR="00763ABA" w:rsidRPr="00AE2893" w:rsidP="00AE2893" w14:paraId="246922E0" w14:textId="77777777">
      <w:pPr>
        <w:pStyle w:val="Heading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5" w:name="_Toc104388600"/>
      <w:r w:rsidRPr="00AE2893">
        <w:rPr>
          <w:rFonts w:ascii="Times New Roman" w:hAnsi="Times New Roman" w:cs="Times New Roman"/>
          <w:i/>
          <w:color w:val="000000" w:themeColor="text1"/>
          <w:sz w:val="28"/>
        </w:rPr>
        <w:t>АО «</w:t>
      </w:r>
      <w:r w:rsidRPr="00AE2893">
        <w:rPr>
          <w:rFonts w:ascii="Times New Roman" w:hAnsi="Times New Roman" w:cs="Times New Roman"/>
          <w:i/>
          <w:color w:val="000000" w:themeColor="text1"/>
          <w:sz w:val="28"/>
        </w:rPr>
        <w:t>Самрук-Энерго</w:t>
      </w:r>
      <w:r w:rsidRPr="00AE2893">
        <w:rPr>
          <w:rFonts w:ascii="Times New Roman" w:hAnsi="Times New Roman" w:cs="Times New Roman"/>
          <w:i/>
          <w:color w:val="000000" w:themeColor="text1"/>
          <w:sz w:val="28"/>
        </w:rPr>
        <w:t>»</w:t>
      </w:r>
      <w:bookmarkEnd w:id="5"/>
    </w:p>
    <w:p w:rsidR="000F513C" w:rsidRPr="00AE2893" w:rsidP="00AE2893" w14:paraId="706BC151" w14:textId="77777777">
      <w:pPr>
        <w:spacing w:after="0" w:line="240" w:lineRule="auto"/>
        <w:ind w:firstLine="709"/>
        <w:contextualSpacing/>
        <w:jc w:val="center"/>
        <w:rPr>
          <w:rFonts w:ascii="Times New Roman" w:eastAsia="Yu Gothic UI Semibold" w:hAnsi="Times New Roman" w:cs="Times New Roman"/>
          <w:i/>
          <w:sz w:val="28"/>
          <w:szCs w:val="28"/>
        </w:rPr>
      </w:pPr>
    </w:p>
    <w:p w:rsidR="000D46F5" w:rsidRPr="00AE2893" w:rsidP="00AE2893" w14:paraId="70E42760" w14:textId="77777777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8A1BD0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r w:rsidRPr="008A1BD0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r w:rsidRPr="008A1BD0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</w:t>
      </w:r>
      <w:r w:rsidRPr="008A1BD0" w:rsidR="00B36051">
        <w:rPr>
          <w:rFonts w:ascii="Times New Roman" w:eastAsia="Yu Gothic UI Semibold" w:hAnsi="Times New Roman" w:cs="Times New Roman"/>
          <w:sz w:val="28"/>
          <w:szCs w:val="28"/>
        </w:rPr>
        <w:t>и АО «</w:t>
      </w:r>
      <w:r w:rsidRPr="008A1BD0" w:rsidR="00B36051">
        <w:rPr>
          <w:rFonts w:ascii="Times New Roman" w:eastAsia="Yu Gothic UI Semibold" w:hAnsi="Times New Roman" w:cs="Times New Roman"/>
          <w:sz w:val="28"/>
          <w:szCs w:val="28"/>
        </w:rPr>
        <w:t>Самрук-Энерго</w:t>
      </w:r>
      <w:r w:rsidRPr="008A1BD0" w:rsidR="00B36051">
        <w:rPr>
          <w:rFonts w:ascii="Times New Roman" w:eastAsia="Yu Gothic UI Semibold" w:hAnsi="Times New Roman" w:cs="Times New Roman"/>
          <w:sz w:val="28"/>
          <w:szCs w:val="28"/>
        </w:rPr>
        <w:t>» за январь</w:t>
      </w:r>
      <w:r w:rsidRPr="008A1BD0" w:rsidR="00BA782E">
        <w:rPr>
          <w:rFonts w:ascii="Times New Roman" w:eastAsia="Yu Gothic UI Semibold" w:hAnsi="Times New Roman" w:cs="Times New Roman"/>
          <w:sz w:val="28"/>
          <w:szCs w:val="28"/>
        </w:rPr>
        <w:t>-</w:t>
      </w:r>
      <w:r w:rsidRPr="008A1BD0" w:rsidR="00C621B2">
        <w:rPr>
          <w:rFonts w:ascii="Times New Roman" w:eastAsia="Yu Gothic UI Semibold" w:hAnsi="Times New Roman" w:cs="Times New Roman"/>
          <w:sz w:val="28"/>
          <w:szCs w:val="28"/>
        </w:rPr>
        <w:t>апрель</w:t>
      </w:r>
      <w:r w:rsidRPr="008A1BD0" w:rsidR="00B36051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Pr="008A1BD0">
        <w:rPr>
          <w:rFonts w:ascii="Times New Roman" w:eastAsia="Yu Gothic UI Semibold" w:hAnsi="Times New Roman" w:cs="Times New Roman"/>
          <w:sz w:val="28"/>
          <w:szCs w:val="28"/>
        </w:rPr>
        <w:t>202</w:t>
      </w:r>
      <w:r w:rsidRPr="008A1BD0" w:rsidR="0076489C">
        <w:rPr>
          <w:rFonts w:ascii="Times New Roman" w:eastAsia="Yu Gothic UI Semibold" w:hAnsi="Times New Roman" w:cs="Times New Roman"/>
          <w:sz w:val="28"/>
          <w:szCs w:val="28"/>
        </w:rPr>
        <w:t>2</w:t>
      </w:r>
      <w:r w:rsidRPr="008A1BD0">
        <w:rPr>
          <w:rFonts w:ascii="Times New Roman" w:eastAsia="Yu Gothic UI Semibold" w:hAnsi="Times New Roman" w:cs="Times New Roman"/>
          <w:sz w:val="28"/>
          <w:szCs w:val="28"/>
        </w:rPr>
        <w:t xml:space="preserve"> года составил </w:t>
      </w:r>
      <w:r w:rsidRPr="008A1BD0" w:rsidR="00C621B2">
        <w:rPr>
          <w:rFonts w:ascii="Times New Roman" w:eastAsia="Yu Gothic UI Semibold" w:hAnsi="Times New Roman" w:cs="Times New Roman"/>
          <w:sz w:val="28"/>
          <w:szCs w:val="28"/>
        </w:rPr>
        <w:t>12 248,1</w:t>
      </w:r>
      <w:r w:rsidRPr="008A1BD0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r w:rsidRPr="008A1BD0" w:rsidR="00BB2D2B">
        <w:rPr>
          <w:rFonts w:ascii="Times New Roman" w:eastAsia="Yu Gothic UI Semibold" w:hAnsi="Times New Roman" w:cs="Times New Roman"/>
          <w:sz w:val="28"/>
          <w:szCs w:val="28"/>
        </w:rPr>
        <w:t xml:space="preserve">млн. </w:t>
      </w:r>
      <w:r w:rsidRPr="008A1BD0" w:rsidR="00BB2D2B">
        <w:rPr>
          <w:rFonts w:ascii="Times New Roman" w:eastAsia="Yu Gothic UI Semibold" w:hAnsi="Times New Roman" w:cs="Times New Roman"/>
          <w:sz w:val="28"/>
          <w:szCs w:val="28"/>
        </w:rPr>
        <w:t>кВтч</w:t>
      </w:r>
      <w:r w:rsidRPr="008A1BD0" w:rsidR="00BB2D2B">
        <w:rPr>
          <w:rFonts w:ascii="Times New Roman" w:eastAsia="Yu Gothic UI Semibold" w:hAnsi="Times New Roman" w:cs="Times New Roman"/>
          <w:sz w:val="28"/>
          <w:szCs w:val="28"/>
        </w:rPr>
        <w:t xml:space="preserve">. </w:t>
      </w:r>
      <w:r w:rsidRPr="008A1BD0" w:rsidR="0076489C">
        <w:rPr>
          <w:rFonts w:ascii="Times New Roman" w:eastAsia="Yu Gothic UI Semibold" w:hAnsi="Times New Roman" w:cs="Times New Roman"/>
          <w:sz w:val="28"/>
          <w:szCs w:val="28"/>
        </w:rPr>
        <w:t>Снижение</w:t>
      </w:r>
      <w:r w:rsidRPr="008A1BD0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Pr="008A1BD0" w:rsidR="00BB2D2B">
        <w:rPr>
          <w:rFonts w:ascii="Times New Roman" w:eastAsia="Yu Gothic UI Semibold" w:hAnsi="Times New Roman" w:cs="Times New Roman"/>
          <w:sz w:val="28"/>
          <w:szCs w:val="28"/>
        </w:rPr>
        <w:t xml:space="preserve">выработки электроэнергии </w:t>
      </w:r>
      <w:r w:rsidRPr="008A1BD0">
        <w:rPr>
          <w:rFonts w:ascii="Times New Roman" w:eastAsia="Yu Gothic UI Semibold" w:hAnsi="Times New Roman" w:cs="Times New Roman"/>
          <w:sz w:val="28"/>
          <w:szCs w:val="28"/>
        </w:rPr>
        <w:t>в сравнении с показателями аналогичного периода 202</w:t>
      </w:r>
      <w:r w:rsidRPr="008A1BD0" w:rsidR="0076489C">
        <w:rPr>
          <w:rFonts w:ascii="Times New Roman" w:eastAsia="Yu Gothic UI Semibold" w:hAnsi="Times New Roman" w:cs="Times New Roman"/>
          <w:sz w:val="28"/>
          <w:szCs w:val="28"/>
        </w:rPr>
        <w:t>1</w:t>
      </w:r>
      <w:r w:rsidRPr="008A1BD0">
        <w:rPr>
          <w:rFonts w:ascii="Times New Roman" w:eastAsia="Yu Gothic UI Semibold" w:hAnsi="Times New Roman" w:cs="Times New Roman"/>
          <w:sz w:val="28"/>
          <w:szCs w:val="28"/>
        </w:rPr>
        <w:t xml:space="preserve"> года</w:t>
      </w:r>
      <w:r w:rsidRPr="008A1BD0" w:rsidR="00BB2D2B">
        <w:rPr>
          <w:rFonts w:ascii="Times New Roman" w:eastAsia="Yu Gothic UI Semibold" w:hAnsi="Times New Roman" w:cs="Times New Roman"/>
          <w:sz w:val="28"/>
          <w:szCs w:val="28"/>
        </w:rPr>
        <w:t xml:space="preserve"> составило</w:t>
      </w:r>
      <w:r w:rsidRPr="008A1BD0" w:rsidR="00000C10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Pr="008A1BD0" w:rsidR="00C621B2">
        <w:rPr>
          <w:rFonts w:ascii="Times New Roman" w:eastAsia="Yu Gothic UI Semibold" w:hAnsi="Times New Roman" w:cs="Times New Roman"/>
          <w:sz w:val="28"/>
          <w:szCs w:val="28"/>
        </w:rPr>
        <w:t>419,6</w:t>
      </w:r>
      <w:r w:rsidRPr="008A1BD0" w:rsidR="00000C10">
        <w:rPr>
          <w:rFonts w:ascii="Times New Roman" w:eastAsia="Yu Gothic UI Semibold" w:hAnsi="Times New Roman" w:cs="Times New Roman"/>
          <w:sz w:val="28"/>
          <w:szCs w:val="28"/>
        </w:rPr>
        <w:t xml:space="preserve"> млн. </w:t>
      </w:r>
      <w:r w:rsidRPr="008A1BD0" w:rsidR="00000C10">
        <w:rPr>
          <w:rFonts w:ascii="Times New Roman" w:eastAsia="Yu Gothic UI Semibold" w:hAnsi="Times New Roman" w:cs="Times New Roman"/>
          <w:sz w:val="28"/>
          <w:szCs w:val="28"/>
        </w:rPr>
        <w:t>кВтч</w:t>
      </w:r>
      <w:r w:rsidRPr="008A1BD0" w:rsidR="00000C10">
        <w:rPr>
          <w:rFonts w:ascii="Times New Roman" w:eastAsia="Yu Gothic UI Semibold" w:hAnsi="Times New Roman" w:cs="Times New Roman"/>
          <w:sz w:val="28"/>
          <w:szCs w:val="28"/>
        </w:rPr>
        <w:t xml:space="preserve"> или</w:t>
      </w:r>
      <w:r w:rsidRPr="008A1BD0" w:rsidR="00BB2D2B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Pr="008A1BD0" w:rsidR="00C621B2">
        <w:rPr>
          <w:rFonts w:ascii="Times New Roman" w:eastAsia="Yu Gothic UI Semibold" w:hAnsi="Times New Roman" w:cs="Times New Roman"/>
          <w:sz w:val="28"/>
          <w:szCs w:val="28"/>
        </w:rPr>
        <w:t>3,3</w:t>
      </w:r>
      <w:r w:rsidRPr="008A1BD0" w:rsidR="00BB2D2B">
        <w:rPr>
          <w:rFonts w:ascii="Times New Roman" w:eastAsia="Yu Gothic UI Semibold" w:hAnsi="Times New Roman" w:cs="Times New Roman"/>
          <w:sz w:val="28"/>
          <w:szCs w:val="28"/>
        </w:rPr>
        <w:t>%</w:t>
      </w:r>
      <w:r w:rsidRPr="008A1BD0" w:rsidR="00867311">
        <w:rPr>
          <w:rFonts w:ascii="Times New Roman" w:eastAsia="Yu Gothic UI Semibold" w:hAnsi="Times New Roman" w:cs="Times New Roman"/>
          <w:sz w:val="28"/>
          <w:szCs w:val="28"/>
        </w:rPr>
        <w:t>.</w:t>
      </w:r>
      <w:r w:rsidRPr="008A1BD0" w:rsidR="00C86D09">
        <w:rPr>
          <w:rFonts w:ascii="Times New Roman" w:eastAsia="Yu Gothic UI Semibold" w:hAnsi="Times New Roman" w:cs="Times New Roman"/>
          <w:sz w:val="28"/>
          <w:szCs w:val="28"/>
        </w:rPr>
        <w:t xml:space="preserve"> Снижение наблюдается на всех электрических станциях</w:t>
      </w:r>
      <w:r w:rsidRPr="008A1BD0" w:rsidR="00BA782E">
        <w:rPr>
          <w:rFonts w:ascii="Times New Roman" w:eastAsia="Yu Gothic UI Semibold" w:hAnsi="Times New Roman" w:cs="Times New Roman"/>
          <w:sz w:val="28"/>
          <w:szCs w:val="28"/>
        </w:rPr>
        <w:t>, за исключением ТОО «</w:t>
      </w:r>
      <w:r w:rsidRPr="008A1BD0" w:rsidR="00C621B2">
        <w:rPr>
          <w:rFonts w:ascii="Times New Roman" w:eastAsia="Yu Gothic UI Semibold" w:hAnsi="Times New Roman" w:cs="Times New Roman"/>
          <w:sz w:val="28"/>
          <w:szCs w:val="28"/>
        </w:rPr>
        <w:t>Первая ветровая электрическая станция</w:t>
      </w:r>
      <w:r w:rsidRPr="008A1BD0" w:rsidR="00BA782E">
        <w:rPr>
          <w:rFonts w:ascii="Times New Roman" w:eastAsia="Yu Gothic UI Semibold" w:hAnsi="Times New Roman" w:cs="Times New Roman"/>
          <w:sz w:val="28"/>
          <w:szCs w:val="28"/>
        </w:rPr>
        <w:t>».</w:t>
      </w:r>
    </w:p>
    <w:p w:rsidR="008364B1" w:rsidRPr="00AE2893" w:rsidP="00AE2893" w14:paraId="7BC77DE4" w14:textId="77777777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2893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r w:rsidRPr="00AE2893">
        <w:rPr>
          <w:rFonts w:ascii="Times New Roman" w:hAnsi="Times New Roman" w:cs="Times New Roman"/>
          <w:i/>
          <w:sz w:val="24"/>
          <w:szCs w:val="24"/>
        </w:rPr>
        <w:t>кВтч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14:paraId="1BA9211D" w14:textId="77777777" w:rsidTr="000F674C">
        <w:tblPrEx>
          <w:tblW w:w="103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5"/>
          <w:jc w:val="center"/>
        </w:trPr>
        <w:tc>
          <w:tcPr>
            <w:tcW w:w="438" w:type="dxa"/>
            <w:vMerge w:val="restart"/>
            <w:shd w:val="clear" w:color="auto" w:fill="8DB3E2" w:themeFill="text2" w:themeFillTint="66"/>
            <w:vAlign w:val="center"/>
            <w:hideMark/>
          </w:tcPr>
          <w:p w:rsidR="008364B1" w:rsidRPr="00AE2893" w:rsidP="00AE2893" w14:paraId="2F3582F3" w14:textId="3736F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п/п</w:t>
            </w:r>
          </w:p>
        </w:tc>
        <w:tc>
          <w:tcPr>
            <w:tcW w:w="3166" w:type="dxa"/>
            <w:vMerge w:val="restart"/>
            <w:shd w:val="clear" w:color="auto" w:fill="8DB3E2" w:themeFill="text2" w:themeFillTint="66"/>
            <w:vAlign w:val="center"/>
            <w:hideMark/>
          </w:tcPr>
          <w:p w:rsidR="008364B1" w:rsidRPr="00AE2893" w:rsidP="00AE2893" w14:paraId="32ED6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97" w:type="dxa"/>
            <w:gridSpan w:val="2"/>
            <w:shd w:val="clear" w:color="auto" w:fill="8DB3E2" w:themeFill="text2" w:themeFillTint="66"/>
            <w:vAlign w:val="center"/>
            <w:hideMark/>
          </w:tcPr>
          <w:p w:rsidR="008364B1" w:rsidRPr="00AE2893" w:rsidP="00AE2893" w14:paraId="58743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Pr="00AE2893" w:rsidR="0076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297" w:type="dxa"/>
            <w:gridSpan w:val="2"/>
            <w:shd w:val="clear" w:color="auto" w:fill="8DB3E2" w:themeFill="text2" w:themeFillTint="66"/>
            <w:vAlign w:val="center"/>
            <w:hideMark/>
          </w:tcPr>
          <w:p w:rsidR="008364B1" w:rsidRPr="00AE2893" w:rsidP="00AE2893" w14:paraId="7EC65B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Pr="00AE2893" w:rsidR="0076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 </w:t>
            </w:r>
          </w:p>
        </w:tc>
        <w:tc>
          <w:tcPr>
            <w:tcW w:w="2102" w:type="dxa"/>
            <w:gridSpan w:val="2"/>
            <w:shd w:val="clear" w:color="auto" w:fill="8DB3E2" w:themeFill="text2" w:themeFillTint="66"/>
            <w:vAlign w:val="center"/>
            <w:hideMark/>
          </w:tcPr>
          <w:p w:rsidR="008364B1" w:rsidRPr="00AE2893" w:rsidP="00AE2893" w14:paraId="1AADE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</w:t>
            </w:r>
            <w:r w:rsidRPr="00AE2893" w:rsidR="0076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/202</w:t>
            </w:r>
            <w:r w:rsidRPr="00AE2893" w:rsidR="0076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</w:t>
            </w:r>
          </w:p>
        </w:tc>
      </w:tr>
      <w:tr w14:paraId="6DD48D08" w14:textId="77777777" w:rsidTr="000F674C">
        <w:tblPrEx>
          <w:tblW w:w="10300" w:type="dxa"/>
          <w:jc w:val="center"/>
          <w:tblLook w:val="04A0"/>
        </w:tblPrEx>
        <w:trPr>
          <w:trHeight w:val="665"/>
          <w:jc w:val="center"/>
        </w:trPr>
        <w:tc>
          <w:tcPr>
            <w:tcW w:w="438" w:type="dxa"/>
            <w:vMerge/>
            <w:shd w:val="clear" w:color="auto" w:fill="8DB3E2" w:themeFill="text2" w:themeFillTint="66"/>
            <w:vAlign w:val="center"/>
            <w:hideMark/>
          </w:tcPr>
          <w:p w:rsidR="00226B4C" w:rsidRPr="00AE2893" w:rsidP="00AE2893" w14:paraId="42681C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6" w:type="dxa"/>
            <w:vMerge/>
            <w:shd w:val="clear" w:color="auto" w:fill="8DB3E2" w:themeFill="text2" w:themeFillTint="66"/>
            <w:vAlign w:val="center"/>
            <w:hideMark/>
          </w:tcPr>
          <w:p w:rsidR="00226B4C" w:rsidRPr="00AE2893" w:rsidP="00AE2893" w14:paraId="2F2287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:rsidR="00226B4C" w:rsidRPr="008A1BD0" w:rsidP="00AE2893" w14:paraId="5ABEA0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Pr="008A1BD0" w:rsidR="00BA782E">
              <w:rPr>
                <w:rFonts w:ascii="Times New Roman" w:hAnsi="Times New Roman" w:cs="Times New Roman"/>
                <w:b/>
                <w:bCs/>
              </w:rPr>
              <w:t>-</w:t>
            </w:r>
            <w:r w:rsidRPr="008A1BD0" w:rsidR="00C621B2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01" w:type="dxa"/>
            <w:shd w:val="clear" w:color="auto" w:fill="8DB3E2" w:themeFill="text2" w:themeFillTint="66"/>
            <w:vAlign w:val="center"/>
            <w:hideMark/>
          </w:tcPr>
          <w:p w:rsidR="00226B4C" w:rsidRPr="008A1BD0" w:rsidP="00AE2893" w14:paraId="5E1F25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:rsidR="00226B4C" w:rsidRPr="008A1BD0" w:rsidP="00AE2893" w14:paraId="6C0121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Pr="008A1BD0" w:rsidR="00C621B2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01" w:type="dxa"/>
            <w:shd w:val="clear" w:color="auto" w:fill="8DB3E2" w:themeFill="text2" w:themeFillTint="66"/>
            <w:vAlign w:val="center"/>
            <w:hideMark/>
          </w:tcPr>
          <w:p w:rsidR="00226B4C" w:rsidRPr="008A1BD0" w:rsidP="00AE2893" w14:paraId="02633D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:rsidR="00226B4C" w:rsidRPr="008A1BD0" w:rsidP="00AE2893" w14:paraId="342EC2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r w:rsidRPr="008A1BD0">
              <w:rPr>
                <w:rFonts w:ascii="Times New Roman" w:hAnsi="Times New Roman" w:cs="Times New Roman"/>
                <w:b/>
                <w:bCs/>
              </w:rPr>
              <w:t>кВтч</w:t>
            </w:r>
          </w:p>
        </w:tc>
        <w:tc>
          <w:tcPr>
            <w:tcW w:w="968" w:type="dxa"/>
            <w:shd w:val="clear" w:color="auto" w:fill="8DB3E2" w:themeFill="text2" w:themeFillTint="66"/>
            <w:vAlign w:val="center"/>
            <w:hideMark/>
          </w:tcPr>
          <w:p w:rsidR="00226B4C" w:rsidRPr="008A1BD0" w:rsidP="00AE2893" w14:paraId="00DE5E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14:paraId="17B30222" w14:textId="77777777" w:rsidTr="000F674C">
        <w:tblPrEx>
          <w:tblW w:w="10300" w:type="dxa"/>
          <w:jc w:val="center"/>
          <w:tblLook w:val="04A0"/>
        </w:tblPrEx>
        <w:trPr>
          <w:trHeight w:val="340"/>
          <w:jc w:val="center"/>
        </w:trPr>
        <w:tc>
          <w:tcPr>
            <w:tcW w:w="438" w:type="dxa"/>
            <w:shd w:val="clear" w:color="auto" w:fill="17365D" w:themeFill="text2" w:themeFillShade="BF"/>
            <w:vAlign w:val="center"/>
            <w:hideMark/>
          </w:tcPr>
          <w:p w:rsidR="00610FF5" w:rsidRPr="00AE2893" w:rsidP="00AE2893" w14:paraId="0E335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17365D" w:themeFill="text2" w:themeFillShade="BF"/>
            <w:vAlign w:val="center"/>
            <w:hideMark/>
          </w:tcPr>
          <w:p w:rsidR="00610FF5" w:rsidRPr="00AE2893" w:rsidP="00AE2893" w14:paraId="637726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:rsidR="00610FF5" w:rsidRPr="008A1BD0" w:rsidP="00AE2893" w14:paraId="6CFD7155" w14:textId="7A27F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12</w:t>
            </w:r>
            <w:r w:rsidRPr="008A1BD0" w:rsidR="005934B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A1BD0">
              <w:rPr>
                <w:rFonts w:ascii="Times New Roman" w:hAnsi="Times New Roman" w:cs="Times New Roman"/>
                <w:b/>
                <w:bCs/>
              </w:rPr>
              <w:t>667,7</w:t>
            </w:r>
          </w:p>
        </w:tc>
        <w:tc>
          <w:tcPr>
            <w:tcW w:w="1101" w:type="dxa"/>
            <w:shd w:val="clear" w:color="auto" w:fill="17365D" w:themeFill="text2" w:themeFillShade="BF"/>
            <w:vAlign w:val="center"/>
          </w:tcPr>
          <w:p w:rsidR="00610FF5" w:rsidRPr="008A1BD0" w:rsidP="00AE2893" w14:paraId="51F1CB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31,6%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:rsidR="00610FF5" w:rsidRPr="008A1BD0" w:rsidP="00AE2893" w14:paraId="441617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12 248,1</w:t>
            </w:r>
          </w:p>
        </w:tc>
        <w:tc>
          <w:tcPr>
            <w:tcW w:w="1101" w:type="dxa"/>
            <w:shd w:val="clear" w:color="auto" w:fill="17365D" w:themeFill="text2" w:themeFillShade="BF"/>
            <w:vAlign w:val="center"/>
          </w:tcPr>
          <w:p w:rsidR="00610FF5" w:rsidRPr="008A1BD0" w:rsidP="00AE2893" w14:paraId="1E7F0A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31,0%</w:t>
            </w:r>
          </w:p>
        </w:tc>
        <w:tc>
          <w:tcPr>
            <w:tcW w:w="1134" w:type="dxa"/>
            <w:shd w:val="clear" w:color="auto" w:fill="17365D" w:themeFill="text2" w:themeFillShade="BF"/>
            <w:vAlign w:val="center"/>
          </w:tcPr>
          <w:p w:rsidR="00610FF5" w:rsidRPr="008A1BD0" w:rsidP="00AE2893" w14:paraId="0AB9A3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-419,6</w:t>
            </w:r>
          </w:p>
        </w:tc>
        <w:tc>
          <w:tcPr>
            <w:tcW w:w="968" w:type="dxa"/>
            <w:shd w:val="clear" w:color="auto" w:fill="17365D" w:themeFill="text2" w:themeFillShade="BF"/>
            <w:vAlign w:val="center"/>
          </w:tcPr>
          <w:p w:rsidR="00610FF5" w:rsidRPr="008A1BD0" w:rsidP="00AE2893" w14:paraId="0EC431B1" w14:textId="2E83C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-3,3</w:t>
            </w:r>
          </w:p>
        </w:tc>
      </w:tr>
      <w:tr w14:paraId="0C20465F" w14:textId="77777777" w:rsidTr="00610FF5">
        <w:tblPrEx>
          <w:tblW w:w="10300" w:type="dxa"/>
          <w:jc w:val="center"/>
          <w:tblLook w:val="04A0"/>
        </w:tblPrEx>
        <w:trPr>
          <w:trHeight w:val="34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:rsidR="00610FF5" w:rsidRPr="00AE2893" w:rsidP="00AE2893" w14:paraId="49659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610FF5" w:rsidRPr="00AE2893" w:rsidP="00AE2893" w14:paraId="59D124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610FF5" w:rsidRPr="008A1BD0" w:rsidP="00AE2893" w14:paraId="478168EA" w14:textId="69E4A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</w:t>
            </w:r>
            <w:r w:rsidRPr="008A1BD0" w:rsidR="005934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1BD0">
              <w:rPr>
                <w:rFonts w:ascii="Times New Roman" w:hAnsi="Times New Roman" w:cs="Times New Roman"/>
              </w:rPr>
              <w:t>961,1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4AA2BF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4,9%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60912B09" w14:textId="0499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</w:t>
            </w:r>
            <w:r w:rsidRPr="008A1BD0" w:rsidR="005934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1BD0">
              <w:rPr>
                <w:rFonts w:ascii="Times New Roman" w:hAnsi="Times New Roman" w:cs="Times New Roman"/>
              </w:rPr>
              <w:t>879,5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3C2CD8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4,8%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0FF5" w:rsidRPr="008A1BD0" w:rsidP="00AE2893" w14:paraId="1F6B43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-81,6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10FF5" w:rsidRPr="008A1BD0" w:rsidP="00AE2893" w14:paraId="7109481C" w14:textId="079FF8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-4,2</w:t>
            </w:r>
          </w:p>
        </w:tc>
      </w:tr>
      <w:tr w14:paraId="7375329D" w14:textId="77777777" w:rsidTr="00610FF5">
        <w:tblPrEx>
          <w:tblW w:w="10300" w:type="dxa"/>
          <w:jc w:val="center"/>
          <w:tblLook w:val="04A0"/>
        </w:tblPrEx>
        <w:trPr>
          <w:trHeight w:val="34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:rsidR="00610FF5" w:rsidRPr="00AE2893" w:rsidP="00AE2893" w14:paraId="4D386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610FF5" w:rsidRPr="00AE2893" w:rsidP="00AE2893" w14:paraId="0823F1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ГРЭС-1»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610FF5" w:rsidRPr="008A1BD0" w:rsidP="00AE2893" w14:paraId="65F25956" w14:textId="089A1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7</w:t>
            </w:r>
            <w:r w:rsidRPr="008A1BD0" w:rsidR="005934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1BD0">
              <w:rPr>
                <w:rFonts w:ascii="Times New Roman" w:hAnsi="Times New Roman" w:cs="Times New Roman"/>
              </w:rPr>
              <w:t>688,4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1D5A17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19,2%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244657DD" w14:textId="1BA59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7</w:t>
            </w:r>
            <w:r w:rsidRPr="008A1BD0" w:rsidR="005934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1BD0">
              <w:rPr>
                <w:rFonts w:ascii="Times New Roman" w:hAnsi="Times New Roman" w:cs="Times New Roman"/>
              </w:rPr>
              <w:t>680,7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39A572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19,4%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0FF5" w:rsidRPr="008A1BD0" w:rsidP="00AE2893" w14:paraId="1B21DC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-7,7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10FF5" w:rsidRPr="008A1BD0" w:rsidP="00AE2893" w14:paraId="7D20EEC7" w14:textId="0BB767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-0,1</w:t>
            </w:r>
          </w:p>
        </w:tc>
      </w:tr>
      <w:tr w14:paraId="6CEF3ABE" w14:textId="77777777" w:rsidTr="00610FF5">
        <w:tblPrEx>
          <w:tblW w:w="10300" w:type="dxa"/>
          <w:jc w:val="center"/>
          <w:tblLook w:val="04A0"/>
        </w:tblPrEx>
        <w:trPr>
          <w:trHeight w:val="34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:rsidR="00610FF5" w:rsidRPr="00AE2893" w:rsidP="00AE2893" w14:paraId="7223A7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610FF5" w:rsidRPr="00AE2893" w:rsidP="00AE2893" w14:paraId="5CE353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ГРЭС-2»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610FF5" w:rsidRPr="008A1BD0" w:rsidP="00AE2893" w14:paraId="1805ACB6" w14:textId="3A346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2</w:t>
            </w:r>
            <w:r w:rsidRPr="008A1BD0" w:rsidR="005934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1BD0">
              <w:rPr>
                <w:rFonts w:ascii="Times New Roman" w:hAnsi="Times New Roman" w:cs="Times New Roman"/>
              </w:rPr>
              <w:t>529,9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2CBF89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6,3%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4B0E975C" w14:textId="08673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2</w:t>
            </w:r>
            <w:r w:rsidRPr="008A1BD0" w:rsidR="005934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1BD0"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09D18A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5,8%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0FF5" w:rsidRPr="008A1BD0" w:rsidP="00AE2893" w14:paraId="46A8ED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-251,4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10FF5" w:rsidRPr="008A1BD0" w:rsidP="00AE2893" w14:paraId="59B41750" w14:textId="3A0005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-9,9</w:t>
            </w:r>
          </w:p>
        </w:tc>
      </w:tr>
      <w:tr w14:paraId="6D081A91" w14:textId="77777777" w:rsidTr="00075A0B">
        <w:tblPrEx>
          <w:tblW w:w="10300" w:type="dxa"/>
          <w:jc w:val="center"/>
          <w:tblLook w:val="04A0"/>
        </w:tblPrEx>
        <w:trPr>
          <w:trHeight w:val="34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:rsidR="00610FF5" w:rsidRPr="00AE2893" w:rsidP="00AE2893" w14:paraId="30AD6D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610FF5" w:rsidRPr="00AE2893" w:rsidP="00AE2893" w14:paraId="084815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5067A5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222,7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333342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0,6%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5097A2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147,6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644E2A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0FF5" w:rsidRPr="008A1BD0" w:rsidP="00AE2893" w14:paraId="25AF43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-75,1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10FF5" w:rsidRPr="008A1BD0" w:rsidP="00AE2893" w14:paraId="4FB4FAD8" w14:textId="323C94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-33,7</w:t>
            </w:r>
          </w:p>
        </w:tc>
      </w:tr>
      <w:tr w14:paraId="2044057E" w14:textId="77777777" w:rsidTr="00075A0B">
        <w:tblPrEx>
          <w:tblW w:w="10300" w:type="dxa"/>
          <w:jc w:val="center"/>
          <w:tblLook w:val="04A0"/>
        </w:tblPrEx>
        <w:trPr>
          <w:trHeight w:val="34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:rsidR="00610FF5" w:rsidRPr="00AE2893" w:rsidP="00AE2893" w14:paraId="6AF00E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610FF5" w:rsidRPr="00AE2893" w:rsidP="00AE2893" w14:paraId="1661BA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Мойнакская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3E3303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203,9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460A5B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0,5%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1652F4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195,6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078B43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0FF5" w:rsidRPr="008A1BD0" w:rsidP="00AE2893" w14:paraId="049815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-8,3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10FF5" w:rsidRPr="008A1BD0" w:rsidP="00AE2893" w14:paraId="597CB54C" w14:textId="138C6E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-4,1</w:t>
            </w:r>
          </w:p>
        </w:tc>
      </w:tr>
      <w:tr w14:paraId="1CC6F295" w14:textId="77777777" w:rsidTr="00610FF5">
        <w:tblPrEx>
          <w:tblW w:w="10300" w:type="dxa"/>
          <w:jc w:val="center"/>
          <w:tblLook w:val="04A0"/>
        </w:tblPrEx>
        <w:trPr>
          <w:trHeight w:val="34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:rsidR="00610FF5" w:rsidRPr="00AE2893" w:rsidP="00AE2893" w14:paraId="6C9387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610FF5" w:rsidRPr="00AE2893" w:rsidP="00AE2893" w14:paraId="72BA1D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610FF5" w:rsidRPr="008A1BD0" w:rsidP="00AE2893" w14:paraId="69197E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122944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542AD4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0A249A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0FF5" w:rsidRPr="008A1BD0" w:rsidP="00AE2893" w14:paraId="393830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-0,10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10FF5" w:rsidRPr="008A1BD0" w:rsidP="00AE2893" w14:paraId="3B9D4E05" w14:textId="095D5C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-1,5</w:t>
            </w:r>
          </w:p>
        </w:tc>
      </w:tr>
      <w:tr w14:paraId="42414040" w14:textId="77777777" w:rsidTr="00610FF5">
        <w:tblPrEx>
          <w:tblW w:w="10300" w:type="dxa"/>
          <w:jc w:val="center"/>
          <w:tblLook w:val="04A0"/>
        </w:tblPrEx>
        <w:trPr>
          <w:trHeight w:val="34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:rsidR="00610FF5" w:rsidRPr="00AE2893" w:rsidP="00AE2893" w14:paraId="1754E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610FF5" w:rsidRPr="00AE2893" w:rsidP="00AE2893" w14:paraId="3007E1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396361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34AB5E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0,1%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610FF5" w:rsidRPr="008A1BD0" w:rsidP="00AE2893" w14:paraId="2D4B64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59,5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10FF5" w:rsidRPr="008A1BD0" w:rsidP="00AE2893" w14:paraId="406A35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0FF5" w:rsidRPr="008A1BD0" w:rsidP="00AE2893" w14:paraId="459A06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4,6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10FF5" w:rsidRPr="008A1BD0" w:rsidP="00AE2893" w14:paraId="40EC3F32" w14:textId="04B92F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BD0">
              <w:rPr>
                <w:rFonts w:ascii="Times New Roman" w:hAnsi="Times New Roman" w:cs="Times New Roman"/>
                <w:i/>
                <w:iCs/>
              </w:rPr>
              <w:t>8,4</w:t>
            </w:r>
          </w:p>
        </w:tc>
      </w:tr>
      <w:bookmarkEnd w:id="4"/>
    </w:tbl>
    <w:p w:rsidR="00211524" w:rsidRPr="00AE2893" w:rsidP="00AE2893" w14:paraId="5C4A9DFB" w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524" w:rsidRPr="00AE2893" w:rsidP="00AE2893" w14:paraId="359B9202" w14:textId="0821C799">
      <w:pPr>
        <w:pStyle w:val="Heading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6" w:name="_Toc104388601"/>
      <w:r>
        <w:rPr>
          <w:rFonts w:ascii="Times New Roman" w:hAnsi="Times New Roman" w:cs="Times New Roman"/>
          <w:i/>
          <w:color w:val="000000" w:themeColor="text1"/>
          <w:sz w:val="28"/>
        </w:rPr>
        <w:t>1.</w:t>
      </w:r>
      <w:r w:rsidRPr="008A1BD0">
        <w:rPr>
          <w:rFonts w:ascii="Times New Roman" w:hAnsi="Times New Roman" w:cs="Times New Roman"/>
          <w:i/>
          <w:color w:val="000000" w:themeColor="text1"/>
          <w:sz w:val="28"/>
        </w:rPr>
        <w:t>3</w:t>
      </w:r>
      <w:r w:rsidRPr="00AE2893" w:rsid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Pr="00AE2893" w:rsidR="00AC0D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r w:rsidRPr="00AE2893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r w:rsidRPr="00AE2893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r w:rsidRPr="00AE2893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r w:rsidRPr="00AE2893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6"/>
      <w:r w:rsidRPr="00AE28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C0DD3" w:rsidRPr="00AE2893" w:rsidP="00AE2893" w14:paraId="2C3D18D1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AE28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Pr="00AE28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выработк</w:t>
      </w:r>
      <w:r w:rsidRPr="00AE28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AE28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электроэнергии </w:t>
      </w:r>
      <w:r w:rsidRPr="00AE2893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:rsidR="004E43BC" w:rsidRPr="00AE2893" w:rsidP="00AE2893" w14:paraId="3EEDC558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5B4E26" w:rsidRPr="00AE2893" w:rsidP="00AE2893" w14:paraId="42B89C62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318EE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</w:t>
      </w:r>
      <w:r w:rsidRPr="000318EE">
        <w:rPr>
          <w:rFonts w:ascii="Times New Roman" w:hAnsi="Times New Roman" w:cs="Times New Roman"/>
          <w:sz w:val="28"/>
        </w:rPr>
        <w:t>Самрук-Энерго</w:t>
      </w:r>
      <w:r w:rsidRPr="000318EE">
        <w:rPr>
          <w:rFonts w:ascii="Times New Roman" w:hAnsi="Times New Roman" w:cs="Times New Roman"/>
          <w:sz w:val="28"/>
        </w:rPr>
        <w:t>» на рынке электрической энергии Казахстана остается лидирующей и составляет 3</w:t>
      </w:r>
      <w:r w:rsidRPr="000318EE" w:rsidR="00862F90">
        <w:rPr>
          <w:rFonts w:ascii="Times New Roman" w:hAnsi="Times New Roman" w:cs="Times New Roman"/>
          <w:sz w:val="28"/>
          <w:lang w:val="kk-KZ"/>
        </w:rPr>
        <w:t>1</w:t>
      </w:r>
      <w:r w:rsidRPr="000318EE">
        <w:rPr>
          <w:rFonts w:ascii="Times New Roman" w:hAnsi="Times New Roman" w:cs="Times New Roman"/>
          <w:sz w:val="28"/>
        </w:rPr>
        <w:t>,</w:t>
      </w:r>
      <w:r w:rsidRPr="000318EE" w:rsidR="00C621B2">
        <w:rPr>
          <w:rFonts w:ascii="Times New Roman" w:hAnsi="Times New Roman" w:cs="Times New Roman"/>
          <w:sz w:val="28"/>
        </w:rPr>
        <w:t>0</w:t>
      </w:r>
      <w:r w:rsidRPr="000318EE">
        <w:rPr>
          <w:rFonts w:ascii="Times New Roman" w:hAnsi="Times New Roman" w:cs="Times New Roman"/>
          <w:sz w:val="28"/>
        </w:rPr>
        <w:t>%.</w:t>
      </w:r>
    </w:p>
    <w:p w:rsidR="00BA383A" w:rsidRPr="00AE2893" w:rsidP="00AE2893" w14:paraId="3F542628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776884</wp:posOffset>
                </wp:positionV>
                <wp:extent cx="1536192" cy="1021918"/>
                <wp:effectExtent l="0" t="0" r="0" b="698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36192" cy="1021918"/>
                          <a:chOff x="0" y="0"/>
                          <a:chExt cx="2028190" cy="1424774"/>
                        </a:xfrm>
                      </wpg:grpSpPr>
                      <wps:wsp xmlns:wps="http://schemas.microsoft.com/office/word/2010/wordprocessingShape">
                        <wps:cNvPr id="7" name="椭圆 99">
                          <a:extLst>
                            <a:ext xmlns:a="http://schemas.openxmlformats.org/drawingml/2006/main" uri="{FF2B5EF4-FFF2-40B4-BE49-F238E27FC236}">
                              <a16:creationId xmlns="" xmlns:a16="http://schemas.microsoft.com/office/drawing/2014/main" xmlns:lc="http://schemas.openxmlformats.org/drawingml/2006/lockedCanvas" xmlns:o="urn:schemas-microsoft-com:office:office" xmlns:p="http://schemas.openxmlformats.org/presentationml/2006/main" xmlns:v="urn:schemas-microsoft-com:vml" xmlns:w="http://schemas.openxmlformats.org/wordprocessingml/2006/main" xmlns:w10="urn:schemas-microsoft-com:office:word" id="{8FE6E634-EEC9-4F81-9C4A-7C69A477A8AE}"/>
                            </a:ext>
                          </a:extLst>
                        </wps:cNvPr>
                        <wps:cNvSpPr/>
                        <wps:spPr>
                          <a:xfrm>
                            <a:off x="285008" y="0"/>
                            <a:ext cx="1443309" cy="142477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35000">
                                <a:sysClr val="window" lastClr="FFFFFF">
                                  <a:lumMod val="85000"/>
                                </a:sysClr>
                              </a:gs>
                              <a:gs pos="100000">
                                <a:srgbClr val="F1F1F1"/>
                              </a:gs>
                            </a:gsLst>
                            <a:lin ang="2700000" scaled="1"/>
                          </a:gradFill>
                          <a:ln w="28575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 xmlns:wps="http://schemas.microsoft.com/office/word/2010/wordprocessingShape">
                        <wps:cNvPr id="13" name="文本框 29">
                          <a:extLst>
                            <a:ext xmlns:a="http://schemas.openxmlformats.org/drawingml/2006/main" uri="{FF2B5EF4-FFF2-40B4-BE49-F238E27FC236}">
                              <a16:creationId xmlns="" xmlns:a16="http://schemas.microsoft.com/office/drawing/2014/main" xmlns:lc="http://schemas.openxmlformats.org/drawingml/2006/lockedCanvas" xmlns:o="urn:schemas-microsoft-com:office:office" xmlns:p="http://schemas.openxmlformats.org/presentationml/2006/main" xmlns:v="urn:schemas-microsoft-com:vml" xmlns:w="http://schemas.openxmlformats.org/wordprocessingml/2006/main" xmlns:w10="urn:schemas-microsoft-com:office:word" id="{6659D431-6C8C-4721-9523-D4AA0ECE037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44384"/>
                            <a:ext cx="202819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002A" w:rsidRPr="005217AD" w:rsidP="00291819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Казахстан</w:t>
                              </w:r>
                            </w:p>
                            <w:p w:rsidR="00A0002A" w:rsidP="00291819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F1562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9 533</w:t>
                              </w:r>
                              <w:r w:rsidRPr="00F1562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5</w:t>
                              </w:r>
                              <w:r w:rsidRPr="00F1562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0002A" w:rsidRPr="00291819" w:rsidP="00291819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млн. </w:t>
                              </w: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кВтч</w:t>
                              </w: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5" style="width:120.95pt;height:80.45pt;margin-top:61.15pt;margin-left:0;mso-height-relative:margin;mso-position-horizontal:center;mso-position-horizontal-relative:margin;mso-width-relative:margin;position:absolute;z-index:251659264" coordsize="20281,14247">
                <v:oval id="椭圆 99" o:spid="_x0000_s1026" style="width:14433;height:14247;left:2850;mso-wrap-style:square;position:absolute;visibility:visible;v-text-anchor:middle" fillcolor="#d9d9d9" stroked="f" strokeweight="2.25pt">
                  <v:fill color2="#f1f1f1" rotate="t" angle="45" colors="0 #d9d9d9;22938f #d9d9d9" focus="100%" type="gradien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20281;height:6173;mso-wrap-style:square;position:absolute;top:3443;visibility:visible;v-text-anchor:top" filled="f" stroked="f">
                  <v:textbox>
                    <w:txbxContent>
                      <w:p w:rsidR="00A0002A" w:rsidRPr="005217AD" w:rsidP="00291819" w14:paraId="62F1BA14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Казахстан</w:t>
                        </w:r>
                      </w:p>
                      <w:p w:rsidR="00A0002A" w:rsidP="00291819" w14:paraId="6E7C7D16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F15626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9 533</w:t>
                        </w:r>
                        <w:r w:rsidRPr="00F15626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,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5</w:t>
                        </w:r>
                        <w:r w:rsidRPr="00F15626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 xml:space="preserve"> </w:t>
                        </w:r>
                      </w:p>
                      <w:p w:rsidR="00A0002A" w:rsidRPr="00291819" w:rsidP="00291819" w14:paraId="38D79D71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 xml:space="preserve">млн. </w:t>
                        </w: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кВтч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E289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1479499</wp:posOffset>
                </wp:positionH>
                <wp:positionV relativeFrom="paragraph">
                  <wp:posOffset>571907</wp:posOffset>
                </wp:positionV>
                <wp:extent cx="762000" cy="617017"/>
                <wp:effectExtent l="0" t="0" r="0" b="0"/>
                <wp:wrapNone/>
                <wp:docPr id="9" name="文本框 29">
                  <a:extLst xmlns:a="http://schemas.openxmlformats.org/drawingml/2006/main">
                    <a:ext xmlns:a="http://schemas.openxmlformats.org/drawingml/2006/main" uri="{FF2B5EF4-FFF2-40B4-BE49-F238E27FC236}">
                      <a16:creationId xmlns="" xmlns:a16="http://schemas.microsoft.com/office/drawing/2014/main" xmlns:lc="http://schemas.openxmlformats.org/drawingml/2006/lockedCanvas" xmlns:o="urn:schemas-microsoft-com:office:office" xmlns:p="http://schemas.openxmlformats.org/presentationml/2006/main" xmlns:v="urn:schemas-microsoft-com:vml" xmlns:w="http://schemas.openxmlformats.org/wordprocessingml/2006/main" xmlns:w10="urn:schemas-microsoft-com:office:word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2000" cy="6170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02A" w:rsidRPr="00291819" w:rsidP="00194480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9" o:spid="_x0000_s1028" type="#_x0000_t202" style="width:60pt;height:48.6pt;margin-top:45.05pt;margin-left:116.5pt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 style="mso-fit-shape-to-text:t">
                  <w:txbxContent>
                    <w:p w:rsidR="00A0002A" w:rsidRPr="00291819" w:rsidP="00194480" w14:paraId="551A5B88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</w:p>
    <w:p w:rsidR="000F513C" w:rsidRPr="00AE2893" w:rsidP="00AE2893" w14:paraId="1A489C1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9EF" w:rsidRPr="008A1BD0" w:rsidP="00AE2893" w14:paraId="6E998DE6" w14:textId="77777777">
      <w:pPr>
        <w:pStyle w:val="Heading1"/>
        <w:numPr>
          <w:ilvl w:val="0"/>
          <w:numId w:val="2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507606020"/>
      <w:bookmarkStart w:id="8" w:name="_Toc104388602"/>
      <w:r w:rsidRPr="008A1BD0">
        <w:rPr>
          <w:rFonts w:ascii="Times New Roman" w:hAnsi="Times New Roman" w:cs="Times New Roman"/>
          <w:b/>
          <w:color w:val="auto"/>
          <w:sz w:val="28"/>
        </w:rPr>
        <w:t>Потребление электрической энергии в ЕЭС Казахстана</w:t>
      </w:r>
      <w:bookmarkEnd w:id="7"/>
      <w:bookmarkEnd w:id="8"/>
    </w:p>
    <w:p w:rsidR="004119EF" w:rsidRPr="008A1BD0" w:rsidP="00AE2893" w14:paraId="13E5A572" w14:textId="77777777">
      <w:pPr>
        <w:pStyle w:val="Heading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1855B1" w:rsidRPr="008A1BD0" w:rsidP="00AE2893" w14:paraId="6C08C7AD" w14:textId="77777777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A1BD0">
        <w:rPr>
          <w:rFonts w:ascii="Times New Roman" w:hAnsi="Times New Roman" w:cs="Times New Roman"/>
          <w:sz w:val="28"/>
          <w:lang w:val="kk-KZ"/>
        </w:rPr>
        <w:t>В январе-апреле 2022г. по сравнению с январем-апрелем 2021 года индекс промышленного производства (далее ИПП) составил 104,7%. Увеличение объемов производства зафиксировано в 16 регионах республики, снижение наблюдается в Кызылординской области.</w:t>
      </w:r>
    </w:p>
    <w:p w:rsidR="00AB24CD" w:rsidRPr="008A1BD0" w:rsidP="00AE2893" w14:paraId="27E119B5" w14:textId="77777777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855B1" w:rsidRPr="008A1BD0" w:rsidP="00AE2893" w14:paraId="01A3F0ED" w14:textId="77777777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объемов промышленной продукции по регионам</w:t>
      </w:r>
    </w:p>
    <w:p w:rsidR="001855B1" w:rsidRPr="008A1BD0" w:rsidP="00AE2893" w14:paraId="095E621B" w14:textId="77777777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8A1BD0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</w:p>
    <w:p w:rsidR="001855B1" w:rsidRPr="00AE2893" w:rsidP="00AE2893" w14:paraId="04E66D85" w14:textId="77777777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hAnsi="Times New Roman" w:cs="Times New Roman"/>
          <w:highlight w:val="yellow"/>
          <w:lang w:eastAsia="ru-RU"/>
        </w:rPr>
      </w:pPr>
    </w:p>
    <w:p w:rsidR="001855B1" w:rsidRPr="00AE2893" w:rsidP="00AE2893" w14:paraId="17043FC7" w14:textId="77777777">
      <w:pPr>
        <w:tabs>
          <w:tab w:val="left" w:pos="1418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AB24CD" w:rsidRPr="008A1BD0" w:rsidP="00AE2893" w14:paraId="190F76D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В г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ороде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Алматы за счет роста производства безалкогольных напитков, лекарств, строительных растворов, плиток, кирпичей из цемента и бетона, легковых и грузовых автомобилей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113,5%.</w:t>
      </w:r>
    </w:p>
    <w:p w:rsidR="00AB24CD" w:rsidRPr="008A1BD0" w:rsidP="00AE2893" w14:paraId="014E16F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Жамбылской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за счет роста добычи медных руд, производства колбасных изделий, сахара, фармацевтических препаратов, фосфора, дизельного топлива, золота в сплаве доре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110%.</w:t>
      </w:r>
    </w:p>
    <w:p w:rsidR="00AB24CD" w:rsidRPr="008A1BD0" w:rsidP="00AE2893" w14:paraId="2BD4CF0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Акмолинской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за счет увеличения добычи золотосодержащих руд, производства муки,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золота в сплаве доре, урана природного, товарного бетона, дизельного топлива, пестицидов, грузовых автомобилей 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109,6%.</w:t>
      </w:r>
    </w:p>
    <w:p w:rsidR="00AB24CD" w:rsidRPr="008A1BD0" w:rsidP="00AE2893" w14:paraId="1E17ED7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Атырауской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ИПП составил 109% за счет увеличения добычи сырой нефти, производства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бензина, дизельного топлива, углеводородных сжиженных газов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.</w:t>
      </w:r>
    </w:p>
    <w:p w:rsidR="00AB24CD" w:rsidRPr="008A1BD0" w:rsidP="00AE2893" w14:paraId="16FDE3B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Восточно-Казахстанской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106,8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за счет роста добычи медных концентратов, медных и медно-цинковых руд, производства рафинированной меди, урана обогащенного, золота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аф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финированного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, золота в сплаве доре.</w:t>
      </w:r>
    </w:p>
    <w:p w:rsidR="00AB24CD" w:rsidRPr="008A1BD0" w:rsidP="00AE2893" w14:paraId="2515DC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Алматинской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105,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3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% за счет увеличения производства безалкогольных напитков, шоколада, сигарет, готовых кормов для животных, товарного бетона, лекарств, бумаги и картона.</w:t>
      </w:r>
    </w:p>
    <w:p w:rsidR="00AB24CD" w:rsidRPr="008A1BD0" w:rsidP="00AE2893" w14:paraId="52B88EA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городе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Шымке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н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за счет увеличения производства лекарств, топочного мазута, дизельного топлива, портландцемента, алюминиевой проволоки, прутков и стержней горячекатаных из стали, товарного бетона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104,8%.</w:t>
      </w:r>
    </w:p>
    <w:p w:rsidR="00AB24CD" w:rsidRPr="008A1BD0" w:rsidP="00AE2893" w14:paraId="0D45CE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городе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Нур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-Султан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103,7% за счет роста производства аффинированного золота, безалкогольных напитков, товарного бетона, труб из пластмасс, упаковочных изделий из пластмасс,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конструкций строительных сборных из цемента и бетона,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выпуска железнодорожных локомотивов.</w:t>
      </w:r>
    </w:p>
    <w:p w:rsidR="00AB24CD" w:rsidRPr="008A1BD0" w:rsidP="00AE2893" w14:paraId="4A1A528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Карагандинской области рост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103,6% за счет увеличения добычи медных и свинцово-цинковых руд, производства чугуна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передельного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, черновой меди, плоского и листового проката, нелегированной стали, прутков и стержней из стали.</w:t>
      </w:r>
    </w:p>
    <w:p w:rsidR="00AB24CD" w:rsidRPr="008A1BD0" w:rsidP="00AE2893" w14:paraId="6EDDD62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В Западно-Казахстанской ИПП составил 102,6% за счет роста добычи газового конденсата, производства труб из пластмасс, бесшовных труб из стали, товарного бетона.</w:t>
      </w:r>
    </w:p>
    <w:p w:rsidR="00AB24CD" w:rsidRPr="008A1BD0" w:rsidP="00AE2893" w14:paraId="4F6D2A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Северо-Казахстанской области за счет роста добычи урановых и ториевых руд, производства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муки,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сливочного масла, сыра,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спирта питьевого, мешков и пакетов упаковочных, товарного бетона 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3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AB24CD" w:rsidRPr="008A1BD0" w:rsidP="00AE2893" w14:paraId="2A1765A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В Туркестанской области за счет роста добычи золотосодержащих концентратов, производства сыров, хлопка, труб из пластмасс, золота в сплаве доре, керамических кирпичей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ИПП составил 102%.</w:t>
      </w:r>
    </w:p>
    <w:p w:rsidR="00AB24CD" w:rsidRPr="008A1BD0" w:rsidP="00AE2893" w14:paraId="5EA3C2E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Костанайской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101,5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за счет увеличения </w:t>
      </w:r>
      <w:r w:rsidRPr="008A1BD0" w:rsidR="001F6E9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добычи алюминиевых руд,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железорудных окатышей,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производства муки, отрубей, готовых кормов для животных, прутков и стержней горячекатаных из стали, тракторов, комбайнов и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грузовых автомобилей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B24CD" w:rsidRPr="008A1BD0" w:rsidP="00AE2893" w14:paraId="4B7844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В Мангистауской области ИПП составил 100,6% за счет увеличения производства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>битума, аммиака, азотной кислоты, портландцемента, оборудования нефтепромыслового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.</w:t>
      </w:r>
    </w:p>
    <w:p w:rsidR="00AB24CD" w:rsidRPr="008A1BD0" w:rsidP="00AE2893" w14:paraId="5FEF5B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Актюбинской области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ИПП составил 100,5% за счет роста добычи 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сырой нефти, медных, железных и золотосодержащих руд,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производства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хромовых солей, прутков и стержней горячекатаных из стали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.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B24CD" w:rsidRPr="008A1BD0" w:rsidP="00AE2893" w14:paraId="7CA518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Павлодарской области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100,2% за счет увеличения добычи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каменного угля,</w:t>
      </w:r>
      <w:r w:rsidRPr="008A1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производства </w:t>
      </w: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ферросиликохрома, ферросиликомарганца, оксида аллюминия, золота и серебра необработанного, частей железнодорожных локомотивов, электрического оборудования.</w:t>
      </w:r>
    </w:p>
    <w:p w:rsidR="00AB24CD" w:rsidRPr="00AE2893" w:rsidP="00AE2893" w14:paraId="64B3CF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B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В Кызылординской области ИПП составил 96,4% за счет сокращения добычи сырой нефти, производства риса, портландцемента, углеводородных сжиженных газов, строительных сборных конструкций из бетона.</w:t>
      </w:r>
    </w:p>
    <w:p w:rsidR="00AB24CD" w:rsidRPr="00AE2893" w:rsidP="00AE2893" w14:paraId="613F5DD9" w14:textId="77777777">
      <w:pPr>
        <w:spacing w:after="0" w:line="240" w:lineRule="auto"/>
        <w:rPr>
          <w:rFonts w:ascii="Times New Roman" w:hAnsi="Times New Roman" w:cs="Times New Roman"/>
          <w:lang w:val="kk-KZ" w:eastAsia="ru-RU"/>
        </w:rPr>
      </w:pPr>
    </w:p>
    <w:p w:rsidR="00220F66" w:rsidRPr="008A1BD0" w:rsidP="00AE2893" w14:paraId="57004378" w14:textId="77777777">
      <w:pPr>
        <w:pStyle w:val="Heading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104388603"/>
      <w:r w:rsidRPr="008A1BD0">
        <w:rPr>
          <w:rFonts w:ascii="Times New Roman" w:hAnsi="Times New Roman" w:cs="Times New Roman"/>
          <w:i/>
          <w:color w:val="auto"/>
          <w:sz w:val="28"/>
        </w:rPr>
        <w:t>2.1</w:t>
      </w:r>
      <w:r w:rsidRPr="008A1BD0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9"/>
    </w:p>
    <w:p w:rsidR="00BB5A83" w:rsidRPr="00AE2893" w:rsidP="00AE2893" w14:paraId="4029332D" w14:textId="77777777">
      <w:pPr>
        <w:spacing w:after="0" w:line="240" w:lineRule="auto"/>
        <w:rPr>
          <w:rFonts w:ascii="Times New Roman" w:hAnsi="Times New Roman" w:cs="Times New Roman"/>
          <w:highlight w:val="magenta"/>
        </w:rPr>
      </w:pPr>
    </w:p>
    <w:p w:rsidR="00A511A0" w:rsidP="00AE2893" w14:paraId="079D245C" w14:textId="2D019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>По данным Системного оператора, в январе</w:t>
      </w:r>
      <w:r w:rsidRPr="008A1BD0" w:rsidR="00DA0DBB">
        <w:rPr>
          <w:rFonts w:ascii="Times New Roman" w:hAnsi="Times New Roman" w:cs="Times New Roman"/>
          <w:sz w:val="28"/>
        </w:rPr>
        <w:t>-</w:t>
      </w:r>
      <w:r w:rsidRPr="008A1BD0" w:rsidR="00361B03">
        <w:rPr>
          <w:rFonts w:ascii="Times New Roman" w:hAnsi="Times New Roman" w:cs="Times New Roman"/>
          <w:sz w:val="28"/>
        </w:rPr>
        <w:t>апреле</w:t>
      </w:r>
      <w:r w:rsidRPr="008A1BD0" w:rsidR="008B5E50">
        <w:rPr>
          <w:rFonts w:ascii="Times New Roman" w:hAnsi="Times New Roman" w:cs="Times New Roman"/>
          <w:sz w:val="28"/>
        </w:rPr>
        <w:t xml:space="preserve"> </w:t>
      </w:r>
      <w:r w:rsidRPr="008A1BD0">
        <w:rPr>
          <w:rFonts w:ascii="Times New Roman" w:hAnsi="Times New Roman" w:cs="Times New Roman"/>
          <w:sz w:val="28"/>
        </w:rPr>
        <w:t xml:space="preserve">2022 года наблюдалось </w:t>
      </w:r>
      <w:r w:rsidRPr="008A1BD0" w:rsidR="007700E6">
        <w:rPr>
          <w:rFonts w:ascii="Times New Roman" w:hAnsi="Times New Roman" w:cs="Times New Roman"/>
          <w:sz w:val="28"/>
        </w:rPr>
        <w:t>увеличение</w:t>
      </w:r>
      <w:r w:rsidRPr="008A1BD0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</w:t>
      </w:r>
      <w:r w:rsidRPr="008A1BD0" w:rsidR="00DA0DBB">
        <w:rPr>
          <w:rFonts w:ascii="Times New Roman" w:hAnsi="Times New Roman" w:cs="Times New Roman"/>
          <w:sz w:val="28"/>
        </w:rPr>
        <w:t xml:space="preserve">аналогичными </w:t>
      </w:r>
      <w:r w:rsidRPr="008A1BD0">
        <w:rPr>
          <w:rFonts w:ascii="Times New Roman" w:hAnsi="Times New Roman" w:cs="Times New Roman"/>
          <w:sz w:val="28"/>
        </w:rPr>
        <w:t xml:space="preserve">показателями 2021 года на </w:t>
      </w:r>
      <w:r w:rsidRPr="008A1BD0" w:rsidR="00361B03">
        <w:rPr>
          <w:rFonts w:ascii="Times New Roman" w:hAnsi="Times New Roman" w:cs="Times New Roman"/>
          <w:sz w:val="28"/>
        </w:rPr>
        <w:t>83,1</w:t>
      </w:r>
      <w:r w:rsidRPr="008A1BD0">
        <w:rPr>
          <w:rFonts w:ascii="Times New Roman" w:hAnsi="Times New Roman" w:cs="Times New Roman"/>
          <w:sz w:val="28"/>
        </w:rPr>
        <w:t xml:space="preserve"> млн. </w:t>
      </w:r>
      <w:r w:rsidRPr="008A1BD0">
        <w:rPr>
          <w:rFonts w:ascii="Times New Roman" w:hAnsi="Times New Roman" w:cs="Times New Roman"/>
          <w:sz w:val="28"/>
        </w:rPr>
        <w:t>кВтч</w:t>
      </w:r>
      <w:r w:rsidRPr="008A1BD0">
        <w:rPr>
          <w:rFonts w:ascii="Times New Roman" w:hAnsi="Times New Roman" w:cs="Times New Roman"/>
          <w:sz w:val="28"/>
        </w:rPr>
        <w:t xml:space="preserve"> или на </w:t>
      </w:r>
      <w:r w:rsidRPr="008A1BD0" w:rsidR="00361B03">
        <w:rPr>
          <w:rFonts w:ascii="Times New Roman" w:hAnsi="Times New Roman" w:cs="Times New Roman"/>
          <w:sz w:val="28"/>
        </w:rPr>
        <w:t>0</w:t>
      </w:r>
      <w:r w:rsidRPr="008A1BD0" w:rsidR="007700E6">
        <w:rPr>
          <w:rFonts w:ascii="Times New Roman" w:hAnsi="Times New Roman" w:cs="Times New Roman"/>
          <w:sz w:val="28"/>
        </w:rPr>
        <w:t>,2</w:t>
      </w:r>
      <w:r w:rsidRPr="008A1BD0">
        <w:rPr>
          <w:rFonts w:ascii="Times New Roman" w:hAnsi="Times New Roman" w:cs="Times New Roman"/>
          <w:sz w:val="28"/>
        </w:rPr>
        <w:t xml:space="preserve">%. Так, в </w:t>
      </w:r>
      <w:r w:rsidRPr="008A1BD0" w:rsidR="007700E6">
        <w:rPr>
          <w:rFonts w:ascii="Times New Roman" w:hAnsi="Times New Roman" w:cs="Times New Roman"/>
          <w:sz w:val="28"/>
        </w:rPr>
        <w:t>западной и южной зонах</w:t>
      </w:r>
      <w:r w:rsidRPr="008A1BD0">
        <w:rPr>
          <w:rFonts w:ascii="Times New Roman" w:hAnsi="Times New Roman" w:cs="Times New Roman"/>
          <w:sz w:val="28"/>
        </w:rPr>
        <w:t xml:space="preserve"> республики потребление у</w:t>
      </w:r>
      <w:r w:rsidRPr="008A1BD0" w:rsidR="007700E6">
        <w:rPr>
          <w:rFonts w:ascii="Times New Roman" w:hAnsi="Times New Roman" w:cs="Times New Roman"/>
          <w:sz w:val="28"/>
        </w:rPr>
        <w:t xml:space="preserve">величилось </w:t>
      </w:r>
      <w:r w:rsidRPr="008A1BD0">
        <w:rPr>
          <w:rFonts w:ascii="Times New Roman" w:hAnsi="Times New Roman" w:cs="Times New Roman"/>
          <w:sz w:val="28"/>
        </w:rPr>
        <w:t xml:space="preserve">на </w:t>
      </w:r>
      <w:r w:rsidRPr="008A1BD0" w:rsidR="006A76CD">
        <w:rPr>
          <w:rFonts w:ascii="Times New Roman" w:hAnsi="Times New Roman" w:cs="Times New Roman"/>
          <w:sz w:val="28"/>
        </w:rPr>
        <w:t>6</w:t>
      </w:r>
      <w:r w:rsidRPr="008A1BD0" w:rsidR="007700E6">
        <w:rPr>
          <w:rFonts w:ascii="Times New Roman" w:hAnsi="Times New Roman" w:cs="Times New Roman"/>
          <w:sz w:val="28"/>
        </w:rPr>
        <w:t>,</w:t>
      </w:r>
      <w:r w:rsidRPr="008A1BD0" w:rsidR="00361B03">
        <w:rPr>
          <w:rFonts w:ascii="Times New Roman" w:hAnsi="Times New Roman" w:cs="Times New Roman"/>
          <w:sz w:val="28"/>
        </w:rPr>
        <w:t>5</w:t>
      </w:r>
      <w:r w:rsidRPr="008A1BD0" w:rsidR="007700E6">
        <w:rPr>
          <w:rFonts w:ascii="Times New Roman" w:hAnsi="Times New Roman" w:cs="Times New Roman"/>
          <w:sz w:val="28"/>
        </w:rPr>
        <w:t>%</w:t>
      </w:r>
      <w:r w:rsidRPr="008A1BD0">
        <w:rPr>
          <w:rFonts w:ascii="Times New Roman" w:hAnsi="Times New Roman" w:cs="Times New Roman"/>
          <w:sz w:val="28"/>
        </w:rPr>
        <w:t xml:space="preserve"> и</w:t>
      </w:r>
      <w:r w:rsidRPr="008A1BD0" w:rsidR="007700E6">
        <w:rPr>
          <w:rFonts w:ascii="Times New Roman" w:hAnsi="Times New Roman" w:cs="Times New Roman"/>
          <w:sz w:val="28"/>
        </w:rPr>
        <w:t xml:space="preserve"> </w:t>
      </w:r>
      <w:r w:rsidRPr="008A1BD0">
        <w:rPr>
          <w:rFonts w:ascii="Times New Roman" w:hAnsi="Times New Roman" w:cs="Times New Roman"/>
          <w:sz w:val="28"/>
        </w:rPr>
        <w:t xml:space="preserve">на </w:t>
      </w:r>
      <w:r w:rsidRPr="008A1BD0" w:rsidR="00361B03">
        <w:rPr>
          <w:rFonts w:ascii="Times New Roman" w:hAnsi="Times New Roman" w:cs="Times New Roman"/>
          <w:sz w:val="28"/>
        </w:rPr>
        <w:t>2</w:t>
      </w:r>
      <w:r w:rsidRPr="008A1BD0" w:rsidR="007700E6">
        <w:rPr>
          <w:rFonts w:ascii="Times New Roman" w:hAnsi="Times New Roman" w:cs="Times New Roman"/>
          <w:sz w:val="28"/>
        </w:rPr>
        <w:t>,</w:t>
      </w:r>
      <w:r w:rsidRPr="008A1BD0" w:rsidR="00361B03">
        <w:rPr>
          <w:rFonts w:ascii="Times New Roman" w:hAnsi="Times New Roman" w:cs="Times New Roman"/>
          <w:sz w:val="28"/>
        </w:rPr>
        <w:t>5</w:t>
      </w:r>
      <w:r w:rsidRPr="008A1BD0">
        <w:rPr>
          <w:rFonts w:ascii="Times New Roman" w:hAnsi="Times New Roman" w:cs="Times New Roman"/>
          <w:sz w:val="28"/>
        </w:rPr>
        <w:t>%</w:t>
      </w:r>
      <w:r w:rsidRPr="008A1BD0" w:rsidR="00E566ED">
        <w:rPr>
          <w:rFonts w:ascii="Times New Roman" w:hAnsi="Times New Roman" w:cs="Times New Roman"/>
          <w:sz w:val="28"/>
        </w:rPr>
        <w:t xml:space="preserve"> </w:t>
      </w:r>
      <w:r w:rsidRPr="008A1BD0" w:rsidR="007700E6">
        <w:rPr>
          <w:rFonts w:ascii="Times New Roman" w:hAnsi="Times New Roman" w:cs="Times New Roman"/>
          <w:sz w:val="28"/>
        </w:rPr>
        <w:t>соответственно.</w:t>
      </w:r>
    </w:p>
    <w:p w:rsidR="008A1BD0" w:rsidP="00AE2893" w14:paraId="12F2FCF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1BD0" w:rsidP="00AE2893" w14:paraId="0EE06FE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1BD0" w:rsidP="00AE2893" w14:paraId="533172F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1BD0" w:rsidP="00AE2893" w14:paraId="2B135DB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1BD0" w:rsidRPr="00AE2893" w:rsidP="00AE2893" w14:paraId="20FF315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0F66" w:rsidRPr="00AE2893" w:rsidP="00AE2893" w14:paraId="32889D30" w14:textId="77777777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E2893">
        <w:rPr>
          <w:rFonts w:ascii="Times New Roman" w:hAnsi="Times New Roman" w:cs="Times New Roman"/>
          <w:i/>
          <w:sz w:val="24"/>
        </w:rPr>
        <w:t xml:space="preserve">млн. </w:t>
      </w:r>
      <w:r w:rsidRPr="00AE2893">
        <w:rPr>
          <w:rFonts w:ascii="Times New Roman" w:hAnsi="Times New Roman" w:cs="Times New Roman"/>
          <w:i/>
          <w:sz w:val="24"/>
        </w:rPr>
        <w:t>кВтч</w:t>
      </w:r>
    </w:p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3184"/>
        <w:gridCol w:w="1660"/>
        <w:gridCol w:w="1600"/>
        <w:gridCol w:w="1418"/>
        <w:gridCol w:w="1560"/>
      </w:tblGrid>
      <w:tr w14:paraId="79AD2809" w14:textId="77777777" w:rsidTr="00531B1A">
        <w:tblPrEx>
          <w:tblW w:w="10037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15" w:type="dxa"/>
            <w:vMerge w:val="restart"/>
            <w:shd w:val="clear" w:color="auto" w:fill="8DB3E2" w:themeFill="text2" w:themeFillTint="66"/>
            <w:vAlign w:val="center"/>
            <w:hideMark/>
          </w:tcPr>
          <w:p w:rsidR="007C6544" w:rsidRPr="00AE2893" w:rsidP="00AE2893" w14:paraId="3E030404" w14:textId="32B4B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531B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п/п</w:t>
            </w:r>
          </w:p>
        </w:tc>
        <w:tc>
          <w:tcPr>
            <w:tcW w:w="3184" w:type="dxa"/>
            <w:vMerge w:val="restart"/>
            <w:shd w:val="clear" w:color="auto" w:fill="8DB3E2" w:themeFill="text2" w:themeFillTint="66"/>
            <w:vAlign w:val="center"/>
            <w:hideMark/>
          </w:tcPr>
          <w:p w:rsidR="007C6544" w:rsidRPr="00AE2893" w:rsidP="00AE2893" w14:paraId="14BDF5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8DB3E2" w:themeFill="text2" w:themeFillTint="66"/>
            <w:vAlign w:val="center"/>
            <w:hideMark/>
          </w:tcPr>
          <w:p w:rsidR="007C6544" w:rsidRPr="00AE2893" w:rsidP="00AE2893" w14:paraId="56812158" w14:textId="17FEC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AE2893" w:rsidR="00361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:rsidR="007C6544" w:rsidRPr="00AE2893" w:rsidP="00AE2893" w14:paraId="32E91C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hAnsi="Times New Roman" w:cs="Times New Roman"/>
                <w:b/>
              </w:rPr>
              <w:t>Δ,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:rsidR="007C6544" w:rsidRPr="00AE2893" w:rsidP="00AE2893" w14:paraId="3409D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hAnsi="Times New Roman" w:cs="Times New Roman"/>
                <w:b/>
              </w:rPr>
              <w:t xml:space="preserve">Δ, 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14:paraId="4DBF2AB8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vMerge/>
            <w:shd w:val="clear" w:color="auto" w:fill="B8CCE4" w:themeFill="accent1" w:themeFillTint="66"/>
            <w:vAlign w:val="center"/>
          </w:tcPr>
          <w:p w:rsidR="007C6544" w:rsidRPr="00AE2893" w:rsidP="00AE2893" w14:paraId="02E5D1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B8CCE4" w:themeFill="accent1" w:themeFillTint="66"/>
            <w:vAlign w:val="center"/>
          </w:tcPr>
          <w:p w:rsidR="007C6544" w:rsidRPr="00AE2893" w:rsidP="00AE2893" w14:paraId="45A92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:rsidR="007C6544" w:rsidRPr="00AE2893" w:rsidP="00AE2893" w14:paraId="0606A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:rsidR="007C6544" w:rsidRPr="00AE2893" w:rsidP="00AE2893" w14:paraId="47A627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7C6544" w:rsidRPr="00AE2893" w:rsidP="00AE2893" w14:paraId="4C3A06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:rsidR="007C6544" w:rsidRPr="00AE2893" w:rsidP="00AE2893" w14:paraId="692865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5009D14A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17365D" w:themeFill="text2" w:themeFillShade="BF"/>
            <w:vAlign w:val="center"/>
            <w:hideMark/>
          </w:tcPr>
          <w:p w:rsidR="00361B03" w:rsidRPr="00AE2893" w:rsidP="00AE2893" w14:paraId="39D6C2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361B03" w:rsidRPr="00AE2893" w:rsidP="00AE2893" w14:paraId="7EFD7E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center"/>
          </w:tcPr>
          <w:p w:rsidR="00361B03" w:rsidRPr="00AE2893" w:rsidP="00AE2893" w14:paraId="5DE92BDD" w14:textId="16DFC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39 093,9</w:t>
            </w:r>
          </w:p>
        </w:tc>
        <w:tc>
          <w:tcPr>
            <w:tcW w:w="1600" w:type="dxa"/>
            <w:shd w:val="clear" w:color="auto" w:fill="17365D" w:themeFill="text2" w:themeFillShade="BF"/>
            <w:vAlign w:val="bottom"/>
          </w:tcPr>
          <w:p w:rsidR="00361B03" w:rsidRPr="00AE2893" w:rsidP="00AE2893" w14:paraId="5544A3B6" w14:textId="0F25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  <w:r w:rsidRPr="00AE2893" w:rsidR="00EF02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177,0</w:t>
            </w:r>
          </w:p>
        </w:tc>
        <w:tc>
          <w:tcPr>
            <w:tcW w:w="1418" w:type="dxa"/>
            <w:shd w:val="clear" w:color="auto" w:fill="17365D" w:themeFill="text2" w:themeFillShade="BF"/>
            <w:vAlign w:val="bottom"/>
          </w:tcPr>
          <w:p w:rsidR="00361B03" w:rsidRPr="00AE2893" w:rsidP="00AE2893" w14:paraId="45496292" w14:textId="1EF8C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83,1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361B03" w:rsidRPr="00AE2893" w:rsidP="00AE2893" w14:paraId="2B5752A2" w14:textId="565C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</w:tr>
      <w:tr w14:paraId="45EDEFDD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AE2893" w14:paraId="23AEE5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07B345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038DE453" w14:textId="74F3F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25 871,7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757CEE1C" w14:textId="1B0E5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25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434,5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54C79D95" w14:textId="77D8C4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-437,2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08F54F40" w14:textId="2A1EC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-1,7</w:t>
            </w:r>
          </w:p>
        </w:tc>
      </w:tr>
      <w:tr w14:paraId="706E6CE3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AE2893" w14:paraId="5417D2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30E690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18348AB9" w14:textId="1561C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4 767,4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32BAA649" w14:textId="368EB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5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077,3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3D8A1882" w14:textId="0B3C3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75DB12D5" w14:textId="5C07C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6,5</w:t>
            </w:r>
          </w:p>
        </w:tc>
      </w:tr>
      <w:tr w14:paraId="1129759D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AE2893" w14:paraId="575435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54A3C4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29B5E1C1" w14:textId="32C971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8 454,9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41A263A2" w14:textId="66F09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8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665,2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0DD51260" w14:textId="0CBB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210,3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422E9C28" w14:textId="01789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2,5</w:t>
            </w:r>
          </w:p>
        </w:tc>
      </w:tr>
      <w:tr w14:paraId="35A14859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AE2893" w14:paraId="7E91B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auto"/>
            <w:vAlign w:val="bottom"/>
            <w:hideMark/>
          </w:tcPr>
          <w:p w:rsidR="00361B03" w:rsidRPr="00AE2893" w:rsidP="00AE2893" w14:paraId="37D922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 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т.ч</w:t>
            </w:r>
            <w:r w:rsidRPr="00AE2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. по областям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61B03" w:rsidRPr="00AE2893" w:rsidP="00AE2893" w14:paraId="1FFA51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361B03" w:rsidRPr="00AE2893" w:rsidP="00AE2893" w14:paraId="6115DD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61B03" w:rsidRPr="00AE2893" w:rsidP="00AE2893" w14:paraId="1EE1C8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56D147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97AA010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07615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3C2D05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Акмолинская</w:t>
            </w: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26354498" w14:textId="6359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3 329,5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64953E94" w14:textId="3DEDC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3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693,1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4C8E98EB" w14:textId="4D44B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363,6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158D5175" w14:textId="2EFF8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10,9</w:t>
            </w:r>
          </w:p>
        </w:tc>
      </w:tr>
      <w:tr w14:paraId="2AA86D5A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205B66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6D6E4F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3BFE5860" w14:textId="55D83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6 690,9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279123C8" w14:textId="5FC1B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619,9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06167F62" w14:textId="4804B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28219045" w14:textId="0218E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-1,1</w:t>
            </w:r>
          </w:p>
        </w:tc>
      </w:tr>
      <w:tr w14:paraId="2D0007F1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1A77D7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029B15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Алматинская</w:t>
            </w: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12973B36" w14:textId="74935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3 755,3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4EC750CC" w14:textId="24939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3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859,1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4F738C35" w14:textId="45262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1ED6AEE3" w14:textId="330B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2,8</w:t>
            </w:r>
          </w:p>
        </w:tc>
      </w:tr>
      <w:tr w14:paraId="551B757E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753D7B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52B1D4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Атырауская</w:t>
            </w: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0B24DFAC" w14:textId="67901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645,2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20A5747F" w14:textId="55486E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604,1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0672E9A8" w14:textId="76A72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-41,1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017A8A62" w14:textId="1AD58E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-6,4</w:t>
            </w:r>
          </w:p>
        </w:tc>
      </w:tr>
      <w:tr w14:paraId="59A4C0BA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19773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0E65CF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72E11707" w14:textId="15C89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1 694,7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403D4C8C" w14:textId="6C1FD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1721,6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0AAE6B02" w14:textId="6EAAE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604BDE87" w14:textId="43CCD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1,6</w:t>
            </w:r>
          </w:p>
        </w:tc>
      </w:tr>
      <w:tr w14:paraId="0BE5EFF3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20827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483665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Жамбылская</w:t>
            </w: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69EBE1D4" w14:textId="6776A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7 429,6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19436DFD" w14:textId="4CA8F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638,4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4ADF52EF" w14:textId="199FF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-791,2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747D745C" w14:textId="3129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-10,6</w:t>
            </w:r>
          </w:p>
        </w:tc>
      </w:tr>
      <w:tr w14:paraId="45307C75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0F3300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32B7D1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Западно-Казахстанская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50FA69CB" w14:textId="53575B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2 173,3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31B9632B" w14:textId="0A6B5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301E3AF8" w14:textId="774A0B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12C9077A" w14:textId="2D351E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6,9</w:t>
            </w:r>
          </w:p>
        </w:tc>
      </w:tr>
      <w:tr w14:paraId="7F4183C5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70236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18B1EA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7C7001AD" w14:textId="73D5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1 742,3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6FFD3631" w14:textId="529BBF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780,4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6014E8D0" w14:textId="6DB357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1D346CE0" w14:textId="0BC7D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2,2</w:t>
            </w:r>
          </w:p>
        </w:tc>
      </w:tr>
      <w:tr w14:paraId="7E230A15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0F691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4DC3C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Костанайская</w:t>
            </w: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6B7027A2" w14:textId="0185A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2 326,6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48AD6FF5" w14:textId="3C18C3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40ACD874" w14:textId="2E293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-28,3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41F8BACC" w14:textId="66D1C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-1,2</w:t>
            </w:r>
          </w:p>
        </w:tc>
      </w:tr>
      <w:tr w14:paraId="51DED6C6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2146D0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34A659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Кызылординская</w:t>
            </w: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6CD5CA31" w14:textId="64A9F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851,8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60BAB0DC" w14:textId="63041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973,4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751FD9E3" w14:textId="5A2F2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61F6BDDE" w14:textId="6EC90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14,3</w:t>
            </w:r>
          </w:p>
        </w:tc>
      </w:tr>
      <w:tr w14:paraId="6B64C157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6CE23D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3E65D8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Мангистауская</w:t>
            </w: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6437B27B" w14:textId="2FC24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4 292,8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47C6F5E5" w14:textId="1D0C3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4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362,1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36D42A88" w14:textId="691A9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0470832B" w14:textId="7D6CB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1,6</w:t>
            </w:r>
          </w:p>
        </w:tc>
      </w:tr>
      <w:tr w14:paraId="11799783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135A13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01B2A5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3D915E48" w14:textId="7A98AE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1 840,3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0CDAD1F2" w14:textId="79F75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982,5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41B4D69A" w14:textId="6614C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5199B9CC" w14:textId="7083E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7,7</w:t>
            </w:r>
          </w:p>
        </w:tc>
      </w:tr>
      <w:tr w14:paraId="3CFD10EC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7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00B62C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67CC34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2004BECD" w14:textId="19F1D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1 630,0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7118850D" w14:textId="21225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</w:t>
            </w:r>
            <w:r w:rsidRPr="00AE2893" w:rsidR="00EF020A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54B547F8" w14:textId="7DE3E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4996E5DC" w14:textId="2CB8F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1,3</w:t>
            </w:r>
          </w:p>
        </w:tc>
      </w:tr>
      <w:tr w14:paraId="759E3F04" w14:textId="77777777" w:rsidTr="00531B1A">
        <w:tblPrEx>
          <w:tblW w:w="10037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615" w:type="dxa"/>
            <w:shd w:val="clear" w:color="auto" w:fill="auto"/>
            <w:vAlign w:val="center"/>
            <w:hideMark/>
          </w:tcPr>
          <w:p w:rsidR="00361B03" w:rsidRPr="00AE2893" w:rsidP="00531B1A" w14:paraId="537F0C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1B03" w:rsidRPr="00AE2893" w:rsidP="00AE2893" w14:paraId="4BFEDC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61B03" w:rsidRPr="00AE2893" w:rsidP="00AE2893" w14:paraId="0B56D7BC" w14:textId="111DA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691,7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361B03" w:rsidRPr="00AE2893" w:rsidP="00AE2893" w14:paraId="1D9F05A4" w14:textId="03EC1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669,4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61B03" w:rsidRPr="00AE2893" w:rsidP="00AE2893" w14:paraId="78A81CD9" w14:textId="05C31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-22,3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1B03" w:rsidRPr="00AE2893" w:rsidP="00AE2893" w14:paraId="64679A7B" w14:textId="3C1AC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-3,2</w:t>
            </w:r>
          </w:p>
        </w:tc>
      </w:tr>
    </w:tbl>
    <w:p w:rsidR="004E6BB1" w:rsidRPr="00AE2893" w:rsidP="00AE2893" w14:paraId="52E47097" w14:textId="77777777">
      <w:pPr>
        <w:pStyle w:val="Heading1"/>
        <w:spacing w:before="0" w:line="240" w:lineRule="auto"/>
        <w:jc w:val="center"/>
        <w:rPr>
          <w:rFonts w:ascii="Times New Roman" w:hAnsi="Times New Roman" w:eastAsiaTheme="minorHAnsi" w:cs="Times New Roman"/>
          <w:color w:val="auto"/>
          <w:sz w:val="28"/>
          <w:szCs w:val="22"/>
        </w:rPr>
      </w:pPr>
      <w:bookmarkStart w:id="10" w:name="_Toc510196470"/>
    </w:p>
    <w:p w:rsidR="00220F66" w:rsidRPr="008A1BD0" w:rsidP="00AE2893" w14:paraId="20C03FAD" w14:textId="77777777">
      <w:pPr>
        <w:pStyle w:val="Heading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104388604"/>
      <w:r w:rsidRPr="008A1BD0">
        <w:rPr>
          <w:rFonts w:ascii="Times New Roman" w:hAnsi="Times New Roman" w:cs="Times New Roman"/>
          <w:i/>
          <w:color w:val="auto"/>
          <w:sz w:val="28"/>
        </w:rPr>
        <w:t>2.2</w:t>
      </w:r>
      <w:r w:rsidRPr="008A1BD0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8A1BD0" w:rsidR="00BD48CC">
        <w:rPr>
          <w:rFonts w:ascii="Times New Roman" w:hAnsi="Times New Roman" w:cs="Times New Roman"/>
          <w:i/>
          <w:color w:val="auto"/>
          <w:sz w:val="28"/>
        </w:rPr>
        <w:t>П</w:t>
      </w:r>
      <w:r w:rsidRPr="008A1BD0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Pr="008A1BD0" w:rsidR="0076489C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Pr="008A1BD0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0"/>
      <w:r w:rsidRPr="008A1BD0" w:rsidR="00194BBF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r w:rsidRPr="008A1BD0" w:rsidR="00194BBF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r w:rsidRPr="008A1BD0" w:rsidR="0076489C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r w:rsidRPr="008A1BD0" w:rsidR="0076489C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1"/>
    </w:p>
    <w:p w:rsidR="00220F66" w:rsidRPr="008A1BD0" w:rsidP="00AE2893" w14:paraId="0A579C21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220F66" w:rsidRPr="008A1BD0" w:rsidP="00AE2893" w14:paraId="5E0D4E04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>За январь</w:t>
      </w:r>
      <w:r w:rsidRPr="008A1BD0" w:rsidR="006E752A">
        <w:rPr>
          <w:rFonts w:ascii="Times New Roman" w:hAnsi="Times New Roman" w:cs="Times New Roman"/>
          <w:sz w:val="28"/>
        </w:rPr>
        <w:t>-</w:t>
      </w:r>
      <w:r w:rsidRPr="008A1BD0" w:rsidR="006552AD">
        <w:rPr>
          <w:rFonts w:ascii="Times New Roman" w:hAnsi="Times New Roman" w:cs="Times New Roman"/>
          <w:sz w:val="28"/>
        </w:rPr>
        <w:t>апрель</w:t>
      </w:r>
      <w:r w:rsidRPr="008A1BD0">
        <w:rPr>
          <w:rFonts w:ascii="Times New Roman" w:hAnsi="Times New Roman" w:cs="Times New Roman"/>
          <w:sz w:val="28"/>
        </w:rPr>
        <w:t xml:space="preserve"> 202</w:t>
      </w:r>
      <w:r w:rsidRPr="008A1BD0">
        <w:rPr>
          <w:rFonts w:ascii="Times New Roman" w:hAnsi="Times New Roman" w:cs="Times New Roman"/>
          <w:sz w:val="28"/>
        </w:rPr>
        <w:t>2</w:t>
      </w:r>
      <w:r w:rsidRPr="008A1BD0">
        <w:rPr>
          <w:rFonts w:ascii="Times New Roman" w:hAnsi="Times New Roman" w:cs="Times New Roman"/>
          <w:sz w:val="28"/>
        </w:rPr>
        <w:t xml:space="preserve"> года наблюдается </w:t>
      </w:r>
      <w:r w:rsidRPr="008A1BD0">
        <w:rPr>
          <w:rFonts w:ascii="Times New Roman" w:hAnsi="Times New Roman" w:cs="Times New Roman"/>
          <w:sz w:val="28"/>
        </w:rPr>
        <w:t xml:space="preserve">снижение </w:t>
      </w:r>
      <w:r w:rsidRPr="008A1BD0">
        <w:rPr>
          <w:rFonts w:ascii="Times New Roman" w:hAnsi="Times New Roman" w:cs="Times New Roman"/>
          <w:sz w:val="28"/>
        </w:rPr>
        <w:t>электропотребления потребителями</w:t>
      </w:r>
      <w:r w:rsidRPr="008A1BD0">
        <w:rPr>
          <w:rFonts w:ascii="Times New Roman" w:hAnsi="Times New Roman" w:cs="Times New Roman"/>
        </w:rPr>
        <w:t xml:space="preserve"> </w:t>
      </w:r>
      <w:r w:rsidRPr="008A1BD0">
        <w:rPr>
          <w:rFonts w:ascii="Times New Roman" w:hAnsi="Times New Roman" w:cs="Times New Roman"/>
          <w:sz w:val="28"/>
        </w:rPr>
        <w:t>энергохолдингов</w:t>
      </w:r>
      <w:r w:rsidRPr="008A1BD0">
        <w:rPr>
          <w:rFonts w:ascii="Times New Roman" w:hAnsi="Times New Roman" w:cs="Times New Roman"/>
          <w:sz w:val="28"/>
        </w:rPr>
        <w:t xml:space="preserve"> и</w:t>
      </w:r>
      <w:r w:rsidRPr="008A1BD0" w:rsidR="0076489C">
        <w:rPr>
          <w:rFonts w:ascii="Times New Roman" w:hAnsi="Times New Roman" w:cs="Times New Roman"/>
          <w:sz w:val="28"/>
        </w:rPr>
        <w:t xml:space="preserve"> крупных </w:t>
      </w:r>
      <w:r w:rsidRPr="008A1BD0" w:rsidR="0076489C">
        <w:rPr>
          <w:rFonts w:ascii="Times New Roman" w:hAnsi="Times New Roman" w:cs="Times New Roman"/>
          <w:sz w:val="28"/>
        </w:rPr>
        <w:t>энергопроизводящих</w:t>
      </w:r>
      <w:r w:rsidRPr="008A1BD0" w:rsidR="0076489C">
        <w:rPr>
          <w:rFonts w:ascii="Times New Roman" w:hAnsi="Times New Roman" w:cs="Times New Roman"/>
          <w:sz w:val="28"/>
        </w:rPr>
        <w:t xml:space="preserve"> организаций.</w:t>
      </w:r>
    </w:p>
    <w:p w:rsidR="00220F66" w:rsidRPr="008A1BD0" w:rsidP="00AE2893" w14:paraId="3F76D9DA" w14:textId="777777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8A1BD0">
        <w:rPr>
          <w:rFonts w:ascii="Times New Roman" w:hAnsi="Times New Roman" w:cs="Times New Roman"/>
          <w:i/>
          <w:sz w:val="24"/>
        </w:rPr>
        <w:t xml:space="preserve">млн. </w:t>
      </w:r>
      <w:r w:rsidRPr="008A1BD0">
        <w:rPr>
          <w:rFonts w:ascii="Times New Roman" w:hAnsi="Times New Roman" w:cs="Times New Roman"/>
          <w:i/>
          <w:sz w:val="24"/>
        </w:rPr>
        <w:t>кВтч</w:t>
      </w:r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795"/>
        <w:gridCol w:w="1320"/>
        <w:gridCol w:w="1231"/>
        <w:gridCol w:w="1590"/>
        <w:gridCol w:w="1564"/>
      </w:tblGrid>
      <w:tr w14:paraId="7ADA82B4" w14:textId="77777777" w:rsidTr="000F674C">
        <w:tblPrEx>
          <w:tblW w:w="10031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6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:rsidR="00220F66" w:rsidRPr="008A1BD0" w:rsidP="00AE2893" w14:paraId="4D905756" w14:textId="1FEA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:rsidR="00220F66" w:rsidRPr="008A1BD0" w:rsidP="00AE2893" w14:paraId="357361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2673FE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hAnsi="Times New Roman" w:cs="Times New Roman"/>
                <w:b/>
                <w:bCs/>
                <w:szCs w:val="24"/>
              </w:rPr>
              <w:t>Январь</w:t>
            </w:r>
            <w:r w:rsidRPr="008A1BD0" w:rsidR="006E752A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  <w:r w:rsidRPr="008A1BD0" w:rsidR="006552AD">
              <w:rPr>
                <w:rFonts w:ascii="Times New Roman" w:hAnsi="Times New Roman" w:cs="Times New Roman"/>
                <w:b/>
                <w:bCs/>
                <w:szCs w:val="24"/>
              </w:rPr>
              <w:t>апрель</w:t>
            </w:r>
          </w:p>
        </w:tc>
        <w:tc>
          <w:tcPr>
            <w:tcW w:w="1597" w:type="dxa"/>
            <w:vMerge w:val="restart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4B05B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Δ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, млн. 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кВтч</w:t>
            </w:r>
          </w:p>
        </w:tc>
        <w:tc>
          <w:tcPr>
            <w:tcW w:w="1572" w:type="dxa"/>
            <w:vMerge w:val="restart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366925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Δ, %</w:t>
            </w:r>
          </w:p>
        </w:tc>
      </w:tr>
      <w:tr w14:paraId="78609179" w14:textId="77777777" w:rsidTr="000F674C">
        <w:tblPrEx>
          <w:tblW w:w="10031" w:type="dxa"/>
          <w:tblInd w:w="93" w:type="dxa"/>
          <w:tblLook w:val="04A0"/>
        </w:tblPrEx>
        <w:trPr>
          <w:trHeight w:val="315"/>
        </w:trPr>
        <w:tc>
          <w:tcPr>
            <w:tcW w:w="516" w:type="dxa"/>
            <w:vMerge/>
            <w:shd w:val="clear" w:color="auto" w:fill="B8CCE4" w:themeFill="accent1" w:themeFillTint="66"/>
            <w:vAlign w:val="center"/>
            <w:hideMark/>
          </w:tcPr>
          <w:p w:rsidR="00220F66" w:rsidRPr="008A1BD0" w:rsidP="00AE2893" w14:paraId="2BD51D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:rsidR="00220F66" w:rsidRPr="008A1BD0" w:rsidP="00AE2893" w14:paraId="29DC05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78DE8B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</w:t>
            </w:r>
            <w:r w:rsidRPr="008A1BD0" w:rsidR="00194B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год</w:t>
            </w:r>
          </w:p>
        </w:tc>
        <w:tc>
          <w:tcPr>
            <w:tcW w:w="1231" w:type="dxa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0C904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2022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597" w:type="dxa"/>
            <w:vMerge/>
            <w:shd w:val="clear" w:color="auto" w:fill="B8CCE4" w:themeFill="accent1" w:themeFillTint="66"/>
            <w:vAlign w:val="center"/>
            <w:hideMark/>
          </w:tcPr>
          <w:p w:rsidR="00220F66" w:rsidRPr="008A1BD0" w:rsidP="00AE2893" w14:paraId="16BA8F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B8CCE4" w:themeFill="accent1" w:themeFillTint="66"/>
            <w:vAlign w:val="center"/>
            <w:hideMark/>
          </w:tcPr>
          <w:p w:rsidR="00220F66" w:rsidRPr="008A1BD0" w:rsidP="00AE2893" w14:paraId="0E2339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14:paraId="12D54849" w14:textId="77777777" w:rsidTr="000F674C">
        <w:tblPrEx>
          <w:tblW w:w="10031" w:type="dxa"/>
          <w:tblInd w:w="93" w:type="dxa"/>
          <w:tblLook w:val="04A0"/>
        </w:tblPrEx>
        <w:trPr>
          <w:trHeight w:val="340"/>
        </w:trPr>
        <w:tc>
          <w:tcPr>
            <w:tcW w:w="516" w:type="dxa"/>
            <w:shd w:val="clear" w:color="auto" w:fill="17365D" w:themeFill="text2" w:themeFillShade="BF"/>
            <w:vAlign w:val="center"/>
          </w:tcPr>
          <w:p w:rsidR="006552AD" w:rsidRPr="008A1BD0" w:rsidP="00AE2893" w14:paraId="2BB9C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795" w:type="dxa"/>
            <w:shd w:val="clear" w:color="auto" w:fill="17365D" w:themeFill="text2" w:themeFillShade="BF"/>
            <w:vAlign w:val="center"/>
          </w:tcPr>
          <w:p w:rsidR="006552AD" w:rsidRPr="008A1BD0" w:rsidP="00AE2893" w14:paraId="118112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shd w:val="clear" w:color="auto" w:fill="17365D" w:themeFill="text2" w:themeFillShade="BF"/>
            <w:vAlign w:val="center"/>
          </w:tcPr>
          <w:p w:rsidR="006552AD" w:rsidRPr="008A1BD0" w:rsidP="00AE2893" w14:paraId="1FB91A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8A1BD0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15 604,7</w:t>
            </w:r>
          </w:p>
        </w:tc>
        <w:tc>
          <w:tcPr>
            <w:tcW w:w="1231" w:type="dxa"/>
            <w:shd w:val="clear" w:color="auto" w:fill="17365D" w:themeFill="text2" w:themeFillShade="BF"/>
            <w:vAlign w:val="center"/>
          </w:tcPr>
          <w:p w:rsidR="006552AD" w:rsidRPr="008A1BD0" w:rsidP="00AE2893" w14:paraId="1B4711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8A1BD0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15 107,1</w:t>
            </w:r>
          </w:p>
        </w:tc>
        <w:tc>
          <w:tcPr>
            <w:tcW w:w="1597" w:type="dxa"/>
            <w:shd w:val="clear" w:color="auto" w:fill="17365D" w:themeFill="text2" w:themeFillShade="BF"/>
            <w:vAlign w:val="center"/>
          </w:tcPr>
          <w:p w:rsidR="006552AD" w:rsidRPr="008A1BD0" w:rsidP="00AE2893" w14:paraId="106432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8A1BD0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-497,6</w:t>
            </w:r>
          </w:p>
        </w:tc>
        <w:tc>
          <w:tcPr>
            <w:tcW w:w="1572" w:type="dxa"/>
            <w:shd w:val="clear" w:color="auto" w:fill="17365D" w:themeFill="text2" w:themeFillShade="BF"/>
            <w:vAlign w:val="center"/>
          </w:tcPr>
          <w:p w:rsidR="006552AD" w:rsidRPr="008A1BD0" w:rsidP="00AE2893" w14:paraId="6F044B9A" w14:textId="1DFBF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8A1BD0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-3,2</w:t>
            </w:r>
          </w:p>
        </w:tc>
      </w:tr>
      <w:tr w14:paraId="58AD982F" w14:textId="77777777" w:rsidTr="00BA3E3F">
        <w:tblPrEx>
          <w:tblW w:w="10031" w:type="dxa"/>
          <w:tblInd w:w="93" w:type="dxa"/>
          <w:tblLook w:val="04A0"/>
        </w:tblPrEx>
        <w:trPr>
          <w:trHeight w:val="34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552AD" w:rsidRPr="008A1BD0" w:rsidP="00AE2893" w14:paraId="1B42D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6552AD" w:rsidRPr="008A1BD0" w:rsidP="00AE2893" w14:paraId="6F33A9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ERG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52AD" w:rsidRPr="008A1BD0" w:rsidP="00AE2893" w14:paraId="2BF2F1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5 228,8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552AD" w:rsidRPr="008A1BD0" w:rsidP="00AE2893" w14:paraId="22301E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5 039,9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552AD" w:rsidRPr="008A1BD0" w:rsidP="00AE2893" w14:paraId="2B1680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-188,9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552AD" w:rsidRPr="008A1BD0" w:rsidP="00AE2893" w14:paraId="19472044" w14:textId="2744D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-3,6</w:t>
            </w:r>
          </w:p>
        </w:tc>
      </w:tr>
      <w:tr w14:paraId="6A4F91A5" w14:textId="77777777" w:rsidTr="00BA3E3F">
        <w:tblPrEx>
          <w:tblW w:w="10031" w:type="dxa"/>
          <w:tblInd w:w="93" w:type="dxa"/>
          <w:tblLook w:val="04A0"/>
        </w:tblPrEx>
        <w:trPr>
          <w:trHeight w:val="34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552AD" w:rsidRPr="008A1BD0" w:rsidP="00AE2893" w14:paraId="16B42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6552AD" w:rsidRPr="008A1BD0" w:rsidP="00AE2893" w14:paraId="1869BB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ТОО «Корпорация 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Казахмыс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552AD" w:rsidRPr="008A1BD0" w:rsidP="00AE2893" w14:paraId="2B5666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1 154,6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552AD" w:rsidRPr="008A1BD0" w:rsidP="00AE2893" w14:paraId="2CAC59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1 375,6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552AD" w:rsidRPr="008A1BD0" w:rsidP="00AE2893" w14:paraId="6AFCE3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221,0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552AD" w:rsidRPr="008A1BD0" w:rsidP="00AE2893" w14:paraId="02B4B9FB" w14:textId="48899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19,1</w:t>
            </w:r>
          </w:p>
        </w:tc>
      </w:tr>
      <w:tr w14:paraId="41EFEB72" w14:textId="77777777" w:rsidTr="00BA3E3F">
        <w:tblPrEx>
          <w:tblW w:w="10031" w:type="dxa"/>
          <w:tblInd w:w="93" w:type="dxa"/>
          <w:tblLook w:val="04A0"/>
        </w:tblPrEx>
        <w:trPr>
          <w:trHeight w:val="34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552AD" w:rsidRPr="008A1BD0" w:rsidP="00AE2893" w14:paraId="09936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6552AD" w:rsidRPr="008A1BD0" w:rsidP="00AE2893" w14:paraId="760B89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ТОО «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Казцинк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552AD" w:rsidRPr="008A1BD0" w:rsidP="00AE2893" w14:paraId="339678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1 021,5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552AD" w:rsidRPr="008A1BD0" w:rsidP="00AE2893" w14:paraId="2E9F04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1 000,4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552AD" w:rsidRPr="008A1BD0" w:rsidP="00AE2893" w14:paraId="2571AD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-21,1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552AD" w:rsidRPr="008A1BD0" w:rsidP="00AE2893" w14:paraId="151E2EA3" w14:textId="35DEDC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-2,1</w:t>
            </w:r>
          </w:p>
        </w:tc>
      </w:tr>
      <w:tr w14:paraId="2F5384A0" w14:textId="77777777" w:rsidTr="00BA3E3F">
        <w:tblPrEx>
          <w:tblW w:w="10031" w:type="dxa"/>
          <w:tblInd w:w="93" w:type="dxa"/>
          <w:tblLook w:val="04A0"/>
        </w:tblPrEx>
        <w:trPr>
          <w:trHeight w:val="34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552AD" w:rsidRPr="008A1BD0" w:rsidP="00AE2893" w14:paraId="2C2852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6552AD" w:rsidRPr="008A1BD0" w:rsidP="00AE2893" w14:paraId="21E45E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АО «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Арселор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Миттал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Темиртау»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552AD" w:rsidRPr="008A1BD0" w:rsidP="00AE2893" w14:paraId="510C7D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1 269,5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552AD" w:rsidRPr="008A1BD0" w:rsidP="00AE2893" w14:paraId="672CD5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995,3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552AD" w:rsidRPr="008A1BD0" w:rsidP="00AE2893" w14:paraId="3E0417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-274,3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552AD" w:rsidRPr="008A1BD0" w:rsidP="00AE2893" w14:paraId="3E17BA51" w14:textId="5257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-21,6</w:t>
            </w:r>
          </w:p>
        </w:tc>
      </w:tr>
      <w:tr w14:paraId="569568CB" w14:textId="77777777" w:rsidTr="00BA3E3F">
        <w:tblPrEx>
          <w:tblW w:w="10031" w:type="dxa"/>
          <w:tblInd w:w="93" w:type="dxa"/>
          <w:tblLook w:val="04A0"/>
        </w:tblPrEx>
        <w:trPr>
          <w:trHeight w:val="34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552AD" w:rsidRPr="008A1BD0" w:rsidP="00AE2893" w14:paraId="3213C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6552AD" w:rsidRPr="008A1BD0" w:rsidP="00AE2893" w14:paraId="3BE280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ТОО «ККС»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552AD" w:rsidRPr="008A1BD0" w:rsidP="00AE2893" w14:paraId="7B73AB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2 251,0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552AD" w:rsidRPr="008A1BD0" w:rsidP="00AE2893" w14:paraId="1F792A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2 291,3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552AD" w:rsidRPr="008A1BD0" w:rsidP="00AE2893" w14:paraId="066C6A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40,3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552AD" w:rsidRPr="008A1BD0" w:rsidP="00AE2893" w14:paraId="08378FD4" w14:textId="40A3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1,8</w:t>
            </w:r>
          </w:p>
        </w:tc>
      </w:tr>
      <w:tr w14:paraId="6F2F4F40" w14:textId="77777777" w:rsidTr="00BA3E3F">
        <w:tblPrEx>
          <w:tblW w:w="10031" w:type="dxa"/>
          <w:tblInd w:w="93" w:type="dxa"/>
          <w:tblLook w:val="04A0"/>
        </w:tblPrEx>
        <w:trPr>
          <w:trHeight w:val="34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552AD" w:rsidRPr="008A1BD0" w:rsidP="00AE2893" w14:paraId="3CE21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6552AD" w:rsidRPr="008A1BD0" w:rsidP="00AE2893" w14:paraId="489D14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АО «ЦАЭК»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552AD" w:rsidRPr="008A1BD0" w:rsidP="00AE2893" w14:paraId="4D317D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2 117,9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552AD" w:rsidRPr="008A1BD0" w:rsidP="00AE2893" w14:paraId="7EB279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2 015,0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552AD" w:rsidRPr="008A1BD0" w:rsidP="00AE2893" w14:paraId="1FE398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-102,9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552AD" w:rsidRPr="008A1BD0" w:rsidP="00AE2893" w14:paraId="794BE223" w14:textId="0662D9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-4,9</w:t>
            </w:r>
          </w:p>
        </w:tc>
      </w:tr>
      <w:tr w14:paraId="222D2565" w14:textId="77777777" w:rsidTr="00BA3E3F">
        <w:tblPrEx>
          <w:tblW w:w="10031" w:type="dxa"/>
          <w:tblInd w:w="93" w:type="dxa"/>
          <w:tblLook w:val="04A0"/>
        </w:tblPrEx>
        <w:trPr>
          <w:trHeight w:val="34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552AD" w:rsidRPr="008A1BD0" w:rsidP="00AE2893" w14:paraId="050031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6552AD" w:rsidRPr="008A1BD0" w:rsidP="00AE2893" w14:paraId="738640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Жамбылская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ГРЭС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552AD" w:rsidRPr="008A1BD0" w:rsidP="00AE2893" w14:paraId="005DD9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836,3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552AD" w:rsidRPr="008A1BD0" w:rsidP="00AE2893" w14:paraId="2B74F7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701,6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552AD" w:rsidRPr="008A1BD0" w:rsidP="00AE2893" w14:paraId="4143E2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-134,7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552AD" w:rsidRPr="008A1BD0" w:rsidP="00AE2893" w14:paraId="644E129E" w14:textId="1EBA4D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-16,1</w:t>
            </w:r>
          </w:p>
        </w:tc>
      </w:tr>
      <w:tr w14:paraId="52ED1EB9" w14:textId="77777777" w:rsidTr="00BA3E3F">
        <w:tblPrEx>
          <w:tblW w:w="10031" w:type="dxa"/>
          <w:tblInd w:w="93" w:type="dxa"/>
          <w:tblLook w:val="04A0"/>
        </w:tblPrEx>
        <w:trPr>
          <w:trHeight w:val="34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552AD" w:rsidRPr="008A1BD0" w:rsidP="00AE2893" w14:paraId="390060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6552AD" w:rsidRPr="008A1BD0" w:rsidP="00AE2893" w14:paraId="5E7163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Нефтегазовые предприятия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552AD" w:rsidRPr="008A1BD0" w:rsidP="00AE2893" w14:paraId="3EFD80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1 725,2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552AD" w:rsidRPr="008A1BD0" w:rsidP="00AE2893" w14:paraId="1E313A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szCs w:val="24"/>
              </w:rPr>
              <w:t>1 688,2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552AD" w:rsidRPr="008A1BD0" w:rsidP="00AE2893" w14:paraId="61A804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-37,1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552AD" w:rsidRPr="008A1BD0" w:rsidP="00AE2893" w14:paraId="05BA30C1" w14:textId="104AD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szCs w:val="24"/>
              </w:rPr>
              <w:t>-2,1</w:t>
            </w:r>
          </w:p>
        </w:tc>
      </w:tr>
    </w:tbl>
    <w:p w:rsidR="00220F66" w:rsidRPr="00AE2893" w:rsidP="00AE2893" w14:paraId="6DC08B6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F513C" w:rsidRPr="008A1BD0" w:rsidP="00AE2893" w14:paraId="0EB0D35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>В январе-</w:t>
      </w:r>
      <w:r w:rsidRPr="008A1BD0" w:rsidR="006552AD">
        <w:rPr>
          <w:rFonts w:ascii="Times New Roman" w:hAnsi="Times New Roman" w:cs="Times New Roman"/>
          <w:sz w:val="28"/>
        </w:rPr>
        <w:t>апреле</w:t>
      </w:r>
      <w:r w:rsidRPr="008A1BD0" w:rsidR="000C0686">
        <w:rPr>
          <w:rFonts w:ascii="Times New Roman" w:hAnsi="Times New Roman" w:cs="Times New Roman"/>
          <w:sz w:val="28"/>
        </w:rPr>
        <w:t xml:space="preserve"> </w:t>
      </w:r>
      <w:r w:rsidRPr="008A1BD0">
        <w:rPr>
          <w:rFonts w:ascii="Times New Roman" w:hAnsi="Times New Roman" w:cs="Times New Roman"/>
          <w:sz w:val="28"/>
        </w:rPr>
        <w:t>2</w:t>
      </w:r>
      <w:r w:rsidRPr="008A1BD0" w:rsidR="00220F66">
        <w:rPr>
          <w:rFonts w:ascii="Times New Roman" w:hAnsi="Times New Roman" w:cs="Times New Roman"/>
          <w:sz w:val="28"/>
        </w:rPr>
        <w:t>02</w:t>
      </w:r>
      <w:r w:rsidRPr="008A1BD0" w:rsidR="00194BBF">
        <w:rPr>
          <w:rFonts w:ascii="Times New Roman" w:hAnsi="Times New Roman" w:cs="Times New Roman"/>
          <w:sz w:val="28"/>
        </w:rPr>
        <w:t>2 год</w:t>
      </w:r>
      <w:r w:rsidRPr="008A1BD0">
        <w:rPr>
          <w:rFonts w:ascii="Times New Roman" w:hAnsi="Times New Roman" w:cs="Times New Roman"/>
          <w:sz w:val="28"/>
        </w:rPr>
        <w:t>а</w:t>
      </w:r>
      <w:r w:rsidRPr="008A1BD0" w:rsidR="00194BBF">
        <w:rPr>
          <w:rFonts w:ascii="Times New Roman" w:hAnsi="Times New Roman" w:cs="Times New Roman"/>
          <w:sz w:val="28"/>
        </w:rPr>
        <w:t xml:space="preserve"> наблюдается </w:t>
      </w:r>
      <w:r w:rsidRPr="008A1BD0">
        <w:rPr>
          <w:rFonts w:ascii="Times New Roman" w:hAnsi="Times New Roman" w:cs="Times New Roman"/>
          <w:sz w:val="28"/>
        </w:rPr>
        <w:t>рост</w:t>
      </w:r>
      <w:r w:rsidRPr="008A1BD0" w:rsidR="00194BBF">
        <w:rPr>
          <w:rFonts w:ascii="Times New Roman" w:hAnsi="Times New Roman" w:cs="Times New Roman"/>
          <w:sz w:val="28"/>
        </w:rPr>
        <w:t xml:space="preserve"> </w:t>
      </w:r>
      <w:r w:rsidRPr="008A1BD0" w:rsidR="00220F66">
        <w:rPr>
          <w:rFonts w:ascii="Times New Roman" w:hAnsi="Times New Roman" w:cs="Times New Roman"/>
          <w:sz w:val="28"/>
        </w:rPr>
        <w:t>потребления электроэнергии компаниям</w:t>
      </w:r>
      <w:r w:rsidRPr="008A1BD0" w:rsidR="00194BBF">
        <w:rPr>
          <w:rFonts w:ascii="Times New Roman" w:hAnsi="Times New Roman" w:cs="Times New Roman"/>
          <w:sz w:val="28"/>
        </w:rPr>
        <w:t>и АО «</w:t>
      </w:r>
      <w:r w:rsidRPr="008A1BD0" w:rsidR="00194BBF">
        <w:rPr>
          <w:rFonts w:ascii="Times New Roman" w:hAnsi="Times New Roman" w:cs="Times New Roman"/>
          <w:sz w:val="28"/>
        </w:rPr>
        <w:t>Самрук-Энерго</w:t>
      </w:r>
      <w:r w:rsidRPr="008A1BD0" w:rsidR="00194BBF">
        <w:rPr>
          <w:rFonts w:ascii="Times New Roman" w:hAnsi="Times New Roman" w:cs="Times New Roman"/>
          <w:sz w:val="28"/>
        </w:rPr>
        <w:t xml:space="preserve">» </w:t>
      </w:r>
      <w:r w:rsidRPr="008A1BD0" w:rsidR="005D4CFF">
        <w:rPr>
          <w:rFonts w:ascii="Times New Roman" w:hAnsi="Times New Roman" w:cs="Times New Roman"/>
          <w:sz w:val="28"/>
        </w:rPr>
        <w:t xml:space="preserve">на </w:t>
      </w:r>
      <w:r w:rsidRPr="008A1BD0" w:rsidR="006552AD">
        <w:rPr>
          <w:rFonts w:ascii="Times New Roman" w:hAnsi="Times New Roman" w:cs="Times New Roman"/>
          <w:sz w:val="28"/>
        </w:rPr>
        <w:t>20,6</w:t>
      </w:r>
      <w:r w:rsidRPr="008A1BD0" w:rsidR="005D4CFF">
        <w:rPr>
          <w:rFonts w:ascii="Times New Roman" w:hAnsi="Times New Roman" w:cs="Times New Roman"/>
          <w:sz w:val="28"/>
        </w:rPr>
        <w:t xml:space="preserve"> млн. </w:t>
      </w:r>
      <w:r w:rsidRPr="008A1BD0" w:rsidR="005D4CFF">
        <w:rPr>
          <w:rFonts w:ascii="Times New Roman" w:hAnsi="Times New Roman" w:cs="Times New Roman"/>
          <w:sz w:val="28"/>
        </w:rPr>
        <w:t>кВтч</w:t>
      </w:r>
      <w:r w:rsidRPr="008A1BD0" w:rsidR="005D4CFF">
        <w:rPr>
          <w:rFonts w:ascii="Times New Roman" w:hAnsi="Times New Roman" w:cs="Times New Roman"/>
          <w:sz w:val="28"/>
        </w:rPr>
        <w:t>. или на</w:t>
      </w:r>
      <w:r w:rsidRPr="008A1BD0" w:rsidR="00194BBF">
        <w:rPr>
          <w:rFonts w:ascii="Times New Roman" w:hAnsi="Times New Roman" w:cs="Times New Roman"/>
          <w:sz w:val="28"/>
        </w:rPr>
        <w:t xml:space="preserve"> </w:t>
      </w:r>
      <w:r w:rsidRPr="008A1BD0" w:rsidR="006552AD">
        <w:rPr>
          <w:rFonts w:ascii="Times New Roman" w:hAnsi="Times New Roman" w:cs="Times New Roman"/>
          <w:sz w:val="28"/>
        </w:rPr>
        <w:t>0,7</w:t>
      </w:r>
      <w:r w:rsidRPr="008A1BD0" w:rsidR="00C0301C">
        <w:rPr>
          <w:rFonts w:ascii="Times New Roman" w:hAnsi="Times New Roman" w:cs="Times New Roman"/>
          <w:sz w:val="28"/>
        </w:rPr>
        <w:t xml:space="preserve">% в сравнении с </w:t>
      </w:r>
      <w:r w:rsidRPr="008A1BD0">
        <w:rPr>
          <w:rFonts w:ascii="Times New Roman" w:hAnsi="Times New Roman" w:cs="Times New Roman"/>
          <w:sz w:val="28"/>
        </w:rPr>
        <w:t xml:space="preserve">аналогичными показателями </w:t>
      </w:r>
      <w:r w:rsidRPr="008A1BD0" w:rsidR="00C0301C">
        <w:rPr>
          <w:rFonts w:ascii="Times New Roman" w:hAnsi="Times New Roman" w:cs="Times New Roman"/>
          <w:sz w:val="28"/>
        </w:rPr>
        <w:t>2021</w:t>
      </w:r>
      <w:r w:rsidRPr="008A1BD0" w:rsidR="00220F66">
        <w:rPr>
          <w:rFonts w:ascii="Times New Roman" w:hAnsi="Times New Roman" w:cs="Times New Roman"/>
          <w:sz w:val="28"/>
        </w:rPr>
        <w:t xml:space="preserve"> год.</w:t>
      </w:r>
    </w:p>
    <w:p w:rsidR="00F861C7" w:rsidRPr="008A1BD0" w:rsidP="00AE2893" w14:paraId="30A8CA96" w14:textId="777777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8A1BD0">
        <w:rPr>
          <w:rFonts w:ascii="Times New Roman" w:hAnsi="Times New Roman" w:cs="Times New Roman"/>
          <w:i/>
          <w:sz w:val="24"/>
        </w:rPr>
        <w:t xml:space="preserve">млн. </w:t>
      </w:r>
      <w:r w:rsidRPr="008A1BD0">
        <w:rPr>
          <w:rFonts w:ascii="Times New Roman" w:hAnsi="Times New Roman" w:cs="Times New Roman"/>
          <w:i/>
          <w:sz w:val="24"/>
        </w:rPr>
        <w:t>кВтч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808"/>
        <w:gridCol w:w="1291"/>
        <w:gridCol w:w="1193"/>
        <w:gridCol w:w="1581"/>
        <w:gridCol w:w="1534"/>
      </w:tblGrid>
      <w:tr w14:paraId="2F649177" w14:textId="77777777" w:rsidTr="000F674C">
        <w:tblPrEx>
          <w:tblW w:w="9938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460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:rsidR="00220F66" w:rsidRPr="008A1BD0" w:rsidP="00AE2893" w14:paraId="56709A62" w14:textId="02DF8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8A1BD0" w:rsidR="00531B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:rsidR="00220F66" w:rsidRPr="008A1BD0" w:rsidP="00AE2893" w14:paraId="38DF7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2508" w:type="dxa"/>
            <w:gridSpan w:val="2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70C32D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hAnsi="Times New Roman" w:cs="Times New Roman"/>
                <w:b/>
                <w:bCs/>
                <w:szCs w:val="24"/>
              </w:rPr>
              <w:t>Январь</w:t>
            </w:r>
            <w:r w:rsidRPr="008A1BD0" w:rsidR="006E752A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  <w:r w:rsidRPr="008A1BD0" w:rsidR="006552AD">
              <w:rPr>
                <w:rFonts w:ascii="Times New Roman" w:hAnsi="Times New Roman" w:cs="Times New Roman"/>
                <w:b/>
                <w:bCs/>
                <w:szCs w:val="24"/>
              </w:rPr>
              <w:t>апрель</w:t>
            </w:r>
          </w:p>
        </w:tc>
        <w:tc>
          <w:tcPr>
            <w:tcW w:w="1602" w:type="dxa"/>
            <w:vMerge w:val="restart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0AB157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Δ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, млн. 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кВтч</w:t>
            </w:r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507B90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Δ, %</w:t>
            </w:r>
          </w:p>
        </w:tc>
      </w:tr>
      <w:tr w14:paraId="50BD1B31" w14:textId="77777777" w:rsidTr="000F674C">
        <w:tblPrEx>
          <w:tblW w:w="9938" w:type="dxa"/>
          <w:tblInd w:w="93" w:type="dxa"/>
          <w:tblLook w:val="04A0"/>
        </w:tblPrEx>
        <w:trPr>
          <w:trHeight w:val="315"/>
        </w:trPr>
        <w:tc>
          <w:tcPr>
            <w:tcW w:w="460" w:type="dxa"/>
            <w:vMerge/>
            <w:vAlign w:val="center"/>
            <w:hideMark/>
          </w:tcPr>
          <w:p w:rsidR="00220F66" w:rsidRPr="008A1BD0" w:rsidP="00AE2893" w14:paraId="402D56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:rsidR="00220F66" w:rsidRPr="008A1BD0" w:rsidP="00AE2893" w14:paraId="2668B9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03" w:type="dxa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1A982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</w:t>
            </w:r>
            <w:r w:rsidRPr="008A1BD0" w:rsidR="00194B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205" w:type="dxa"/>
            <w:shd w:val="clear" w:color="auto" w:fill="8DB3E2" w:themeFill="text2" w:themeFillTint="66"/>
            <w:vAlign w:val="center"/>
            <w:hideMark/>
          </w:tcPr>
          <w:p w:rsidR="00220F66" w:rsidRPr="008A1BD0" w:rsidP="00AE2893" w14:paraId="5AF62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</w:t>
            </w:r>
            <w:r w:rsidRPr="008A1BD0" w:rsidR="00194B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602" w:type="dxa"/>
            <w:vMerge/>
            <w:vAlign w:val="center"/>
            <w:hideMark/>
          </w:tcPr>
          <w:p w:rsidR="00220F66" w:rsidRPr="008A1BD0" w:rsidP="00AE2893" w14:paraId="30ACD3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20F66" w:rsidRPr="008A1BD0" w:rsidP="00AE2893" w14:paraId="713D1E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14:paraId="365E85E5" w14:textId="77777777" w:rsidTr="000F674C">
        <w:tblPrEx>
          <w:tblW w:w="9938" w:type="dxa"/>
          <w:tblInd w:w="93" w:type="dxa"/>
          <w:tblLook w:val="04A0"/>
        </w:tblPrEx>
        <w:trPr>
          <w:trHeight w:val="340"/>
        </w:trPr>
        <w:tc>
          <w:tcPr>
            <w:tcW w:w="460" w:type="dxa"/>
            <w:shd w:val="clear" w:color="auto" w:fill="17365D" w:themeFill="text2" w:themeFillShade="BF"/>
            <w:vAlign w:val="center"/>
            <w:hideMark/>
          </w:tcPr>
          <w:p w:rsidR="006552AD" w:rsidRPr="008A1BD0" w:rsidP="00AE2893" w14:paraId="01C90058" w14:textId="54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3808" w:type="dxa"/>
            <w:shd w:val="clear" w:color="auto" w:fill="17365D" w:themeFill="text2" w:themeFillShade="BF"/>
            <w:vAlign w:val="center"/>
            <w:hideMark/>
          </w:tcPr>
          <w:p w:rsidR="006552AD" w:rsidRPr="008A1BD0" w:rsidP="00AE2893" w14:paraId="171EE5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4"/>
                <w:lang w:eastAsia="ru-RU"/>
              </w:rPr>
              <w:t>АО «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4"/>
                <w:lang w:eastAsia="ru-RU"/>
              </w:rPr>
              <w:t>Самрук-Энерго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4"/>
                <w:lang w:eastAsia="ru-RU"/>
              </w:rPr>
              <w:t>»</w:t>
            </w:r>
          </w:p>
        </w:tc>
        <w:tc>
          <w:tcPr>
            <w:tcW w:w="1303" w:type="dxa"/>
            <w:shd w:val="clear" w:color="auto" w:fill="17365D" w:themeFill="text2" w:themeFillShade="BF"/>
            <w:vAlign w:val="center"/>
          </w:tcPr>
          <w:p w:rsidR="006552AD" w:rsidRPr="008A1BD0" w:rsidP="00AE2893" w14:paraId="17617A15" w14:textId="6D85A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8A1BD0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2</w:t>
            </w:r>
            <w:r w:rsidRPr="008A1BD0" w:rsidR="00F775EF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8A1BD0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777,06</w:t>
            </w:r>
          </w:p>
        </w:tc>
        <w:tc>
          <w:tcPr>
            <w:tcW w:w="1205" w:type="dxa"/>
            <w:shd w:val="clear" w:color="auto" w:fill="17365D" w:themeFill="text2" w:themeFillShade="BF"/>
            <w:vAlign w:val="center"/>
          </w:tcPr>
          <w:p w:rsidR="006552AD" w:rsidRPr="008A1BD0" w:rsidP="00AE2893" w14:paraId="119535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8A1BD0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2 797,7</w:t>
            </w:r>
          </w:p>
        </w:tc>
        <w:tc>
          <w:tcPr>
            <w:tcW w:w="1602" w:type="dxa"/>
            <w:shd w:val="clear" w:color="auto" w:fill="17365D" w:themeFill="text2" w:themeFillShade="BF"/>
            <w:vAlign w:val="center"/>
          </w:tcPr>
          <w:p w:rsidR="006552AD" w:rsidRPr="008A1BD0" w:rsidP="00AE2893" w14:paraId="241EEB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8A1BD0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20,6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6552AD" w:rsidRPr="008A1BD0" w:rsidP="00AE2893" w14:paraId="5139EDA4" w14:textId="0929A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8A1BD0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0,7</w:t>
            </w:r>
          </w:p>
        </w:tc>
      </w:tr>
      <w:tr w14:paraId="463E7EB9" w14:textId="77777777" w:rsidTr="00075A0B">
        <w:tblPrEx>
          <w:tblW w:w="9938" w:type="dxa"/>
          <w:tblInd w:w="93" w:type="dxa"/>
          <w:tblLook w:val="04A0"/>
        </w:tblPrEx>
        <w:trPr>
          <w:trHeight w:val="34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552AD" w:rsidRPr="008A1BD0" w:rsidP="00AE2893" w14:paraId="63436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6552AD" w:rsidRPr="008A1BD0" w:rsidP="00AE2893" w14:paraId="2C3130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ТОО «Богатырь-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Комир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552AD" w:rsidRPr="008A1BD0" w:rsidP="00AE2893" w14:paraId="762442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color w:val="000000"/>
                <w:szCs w:val="24"/>
              </w:rPr>
              <w:t>108,14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552AD" w:rsidRPr="008A1BD0" w:rsidP="00AE2893" w14:paraId="680F35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color w:val="000000"/>
                <w:szCs w:val="24"/>
              </w:rPr>
              <w:t>109,4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552AD" w:rsidRPr="008A1BD0" w:rsidP="00AE2893" w14:paraId="2A8325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52AD" w:rsidRPr="008A1BD0" w:rsidP="00AE2893" w14:paraId="044AD79E" w14:textId="2710C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color w:val="000000"/>
                <w:szCs w:val="24"/>
              </w:rPr>
              <w:t>1,1</w:t>
            </w:r>
          </w:p>
        </w:tc>
      </w:tr>
      <w:tr w14:paraId="599E21DC" w14:textId="77777777" w:rsidTr="00075A0B">
        <w:tblPrEx>
          <w:tblW w:w="9938" w:type="dxa"/>
          <w:tblInd w:w="93" w:type="dxa"/>
          <w:tblLook w:val="04A0"/>
        </w:tblPrEx>
        <w:trPr>
          <w:trHeight w:val="34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552AD" w:rsidRPr="008A1BD0" w:rsidP="00AE2893" w14:paraId="66904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6552AD" w:rsidRPr="008A1BD0" w:rsidP="00AE2893" w14:paraId="48EBE7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АО «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АлатауЖарык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Компаниясы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552AD" w:rsidRPr="008A1BD0" w:rsidP="00AE2893" w14:paraId="1D208E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color w:val="000000"/>
                <w:szCs w:val="24"/>
              </w:rPr>
              <w:t>351,40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552AD" w:rsidRPr="008A1BD0" w:rsidP="00AE2893" w14:paraId="050E88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color w:val="000000"/>
                <w:szCs w:val="24"/>
              </w:rPr>
              <w:t>386,3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552AD" w:rsidRPr="008A1BD0" w:rsidP="00AE2893" w14:paraId="199B11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34,9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52AD" w:rsidRPr="008A1BD0" w:rsidP="00AE2893" w14:paraId="6D07A6FD" w14:textId="1EC3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color w:val="000000"/>
                <w:szCs w:val="24"/>
              </w:rPr>
              <w:t>9,9</w:t>
            </w:r>
          </w:p>
        </w:tc>
      </w:tr>
      <w:tr w14:paraId="03CAE635" w14:textId="77777777" w:rsidTr="00075A0B">
        <w:tblPrEx>
          <w:tblW w:w="9938" w:type="dxa"/>
          <w:tblInd w:w="93" w:type="dxa"/>
          <w:tblLook w:val="04A0"/>
        </w:tblPrEx>
        <w:trPr>
          <w:trHeight w:val="34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552AD" w:rsidRPr="008A1BD0" w:rsidP="00AE2893" w14:paraId="2285C8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6552AD" w:rsidRPr="008A1BD0" w:rsidP="00AE2893" w14:paraId="0173E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ТОО «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АлматыЭнергоСбыт</w:t>
            </w:r>
            <w:r w:rsidRPr="008A1BD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552AD" w:rsidRPr="008A1BD0" w:rsidP="00AE2893" w14:paraId="5705C3BA" w14:textId="30F62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8A1BD0" w:rsidR="00F775E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8A1BD0">
              <w:rPr>
                <w:rFonts w:ascii="Times New Roman" w:hAnsi="Times New Roman" w:cs="Times New Roman"/>
                <w:color w:val="000000"/>
                <w:szCs w:val="24"/>
              </w:rPr>
              <w:t>317,52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552AD" w:rsidRPr="008A1BD0" w:rsidP="00AE2893" w14:paraId="13328D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color w:val="000000"/>
                <w:szCs w:val="24"/>
              </w:rPr>
              <w:t>2 302,0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552AD" w:rsidRPr="008A1BD0" w:rsidP="00AE2893" w14:paraId="155F4E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-15,5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52AD" w:rsidRPr="00AE2893" w:rsidP="00AE2893" w14:paraId="0460773C" w14:textId="152F2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A1BD0">
              <w:rPr>
                <w:rFonts w:ascii="Times New Roman" w:hAnsi="Times New Roman" w:cs="Times New Roman"/>
                <w:bCs/>
                <w:color w:val="000000"/>
                <w:szCs w:val="24"/>
              </w:rPr>
              <w:t>-0,7</w:t>
            </w:r>
          </w:p>
        </w:tc>
      </w:tr>
    </w:tbl>
    <w:p w:rsidR="007C6544" w:rsidRPr="00AE2893" w:rsidP="00AE2893" w14:paraId="19EE3594" w14:textId="77777777">
      <w:pPr>
        <w:spacing w:after="0" w:line="240" w:lineRule="auto"/>
        <w:rPr>
          <w:rFonts w:ascii="Times New Roman" w:hAnsi="Times New Roman" w:eastAsiaTheme="majorEastAsia" w:cs="Times New Roman"/>
          <w:i/>
          <w:sz w:val="28"/>
          <w:szCs w:val="28"/>
        </w:rPr>
      </w:pPr>
      <w:bookmarkStart w:id="12" w:name="_Toc507606021"/>
    </w:p>
    <w:p w:rsidR="008F1A47" w:rsidRPr="00AE2893" w:rsidP="008A1BD0" w14:paraId="7DB97E3B" w14:textId="38E13D95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bookmarkStart w:id="13" w:name="_Toc510196469"/>
    </w:p>
    <w:p w:rsidR="00961F76" w:rsidRPr="008A1BD0" w:rsidP="008A1BD0" w14:paraId="502C9EE9" w14:textId="2208621E">
      <w:pPr>
        <w:pStyle w:val="ListParagraph"/>
        <w:keepNext/>
        <w:keepLines/>
        <w:spacing w:after="0" w:line="240" w:lineRule="auto"/>
        <w:ind w:left="360"/>
        <w:jc w:val="center"/>
        <w:outlineLvl w:val="0"/>
        <w:rPr>
          <w:rFonts w:ascii="Times New Roman" w:hAnsi="Times New Roman" w:eastAsiaTheme="majorEastAsia" w:cs="Times New Roman"/>
          <w:i/>
          <w:sz w:val="28"/>
          <w:szCs w:val="32"/>
        </w:rPr>
      </w:pPr>
      <w:r w:rsidRPr="008A1BD0">
        <w:rPr>
          <w:rFonts w:ascii="Times New Roman" w:hAnsi="Times New Roman" w:eastAsiaTheme="majorEastAsia" w:cs="Times New Roman"/>
          <w:i/>
          <w:sz w:val="28"/>
          <w:szCs w:val="32"/>
        </w:rPr>
        <w:t>2.</w:t>
      </w:r>
      <w:r w:rsidRPr="008A1BD0">
        <w:rPr>
          <w:rFonts w:ascii="Times New Roman" w:hAnsi="Times New Roman" w:eastAsiaTheme="majorEastAsia" w:cs="Times New Roman"/>
          <w:i/>
          <w:sz w:val="28"/>
          <w:szCs w:val="32"/>
          <w:lang w:val="en-US"/>
        </w:rPr>
        <w:t>3</w:t>
      </w:r>
      <w:r w:rsidRPr="008A1BD0" w:rsidR="00E342DF">
        <w:rPr>
          <w:rFonts w:ascii="Times New Roman" w:hAnsi="Times New Roman" w:eastAsiaTheme="majorEastAsia" w:cs="Times New Roman"/>
          <w:i/>
          <w:sz w:val="28"/>
          <w:szCs w:val="32"/>
          <w:lang w:val="kk-KZ"/>
        </w:rPr>
        <w:t xml:space="preserve"> </w:t>
      </w:r>
      <w:bookmarkStart w:id="14" w:name="_Toc104388608"/>
      <w:r w:rsidRPr="008A1BD0" w:rsidR="001855B1">
        <w:rPr>
          <w:rFonts w:ascii="Times New Roman" w:hAnsi="Times New Roman" w:eastAsiaTheme="majorEastAsia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3"/>
      <w:bookmarkEnd w:id="14"/>
    </w:p>
    <w:p w:rsidR="00BB5A83" w:rsidRPr="00AE2893" w:rsidP="00AE2893" w14:paraId="5AD925B0" w14:textId="77777777">
      <w:pPr>
        <w:pStyle w:val="ListParagraph"/>
        <w:keepNext/>
        <w:keepLines/>
        <w:spacing w:after="0" w:line="240" w:lineRule="auto"/>
        <w:ind w:left="0"/>
        <w:outlineLvl w:val="0"/>
        <w:rPr>
          <w:rFonts w:ascii="Times New Roman" w:hAnsi="Times New Roman" w:eastAsiaTheme="majorEastAsia" w:cs="Times New Roman"/>
          <w:i/>
          <w:sz w:val="28"/>
          <w:szCs w:val="32"/>
          <w:highlight w:val="green"/>
        </w:rPr>
      </w:pPr>
    </w:p>
    <w:p w:rsidR="007C6544" w:rsidRPr="008A1BD0" w:rsidP="00AE2893" w14:paraId="5787B0F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D0">
        <w:rPr>
          <w:rFonts w:ascii="Times New Roman" w:hAnsi="Times New Roman" w:cs="Times New Roman"/>
          <w:sz w:val="28"/>
          <w:szCs w:val="28"/>
        </w:rPr>
        <w:t>За январь</w:t>
      </w:r>
      <w:r w:rsidRPr="008A1BD0" w:rsidR="00755353">
        <w:rPr>
          <w:rFonts w:ascii="Times New Roman" w:hAnsi="Times New Roman" w:cs="Times New Roman"/>
          <w:sz w:val="28"/>
          <w:szCs w:val="28"/>
        </w:rPr>
        <w:t>-</w:t>
      </w:r>
      <w:r w:rsidRPr="008A1BD0" w:rsidR="00AB4E5A">
        <w:rPr>
          <w:rFonts w:ascii="Times New Roman" w:hAnsi="Times New Roman" w:cs="Times New Roman"/>
          <w:sz w:val="28"/>
          <w:szCs w:val="28"/>
        </w:rPr>
        <w:t>апрель</w:t>
      </w:r>
      <w:r w:rsidRPr="008A1BD0">
        <w:rPr>
          <w:rFonts w:ascii="Times New Roman" w:hAnsi="Times New Roman" w:cs="Times New Roman"/>
          <w:sz w:val="28"/>
          <w:szCs w:val="28"/>
        </w:rPr>
        <w:t xml:space="preserve"> 2022 года по отношению к аналогичному периоду 2021 года потребление электроэнергии по крупным потребителям </w:t>
      </w:r>
      <w:r w:rsidRPr="008A1BD0" w:rsidR="00677ED6">
        <w:rPr>
          <w:rFonts w:ascii="Times New Roman" w:hAnsi="Times New Roman" w:cs="Times New Roman"/>
          <w:sz w:val="28"/>
          <w:szCs w:val="28"/>
        </w:rPr>
        <w:t>увеличилось</w:t>
      </w:r>
      <w:r w:rsidRPr="008A1BD0">
        <w:rPr>
          <w:rFonts w:ascii="Times New Roman" w:hAnsi="Times New Roman" w:cs="Times New Roman"/>
          <w:sz w:val="28"/>
          <w:szCs w:val="28"/>
        </w:rPr>
        <w:t xml:space="preserve"> на</w:t>
      </w:r>
      <w:r w:rsidRPr="008A1BD0" w:rsidR="00961F76">
        <w:rPr>
          <w:rFonts w:ascii="Times New Roman" w:hAnsi="Times New Roman" w:cs="Times New Roman"/>
          <w:sz w:val="28"/>
          <w:szCs w:val="28"/>
        </w:rPr>
        <w:t xml:space="preserve"> </w:t>
      </w:r>
      <w:r w:rsidRPr="008A1BD0" w:rsidR="00677ED6">
        <w:rPr>
          <w:rFonts w:ascii="Times New Roman" w:hAnsi="Times New Roman" w:cs="Times New Roman"/>
          <w:sz w:val="28"/>
          <w:szCs w:val="28"/>
        </w:rPr>
        <w:t>237,1</w:t>
      </w:r>
      <w:r w:rsidRPr="008A1BD0" w:rsidR="00961F76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8A1BD0" w:rsidR="00961F76">
        <w:rPr>
          <w:rFonts w:ascii="Times New Roman" w:hAnsi="Times New Roman" w:cs="Times New Roman"/>
          <w:sz w:val="28"/>
          <w:szCs w:val="28"/>
        </w:rPr>
        <w:t>кВтч</w:t>
      </w:r>
      <w:r w:rsidRPr="008A1BD0" w:rsidR="00961F76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8A1BD0" w:rsidR="00677ED6">
        <w:rPr>
          <w:rFonts w:ascii="Times New Roman" w:hAnsi="Times New Roman" w:cs="Times New Roman"/>
          <w:sz w:val="28"/>
          <w:szCs w:val="28"/>
        </w:rPr>
        <w:t>2,1</w:t>
      </w:r>
      <w:r w:rsidRPr="008A1BD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855B1" w:rsidRPr="008A1BD0" w:rsidP="00AE2893" w14:paraId="0B9DFB3C" w14:textId="777777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A1BD0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r w:rsidRPr="008A1BD0">
        <w:rPr>
          <w:rFonts w:ascii="Times New Roman" w:hAnsi="Times New Roman" w:cs="Times New Roman"/>
          <w:i/>
          <w:sz w:val="24"/>
          <w:szCs w:val="28"/>
        </w:rPr>
        <w:t>кВтч</w:t>
      </w:r>
    </w:p>
    <w:tbl>
      <w:tblPr>
        <w:tblW w:w="101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4967"/>
        <w:gridCol w:w="1134"/>
        <w:gridCol w:w="1009"/>
        <w:gridCol w:w="1134"/>
        <w:gridCol w:w="1038"/>
      </w:tblGrid>
      <w:tr w14:paraId="7E59A958" w14:textId="77777777" w:rsidTr="000F674C">
        <w:tblPrEx>
          <w:tblW w:w="10127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4"/>
        </w:trPr>
        <w:tc>
          <w:tcPr>
            <w:tcW w:w="845" w:type="dxa"/>
            <w:vMerge w:val="restart"/>
            <w:shd w:val="clear" w:color="auto" w:fill="8DB3E2" w:themeFill="text2" w:themeFillTint="66"/>
            <w:vAlign w:val="center"/>
            <w:hideMark/>
          </w:tcPr>
          <w:p w:rsidR="001855B1" w:rsidRPr="008A1BD0" w:rsidP="00AE2893" w14:paraId="46BBE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967" w:type="dxa"/>
            <w:vMerge w:val="restart"/>
            <w:shd w:val="clear" w:color="auto" w:fill="8DB3E2" w:themeFill="text2" w:themeFillTint="66"/>
            <w:vAlign w:val="center"/>
            <w:hideMark/>
          </w:tcPr>
          <w:p w:rsidR="001855B1" w:rsidRPr="008A1BD0" w:rsidP="00AE2893" w14:paraId="31020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:rsidR="001855B1" w:rsidRPr="008A1BD0" w:rsidP="00AE2893" w14:paraId="36529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8A1BD0" w:rsidR="007553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A1BD0" w:rsidR="00F222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:rsidR="001855B1" w:rsidRPr="008A1BD0" w:rsidP="00AE2893" w14:paraId="1AC8E4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:rsidR="001855B1" w:rsidRPr="008A1BD0" w:rsidP="00AE2893" w14:paraId="27F1B2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14:paraId="61481E95" w14:textId="77777777" w:rsidTr="000F674C">
        <w:tblPrEx>
          <w:tblW w:w="10127" w:type="dxa"/>
          <w:tblInd w:w="-10" w:type="dxa"/>
          <w:tblLook w:val="04A0"/>
        </w:tblPrEx>
        <w:trPr>
          <w:trHeight w:val="324"/>
        </w:trPr>
        <w:tc>
          <w:tcPr>
            <w:tcW w:w="845" w:type="dxa"/>
            <w:vMerge/>
            <w:vAlign w:val="center"/>
            <w:hideMark/>
          </w:tcPr>
          <w:p w:rsidR="001855B1" w:rsidRPr="008A1BD0" w:rsidP="00AE2893" w14:paraId="50C294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1855B1" w:rsidRPr="008A1BD0" w:rsidP="00AE2893" w14:paraId="53D32B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855B1" w:rsidRPr="008A1BD0" w:rsidP="00AE2893" w14:paraId="6736D6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009" w:type="dxa"/>
            <w:shd w:val="clear" w:color="auto" w:fill="8DB3E2" w:themeFill="text2" w:themeFillTint="66"/>
            <w:vAlign w:val="center"/>
          </w:tcPr>
          <w:p w:rsidR="001855B1" w:rsidRPr="008A1BD0" w:rsidP="00AE2893" w14:paraId="3DD7C8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134" w:type="dxa"/>
            <w:vMerge/>
            <w:shd w:val="clear" w:color="000000" w:fill="B8CCE4"/>
            <w:vAlign w:val="center"/>
          </w:tcPr>
          <w:p w:rsidR="001855B1" w:rsidRPr="008A1BD0" w:rsidP="00AE2893" w14:paraId="1A2937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shd w:val="clear" w:color="000000" w:fill="B8CCE4"/>
            <w:vAlign w:val="center"/>
            <w:hideMark/>
          </w:tcPr>
          <w:p w:rsidR="001855B1" w:rsidRPr="008A1BD0" w:rsidP="00AE2893" w14:paraId="3A36BE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14:paraId="262A0F8C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26CA1D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32E291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Арселор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Миттал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390618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1 269,5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39E219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1 284,7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3204C2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7B988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14:paraId="7AA03916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36A328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2C622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АО АЗФ (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Аксуйский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) «ТНК 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Казхром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4C3194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1 835,7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25196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1 691,8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5A8040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-143,9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05431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-7,8</w:t>
            </w:r>
          </w:p>
        </w:tc>
      </w:tr>
      <w:tr w14:paraId="646BAAD7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6FBAF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73F30F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Kazakhmys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Smelting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4E9E8B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403,7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33523D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433,5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7514B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36548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14:paraId="2DB18F6E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1185D9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56E713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Казцинк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79EA2A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969,4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27670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945,5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3776C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-23,9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61F5C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-2,5</w:t>
            </w:r>
          </w:p>
        </w:tc>
      </w:tr>
      <w:tr w14:paraId="7D7874D4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0FD82A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72D607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Соколовско-Сарбайское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17D8E1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560,1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7651AC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559,0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365A23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-1,1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3B030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</w:tr>
      <w:tr w14:paraId="504898DC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1126F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1EF002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ТОО «Корпорация 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Казахмыс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789D78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4C357A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445,7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3A9A65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50405D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14:paraId="3BFC1595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0C1CFE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4F65C2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АО АЗФ (Актюбинский) «ТНК 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Казхром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0DE46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1 039,2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0D45B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997,8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467B1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-41,4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7A3AC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-4,0</w:t>
            </w:r>
          </w:p>
        </w:tc>
      </w:tr>
      <w:tr w14:paraId="518DD908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50D4D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11033B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РГП «Канал им. 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Сатпаева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440F4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19B4E9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4C67C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43A2A4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</w:tr>
      <w:tr w14:paraId="462C6726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49CBDE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2D2493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Казфосфат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6F400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570,8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06216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708,4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49F74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2E8BD9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14:paraId="03938E67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307DE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692A23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АО «НДФЗ» </w:t>
            </w:r>
          </w:p>
          <w:p w:rsidR="00AB4E5A" w:rsidRPr="008A1BD0" w:rsidP="00AE2893" w14:paraId="10A4E1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(входит в структуру ТОО 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Казфосфат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2067FC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465,9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503DF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596,0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73F5EF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3CF44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14:paraId="250BB7A2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4ECAA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50552F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Таразский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 Металлургический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6F133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4E564F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6031F2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-90,4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772A18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-74,9</w:t>
            </w:r>
          </w:p>
        </w:tc>
      </w:tr>
      <w:tr w14:paraId="70D95A3F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4D9092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3E5E76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Усть-Каменогорский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титано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-магниевый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48EAA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6D589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251,0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7A845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42BD3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14:paraId="0C058D78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5D682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7FA3D4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Тенгизшевройл</w:t>
            </w: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4B235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629,7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26303D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630,6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23A62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394AF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14:paraId="672A60D4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4C10EF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40B7B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6445C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312,6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6343E7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322,8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3F11C6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28051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14:paraId="4E485ACE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5FD19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079414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5A" w:rsidRPr="008A1BD0" w:rsidP="00AE2893" w14:paraId="56DD03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1 261,0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77CCF0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1 251,5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0C3F1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-9,5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6AB21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-0,8</w:t>
            </w:r>
          </w:p>
        </w:tc>
      </w:tr>
      <w:tr w14:paraId="7FFA480B" w14:textId="77777777" w:rsidTr="00AB4E5A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845" w:type="dxa"/>
            <w:shd w:val="clear" w:color="auto" w:fill="auto"/>
            <w:vAlign w:val="center"/>
            <w:hideMark/>
          </w:tcPr>
          <w:p w:rsidR="00AB4E5A" w:rsidRPr="008A1BD0" w:rsidP="00AE2893" w14:paraId="48D06F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AB4E5A" w:rsidRPr="008A1BD0" w:rsidP="00AE2893" w14:paraId="7F6277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B4E5A" w:rsidRPr="008A1BD0" w:rsidP="00AE2893" w14:paraId="7F8DFC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1 834,2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B4E5A" w:rsidRPr="008A1BD0" w:rsidP="00AE2893" w14:paraId="050B67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1 809,8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E5A" w:rsidRPr="008A1BD0" w:rsidP="00AE2893" w14:paraId="2184C4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-24,4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AB4E5A" w:rsidRPr="008A1BD0" w:rsidP="00AE2893" w14:paraId="7D7B58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lang w:eastAsia="ru-RU"/>
              </w:rPr>
              <w:t>-1,3</w:t>
            </w:r>
          </w:p>
        </w:tc>
      </w:tr>
      <w:tr w14:paraId="071AA03F" w14:textId="77777777" w:rsidTr="000F674C">
        <w:tblPrEx>
          <w:tblW w:w="10127" w:type="dxa"/>
          <w:tblInd w:w="-10" w:type="dxa"/>
          <w:tblLook w:val="04A0"/>
        </w:tblPrEx>
        <w:trPr>
          <w:trHeight w:val="340"/>
        </w:trPr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  <w:hideMark/>
          </w:tcPr>
          <w:p w:rsidR="00AB4E5A" w:rsidRPr="008A1BD0" w:rsidP="00AE2893" w14:paraId="3FAAC0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AB4E5A" w:rsidRPr="008A1BD0" w:rsidP="00AE2893" w14:paraId="14B5A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lang w:eastAsia="ru-RU"/>
              </w:rPr>
              <w:t>11 480,6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AB4E5A" w:rsidRPr="008A1BD0" w:rsidP="00AE2893" w14:paraId="174659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lang w:eastAsia="ru-RU"/>
              </w:rPr>
              <w:t>11 717,7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B4E5A" w:rsidRPr="008A1BD0" w:rsidP="00AE2893" w14:paraId="00DAC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lang w:eastAsia="ru-RU"/>
              </w:rPr>
              <w:t>237,1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  <w:hideMark/>
          </w:tcPr>
          <w:p w:rsidR="00AB4E5A" w:rsidRPr="008A1BD0" w:rsidP="00AE2893" w14:paraId="6313B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lang w:eastAsia="ru-RU"/>
              </w:rPr>
              <w:t>2,1</w:t>
            </w:r>
          </w:p>
        </w:tc>
      </w:tr>
    </w:tbl>
    <w:p w:rsidR="00677ED6" w:rsidP="00AE2893" w14:paraId="35B9A8AE" w14:textId="77777777">
      <w:pPr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p w:rsidR="008A1BD0" w:rsidP="00AE2893" w14:paraId="36A8DFB5" w14:textId="77777777">
      <w:pPr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p w:rsidR="008A1BD0" w:rsidP="00AE2893" w14:paraId="0D2D0DCB" w14:textId="77777777">
      <w:pPr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p w:rsidR="008A1BD0" w:rsidP="00AE2893" w14:paraId="1476D647" w14:textId="77777777">
      <w:pPr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p w:rsidR="008A1BD0" w:rsidP="00AE2893" w14:paraId="2E0717BE" w14:textId="77777777">
      <w:pPr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p w:rsidR="008A1BD0" w:rsidP="00AE2893" w14:paraId="6126A578" w14:textId="77777777">
      <w:pPr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p w:rsidR="008A1BD0" w:rsidP="00AE2893" w14:paraId="22A6D772" w14:textId="77777777">
      <w:pPr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p w:rsidR="008A1BD0" w:rsidP="00AE2893" w14:paraId="75A3E4A3" w14:textId="77777777">
      <w:pPr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p w:rsidR="008A1BD0" w:rsidRPr="00AE2893" w:rsidP="00AE2893" w14:paraId="2B873235" w14:textId="77777777">
      <w:pPr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p w:rsidR="00BB5A83" w:rsidRPr="008A1BD0" w:rsidP="00AE2893" w14:paraId="2E88F3C7" w14:textId="77777777">
      <w:pPr>
        <w:pStyle w:val="Heading1"/>
        <w:numPr>
          <w:ilvl w:val="1"/>
          <w:numId w:val="4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5" w:name="_Toc104388609"/>
      <w:bookmarkEnd w:id="12"/>
      <w:r w:rsidRPr="008A1BD0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15"/>
    </w:p>
    <w:p w:rsidR="00BB5A83" w:rsidRPr="008A1BD0" w:rsidP="00AE2893" w14:paraId="56FCE798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54F8" w:rsidRPr="008A1BD0" w:rsidP="00AE2893" w14:paraId="3F4D84F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D0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производства-потребления электроэнергии в январе</w:t>
      </w:r>
      <w:r w:rsidRPr="008A1BD0" w:rsidR="00D54D43">
        <w:rPr>
          <w:rFonts w:ascii="Times New Roman" w:hAnsi="Times New Roman" w:cs="Times New Roman"/>
          <w:sz w:val="28"/>
          <w:szCs w:val="28"/>
        </w:rPr>
        <w:t>-</w:t>
      </w:r>
      <w:r w:rsidRPr="008A1BD0" w:rsidR="00F22235">
        <w:rPr>
          <w:rFonts w:ascii="Times New Roman" w:hAnsi="Times New Roman" w:cs="Times New Roman"/>
          <w:sz w:val="28"/>
          <w:szCs w:val="28"/>
        </w:rPr>
        <w:t>апреле</w:t>
      </w:r>
      <w:r w:rsidRPr="008A1BD0">
        <w:rPr>
          <w:rFonts w:ascii="Times New Roman" w:hAnsi="Times New Roman" w:cs="Times New Roman"/>
          <w:sz w:val="28"/>
          <w:szCs w:val="28"/>
        </w:rPr>
        <w:t xml:space="preserve"> 2022 года экспорт в РФ составил </w:t>
      </w:r>
      <w:r w:rsidRPr="008A1BD0" w:rsidR="00F22235">
        <w:rPr>
          <w:rFonts w:ascii="Times New Roman" w:hAnsi="Times New Roman" w:cs="Times New Roman"/>
          <w:sz w:val="28"/>
          <w:szCs w:val="28"/>
        </w:rPr>
        <w:t>331,4</w:t>
      </w:r>
      <w:r w:rsidRPr="008A1BD0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8A1BD0">
        <w:rPr>
          <w:rFonts w:ascii="Times New Roman" w:hAnsi="Times New Roman" w:cs="Times New Roman"/>
          <w:sz w:val="28"/>
          <w:szCs w:val="28"/>
        </w:rPr>
        <w:t>кВтч</w:t>
      </w:r>
      <w:r w:rsidRPr="008A1BD0">
        <w:rPr>
          <w:rFonts w:ascii="Times New Roman" w:hAnsi="Times New Roman" w:cs="Times New Roman"/>
          <w:sz w:val="28"/>
          <w:szCs w:val="28"/>
        </w:rPr>
        <w:t xml:space="preserve">, импорт из РФ </w:t>
      </w:r>
      <w:r w:rsidRPr="008A1BD0" w:rsidR="00F22235">
        <w:rPr>
          <w:rFonts w:ascii="Times New Roman" w:hAnsi="Times New Roman" w:cs="Times New Roman"/>
          <w:sz w:val="28"/>
          <w:szCs w:val="28"/>
        </w:rPr>
        <w:t>424,9</w:t>
      </w:r>
      <w:r w:rsidRPr="008A1BD0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8A1BD0">
        <w:rPr>
          <w:rFonts w:ascii="Times New Roman" w:hAnsi="Times New Roman" w:cs="Times New Roman"/>
          <w:sz w:val="28"/>
          <w:szCs w:val="28"/>
        </w:rPr>
        <w:t>кВтч</w:t>
      </w:r>
      <w:r w:rsidRPr="008A1BD0">
        <w:rPr>
          <w:rFonts w:ascii="Times New Roman" w:hAnsi="Times New Roman" w:cs="Times New Roman"/>
          <w:sz w:val="28"/>
          <w:szCs w:val="28"/>
        </w:rPr>
        <w:t>.</w:t>
      </w:r>
    </w:p>
    <w:p w:rsidR="00EF54F8" w:rsidRPr="008A1BD0" w:rsidP="00AE2893" w14:paraId="1BF1D96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D0">
        <w:rPr>
          <w:rFonts w:ascii="Times New Roman" w:hAnsi="Times New Roman" w:cs="Times New Roman"/>
          <w:sz w:val="28"/>
          <w:szCs w:val="28"/>
        </w:rPr>
        <w:t xml:space="preserve">В том числе экспорт АО «KEGOC» в РФ </w:t>
      </w:r>
      <w:r w:rsidRPr="008A1BD0" w:rsidR="00F22235">
        <w:rPr>
          <w:rFonts w:ascii="Times New Roman" w:hAnsi="Times New Roman" w:cs="Times New Roman"/>
          <w:sz w:val="28"/>
          <w:szCs w:val="28"/>
        </w:rPr>
        <w:t>316,0</w:t>
      </w:r>
      <w:r w:rsidRPr="008A1BD0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8A1BD0">
        <w:rPr>
          <w:rFonts w:ascii="Times New Roman" w:hAnsi="Times New Roman" w:cs="Times New Roman"/>
          <w:sz w:val="28"/>
          <w:szCs w:val="28"/>
        </w:rPr>
        <w:t>кВтч</w:t>
      </w:r>
      <w:r w:rsidRPr="008A1BD0">
        <w:rPr>
          <w:rFonts w:ascii="Times New Roman" w:hAnsi="Times New Roman" w:cs="Times New Roman"/>
          <w:sz w:val="28"/>
          <w:szCs w:val="28"/>
        </w:rPr>
        <w:t xml:space="preserve">, импорт электроэнергии за отчетный период в объеме </w:t>
      </w:r>
      <w:r w:rsidRPr="008A1BD0" w:rsidR="00F22235">
        <w:rPr>
          <w:rFonts w:ascii="Times New Roman" w:hAnsi="Times New Roman" w:cs="Times New Roman"/>
          <w:sz w:val="28"/>
          <w:szCs w:val="28"/>
        </w:rPr>
        <w:t>363,1</w:t>
      </w:r>
      <w:r w:rsidRPr="008A1BD0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8A1BD0">
        <w:rPr>
          <w:rFonts w:ascii="Times New Roman" w:hAnsi="Times New Roman" w:cs="Times New Roman"/>
          <w:sz w:val="28"/>
          <w:szCs w:val="28"/>
        </w:rPr>
        <w:t>кВтч</w:t>
      </w:r>
      <w:r w:rsidRPr="008A1BD0">
        <w:rPr>
          <w:rFonts w:ascii="Times New Roman" w:hAnsi="Times New Roman" w:cs="Times New Roman"/>
          <w:sz w:val="28"/>
          <w:szCs w:val="28"/>
        </w:rPr>
        <w:t>.</w:t>
      </w:r>
    </w:p>
    <w:p w:rsidR="00F17D61" w:rsidRPr="00AE2893" w:rsidP="00AE2893" w14:paraId="282E4C0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F54F8" w:rsidRPr="008A1BD0" w:rsidP="00AE2893" w14:paraId="1327ECA2" w14:textId="777777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8A1BD0">
        <w:rPr>
          <w:rFonts w:ascii="Times New Roman" w:hAnsi="Times New Roman" w:cs="Times New Roman"/>
          <w:i/>
          <w:sz w:val="24"/>
        </w:rPr>
        <w:t xml:space="preserve">млн. </w:t>
      </w:r>
      <w:r w:rsidRPr="008A1BD0">
        <w:rPr>
          <w:rFonts w:ascii="Times New Roman" w:hAnsi="Times New Roman" w:cs="Times New Roman"/>
          <w:i/>
          <w:sz w:val="24"/>
        </w:rPr>
        <w:t>кВтч</w:t>
      </w:r>
    </w:p>
    <w:tbl>
      <w:tblPr>
        <w:tblW w:w="10115" w:type="dxa"/>
        <w:tblLook w:val="04A0"/>
      </w:tblPr>
      <w:tblGrid>
        <w:gridCol w:w="5524"/>
        <w:gridCol w:w="1134"/>
        <w:gridCol w:w="1134"/>
        <w:gridCol w:w="1275"/>
        <w:gridCol w:w="1048"/>
      </w:tblGrid>
      <w:tr w14:paraId="1200A4F5" w14:textId="77777777" w:rsidTr="000F674C">
        <w:tblPrEx>
          <w:tblW w:w="10115" w:type="dxa"/>
          <w:tblLook w:val="04A0"/>
        </w:tblPrEx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66043" w:rsidRPr="008A1BD0" w:rsidP="00AE2893" w14:paraId="7DADC3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66043" w:rsidRPr="008A1BD0" w:rsidP="00AE2893" w14:paraId="0E40CE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Pr="008A1BD0" w:rsidR="00F222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66043" w:rsidRPr="008A1BD0" w:rsidP="00AE2893" w14:paraId="674997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66043" w:rsidRPr="008A1BD0" w:rsidP="00AE2893" w14:paraId="0D36F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14:paraId="6A7FA332" w14:textId="77777777" w:rsidTr="000F674C">
        <w:tblPrEx>
          <w:tblW w:w="10115" w:type="dxa"/>
          <w:tblLook w:val="04A0"/>
        </w:tblPrEx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vAlign w:val="center"/>
          </w:tcPr>
          <w:p w:rsidR="00D66043" w:rsidRPr="008A1BD0" w:rsidP="00AE2893" w14:paraId="3DC50F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66043" w:rsidRPr="008A1BD0" w:rsidP="00AE2893" w14:paraId="4BDEC9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66043" w:rsidRPr="008A1BD0" w:rsidP="00AE2893" w14:paraId="3CEF9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vAlign w:val="center"/>
          </w:tcPr>
          <w:p w:rsidR="00D66043" w:rsidRPr="008A1BD0" w:rsidP="00AE2893" w14:paraId="4E188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vAlign w:val="center"/>
          </w:tcPr>
          <w:p w:rsidR="00D66043" w:rsidRPr="008A1BD0" w:rsidP="00AE2893" w14:paraId="1E457A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14:paraId="5ABB7F65" w14:textId="77777777" w:rsidTr="00BE2375">
        <w:tblPrEx>
          <w:tblW w:w="10115" w:type="dxa"/>
          <w:tblLook w:val="04A0"/>
        </w:tblPrEx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235" w:rsidRPr="008A1BD0" w:rsidP="00AE2893" w14:paraId="3DA4B4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72A94A80" w14:textId="0EC2A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  <w:r w:rsidRPr="008A1BD0" w:rsidR="00F77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639BF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71B02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0D5A42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-42,4</w:t>
            </w:r>
          </w:p>
        </w:tc>
      </w:tr>
      <w:tr w14:paraId="24AE4320" w14:textId="77777777" w:rsidTr="00F22235">
        <w:tblPrEx>
          <w:tblW w:w="10115" w:type="dxa"/>
          <w:tblLook w:val="04A0"/>
        </w:tblPrEx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66131C28" w14:textId="77777777">
            <w:pPr>
              <w:spacing w:after="0" w:line="240" w:lineRule="auto"/>
              <w:ind w:firstLine="592" w:firstLineChars="26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062C1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65371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-331,4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0DDD0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725AE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-1,7</w:t>
            </w:r>
          </w:p>
        </w:tc>
      </w:tr>
      <w:tr w14:paraId="56B27A6F" w14:textId="77777777" w:rsidTr="00F22235">
        <w:tblPrEx>
          <w:tblW w:w="10115" w:type="dxa"/>
          <w:tblLook w:val="04A0"/>
        </w:tblPrEx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35" w:rsidRPr="008A1BD0" w:rsidP="00AE2893" w14:paraId="3412A493" w14:textId="77777777">
            <w:pPr>
              <w:spacing w:after="0" w:line="240" w:lineRule="auto"/>
              <w:ind w:firstLine="594" w:firstLineChars="27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4A4076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261DD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-423,0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624E7A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549,2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77B0D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-56,5</w:t>
            </w:r>
          </w:p>
        </w:tc>
      </w:tr>
      <w:tr w14:paraId="361E0AB9" w14:textId="77777777" w:rsidTr="00BE2375">
        <w:tblPrEx>
          <w:tblW w:w="10115" w:type="dxa"/>
          <w:tblLook w:val="04A0"/>
        </w:tblPrEx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235" w:rsidRPr="008A1BD0" w:rsidP="00AE2893" w14:paraId="61CD75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235" w:rsidRPr="008A1BD0" w:rsidP="00AE2893" w14:paraId="2221E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08F2A6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5FF499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45ADC2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17,6</w:t>
            </w:r>
          </w:p>
        </w:tc>
      </w:tr>
      <w:tr w14:paraId="317FE6E3" w14:textId="77777777" w:rsidTr="00F22235">
        <w:tblPrEx>
          <w:tblW w:w="10115" w:type="dxa"/>
          <w:tblLook w:val="04A0"/>
        </w:tblPrEx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35" w:rsidRPr="008A1BD0" w:rsidP="00AE2893" w14:paraId="398E387E" w14:textId="77777777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201A19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244116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70000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35" w:rsidRPr="008A1BD0" w:rsidP="00AE2893" w14:paraId="4D2C24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17,3</w:t>
            </w:r>
          </w:p>
        </w:tc>
      </w:tr>
      <w:tr w14:paraId="1FA82525" w14:textId="77777777" w:rsidTr="00BE2375">
        <w:tblPrEx>
          <w:tblW w:w="10115" w:type="dxa"/>
          <w:tblLook w:val="04A0"/>
        </w:tblPrEx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235" w:rsidRPr="008A1BD0" w:rsidP="00AE2893" w14:paraId="578785A1" w14:textId="77777777">
            <w:pPr>
              <w:spacing w:after="0" w:line="240" w:lineRule="auto"/>
              <w:ind w:firstLine="29" w:firstLineChars="13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"+" дефицит,"-"избыток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051E5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772E1C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8A1BD0" w:rsidP="00AE2893" w14:paraId="3F0174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618,9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235" w:rsidRPr="00AE2893" w:rsidP="00AE2893" w14:paraId="35E4A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-65,3</w:t>
            </w:r>
          </w:p>
        </w:tc>
      </w:tr>
    </w:tbl>
    <w:p w:rsidR="000F513C" w:rsidRPr="00AE2893" w:rsidP="00AE2893" w14:paraId="10A5BFCE" w14:textId="77777777">
      <w:pPr>
        <w:spacing w:after="0" w:line="240" w:lineRule="auto"/>
        <w:rPr>
          <w:rFonts w:ascii="Times New Roman" w:hAnsi="Times New Roman" w:eastAsiaTheme="majorEastAsia" w:cs="Times New Roman"/>
          <w:color w:val="365F91" w:themeColor="accent1" w:themeShade="BF"/>
          <w:sz w:val="28"/>
          <w:szCs w:val="28"/>
        </w:rPr>
      </w:pPr>
    </w:p>
    <w:p w:rsidR="000F513C" w:rsidRPr="00AE2893" w:rsidP="00AE2893" w14:paraId="41BC00A0" w14:textId="777777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2893">
        <w:rPr>
          <w:rFonts w:ascii="Times New Roman" w:hAnsi="Times New Roman" w:cs="Times New Roman"/>
          <w:sz w:val="28"/>
        </w:rPr>
        <w:br w:type="page"/>
      </w:r>
    </w:p>
    <w:p w:rsidR="00FE02F0" w:rsidRPr="008A1BD0" w:rsidP="00AE2893" w14:paraId="557C2B13" w14:textId="77777777">
      <w:pPr>
        <w:pStyle w:val="Heading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6" w:name="_Toc104388613"/>
      <w:r w:rsidRPr="008A1BD0">
        <w:rPr>
          <w:rFonts w:ascii="Times New Roman" w:hAnsi="Times New Roman" w:cs="Times New Roman"/>
          <w:b/>
          <w:color w:val="auto"/>
          <w:sz w:val="28"/>
        </w:rPr>
        <w:t>Уголь</w:t>
      </w:r>
      <w:bookmarkStart w:id="17" w:name="_Toc510196473"/>
      <w:bookmarkEnd w:id="16"/>
    </w:p>
    <w:p w:rsidR="00AD64FC" w:rsidRPr="00AE2893" w:rsidP="00AE2893" w14:paraId="178D5724" w14:textId="77777777">
      <w:pPr>
        <w:spacing w:after="0" w:line="240" w:lineRule="auto"/>
        <w:rPr>
          <w:rFonts w:ascii="Times New Roman" w:hAnsi="Times New Roman" w:cs="Times New Roman"/>
        </w:rPr>
      </w:pPr>
    </w:p>
    <w:bookmarkEnd w:id="17"/>
    <w:p w:rsidR="00305F73" w:rsidRPr="00AE2893" w:rsidP="00AE2893" w14:paraId="2454AE63" w14:textId="640AA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</w:t>
      </w:r>
      <w:r w:rsidRPr="00AE2893" w:rsidR="004D2045">
        <w:rPr>
          <w:rFonts w:ascii="Times New Roman" w:hAnsi="Times New Roman" w:cs="Times New Roman"/>
          <w:sz w:val="28"/>
          <w:szCs w:val="28"/>
        </w:rPr>
        <w:t>-</w:t>
      </w:r>
      <w:r w:rsidRPr="00AE2893" w:rsidR="00971F00">
        <w:rPr>
          <w:rFonts w:ascii="Times New Roman" w:hAnsi="Times New Roman" w:cs="Times New Roman"/>
          <w:sz w:val="28"/>
          <w:szCs w:val="28"/>
        </w:rPr>
        <w:t>апреле</w:t>
      </w:r>
      <w:r w:rsidRPr="00AE2893">
        <w:rPr>
          <w:rFonts w:ascii="Times New Roman" w:hAnsi="Times New Roman" w:cs="Times New Roman"/>
          <w:sz w:val="28"/>
          <w:szCs w:val="28"/>
        </w:rPr>
        <w:t xml:space="preserve"> </w:t>
      </w:r>
      <w:r w:rsidRPr="00AE2893" w:rsidR="000F513C">
        <w:rPr>
          <w:rFonts w:ascii="Times New Roman" w:hAnsi="Times New Roman" w:cs="Times New Roman"/>
          <w:sz w:val="28"/>
          <w:szCs w:val="28"/>
        </w:rPr>
        <w:br/>
      </w:r>
      <w:r w:rsidRPr="00AE2893">
        <w:rPr>
          <w:rFonts w:ascii="Times New Roman" w:hAnsi="Times New Roman" w:cs="Times New Roman"/>
          <w:sz w:val="28"/>
          <w:szCs w:val="28"/>
        </w:rPr>
        <w:t xml:space="preserve">2022 года добыто </w:t>
      </w:r>
      <w:r w:rsidRPr="00AE2893" w:rsidR="00971F00">
        <w:rPr>
          <w:rFonts w:ascii="Times New Roman" w:hAnsi="Times New Roman" w:cs="Times New Roman"/>
          <w:sz w:val="28"/>
          <w:szCs w:val="28"/>
        </w:rPr>
        <w:t>38 882,1</w:t>
      </w:r>
      <w:r w:rsidRPr="00AE2893">
        <w:rPr>
          <w:rFonts w:ascii="Times New Roman" w:hAnsi="Times New Roman" w:cs="Times New Roman"/>
          <w:sz w:val="28"/>
          <w:szCs w:val="28"/>
        </w:rPr>
        <w:t xml:space="preserve"> тыс. тонн каменного угля, что на </w:t>
      </w:r>
      <w:r w:rsidRPr="00AE2893" w:rsidR="00156602">
        <w:rPr>
          <w:rFonts w:ascii="Times New Roman" w:hAnsi="Times New Roman" w:cs="Times New Roman"/>
          <w:sz w:val="28"/>
          <w:szCs w:val="28"/>
        </w:rPr>
        <w:t>7,</w:t>
      </w:r>
      <w:r w:rsidRPr="00AE2893" w:rsidR="00971F00">
        <w:rPr>
          <w:rFonts w:ascii="Times New Roman" w:hAnsi="Times New Roman" w:cs="Times New Roman"/>
          <w:sz w:val="28"/>
          <w:szCs w:val="28"/>
        </w:rPr>
        <w:t>5</w:t>
      </w:r>
      <w:r w:rsidRPr="00AE2893">
        <w:rPr>
          <w:rFonts w:ascii="Times New Roman" w:hAnsi="Times New Roman" w:cs="Times New Roman"/>
          <w:sz w:val="28"/>
          <w:szCs w:val="28"/>
        </w:rPr>
        <w:t xml:space="preserve">% </w:t>
      </w:r>
      <w:r w:rsidRPr="00AE2893" w:rsidR="004D2045">
        <w:rPr>
          <w:rFonts w:ascii="Times New Roman" w:hAnsi="Times New Roman" w:cs="Times New Roman"/>
          <w:sz w:val="28"/>
          <w:szCs w:val="28"/>
        </w:rPr>
        <w:t>больше</w:t>
      </w:r>
      <w:r w:rsidRPr="00AE2893" w:rsidR="00CC092F">
        <w:rPr>
          <w:rFonts w:ascii="Times New Roman" w:hAnsi="Times New Roman" w:cs="Times New Roman"/>
          <w:sz w:val="28"/>
          <w:szCs w:val="28"/>
        </w:rPr>
        <w:t xml:space="preserve"> </w:t>
      </w:r>
      <w:r w:rsidRPr="00AE2893">
        <w:rPr>
          <w:rFonts w:ascii="Times New Roman" w:hAnsi="Times New Roman" w:cs="Times New Roman"/>
          <w:sz w:val="28"/>
          <w:szCs w:val="28"/>
        </w:rPr>
        <w:t>чем за аналогичный период 2021 года (</w:t>
      </w:r>
      <w:r w:rsidRPr="00AE2893" w:rsidR="00971F00">
        <w:rPr>
          <w:rFonts w:ascii="Times New Roman" w:hAnsi="Times New Roman" w:cs="Times New Roman"/>
          <w:sz w:val="28"/>
          <w:szCs w:val="28"/>
        </w:rPr>
        <w:t>36 155,6</w:t>
      </w:r>
      <w:r w:rsidRPr="00AE2893" w:rsidR="00BC7B85">
        <w:rPr>
          <w:rFonts w:ascii="Times New Roman" w:hAnsi="Times New Roman" w:cs="Times New Roman"/>
          <w:sz w:val="28"/>
          <w:szCs w:val="28"/>
        </w:rPr>
        <w:t xml:space="preserve"> </w:t>
      </w:r>
      <w:r w:rsidRPr="00AE2893">
        <w:rPr>
          <w:rFonts w:ascii="Times New Roman" w:hAnsi="Times New Roman" w:cs="Times New Roman"/>
          <w:sz w:val="28"/>
          <w:szCs w:val="28"/>
        </w:rPr>
        <w:t>тыс. тонн).</w:t>
      </w:r>
    </w:p>
    <w:p w:rsidR="000E75C2" w:rsidRPr="00AE2893" w:rsidP="00AE2893" w14:paraId="5FB2C92E" w14:textId="7777777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TableGrid"/>
        <w:tblW w:w="9952" w:type="dxa"/>
        <w:tblInd w:w="108" w:type="dxa"/>
        <w:tblLook w:val="04A0"/>
      </w:tblPr>
      <w:tblGrid>
        <w:gridCol w:w="564"/>
        <w:gridCol w:w="2867"/>
        <w:gridCol w:w="1418"/>
        <w:gridCol w:w="1559"/>
        <w:gridCol w:w="1559"/>
        <w:gridCol w:w="1985"/>
      </w:tblGrid>
      <w:tr w14:paraId="1E9EF225" w14:textId="77777777" w:rsidTr="00BE2375">
        <w:tblPrEx>
          <w:tblW w:w="9952" w:type="dxa"/>
          <w:tblInd w:w="108" w:type="dxa"/>
          <w:tblLook w:val="04A0"/>
        </w:tblPrEx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:rsidR="00466179" w:rsidRPr="00AE2893" w:rsidP="00AE2893" w14:paraId="68DCD2E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:rsidR="00466179" w:rsidRPr="00AE2893" w:rsidP="00AE2893" w14:paraId="7A940F6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:rsidR="00466179" w:rsidRPr="00AE2893" w:rsidP="00AE2893" w14:paraId="1D1EFB2B" w14:textId="4216EE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 w:rsidRPr="00AE2893" w:rsidR="00971F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466179" w:rsidRPr="00AE2893" w:rsidP="00AE2893" w14:paraId="48966F1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:rsidR="00466179" w:rsidRPr="00AE2893" w:rsidP="00AE2893" w14:paraId="4E2FE63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14:paraId="0F5EC809" w14:textId="77777777" w:rsidTr="00BE2375">
        <w:tblPrEx>
          <w:tblW w:w="9952" w:type="dxa"/>
          <w:tblInd w:w="108" w:type="dxa"/>
          <w:tblLook w:val="04A0"/>
        </w:tblPrEx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:rsidR="00466179" w:rsidRPr="00AE2893" w:rsidP="00AE2893" w14:paraId="52BC311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:rsidR="00466179" w:rsidRPr="00AE2893" w:rsidP="00AE2893" w14:paraId="18B3E2F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466179" w:rsidRPr="00AE2893" w:rsidP="00AE2893" w14:paraId="48164278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466179" w:rsidRPr="00AE2893" w:rsidP="00AE2893" w14:paraId="1900C64B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66179" w:rsidRPr="00AE2893" w:rsidP="00AE2893" w14:paraId="4DC3F6C6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66179" w:rsidRPr="00AE2893" w:rsidP="00AE2893" w14:paraId="71DEE75D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D77D1ED" w14:textId="77777777" w:rsidTr="00FD3C15">
        <w:tblPrEx>
          <w:tblW w:w="9952" w:type="dxa"/>
          <w:tblInd w:w="108" w:type="dxa"/>
          <w:tblLook w:val="04A0"/>
        </w:tblPrEx>
        <w:trPr>
          <w:trHeight w:val="333"/>
        </w:trPr>
        <w:tc>
          <w:tcPr>
            <w:tcW w:w="564" w:type="dxa"/>
            <w:vAlign w:val="center"/>
          </w:tcPr>
          <w:p w:rsidR="00156602" w:rsidRPr="00AE2893" w:rsidP="00AE2893" w14:paraId="422CAE74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:rsidR="00156602" w:rsidRPr="00AE2893" w:rsidP="00AE2893" w14:paraId="472D5FEC" w14:textId="77777777">
            <w:pPr>
              <w:contextualSpacing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02" w:rsidRPr="00AE2893" w:rsidP="00AE2893" w14:paraId="32C5BB06" w14:textId="08937A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22 645,6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02" w:rsidRPr="00AE2893" w:rsidP="00AE2893" w14:paraId="66A4AA4C" w14:textId="697ADA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 xml:space="preserve">  24 138,3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602" w:rsidRPr="00AE2893" w:rsidP="00AE2893" w14:paraId="56260CA2" w14:textId="36BAD8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1 492,7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AE2893" w:rsidP="00AE2893" w14:paraId="0CBF99B1" w14:textId="385804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  <w:tr w14:paraId="20A5EB81" w14:textId="77777777" w:rsidTr="00FD3C15">
        <w:tblPrEx>
          <w:tblW w:w="9952" w:type="dxa"/>
          <w:tblInd w:w="108" w:type="dxa"/>
          <w:tblLook w:val="04A0"/>
        </w:tblPrEx>
        <w:trPr>
          <w:trHeight w:val="333"/>
        </w:trPr>
        <w:tc>
          <w:tcPr>
            <w:tcW w:w="564" w:type="dxa"/>
            <w:vAlign w:val="center"/>
          </w:tcPr>
          <w:p w:rsidR="00156602" w:rsidRPr="00AE2893" w:rsidP="00AE2893" w14:paraId="68BD3488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:rsidR="00156602" w:rsidRPr="00AE2893" w:rsidP="00AE2893" w14:paraId="3D953187" w14:textId="77777777">
            <w:pPr>
              <w:contextualSpacing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02" w:rsidRPr="00AE2893" w:rsidP="00AE2893" w14:paraId="1F99E601" w14:textId="5F3CC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10 789,4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02" w:rsidRPr="00AE2893" w:rsidP="00AE2893" w14:paraId="6E1985A8" w14:textId="083E44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11 547,1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602" w:rsidRPr="00AE2893" w:rsidP="00AE2893" w14:paraId="6429814E" w14:textId="1A6839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757,7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AE2893" w:rsidP="00AE2893" w14:paraId="2752702B" w14:textId="23ADBC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14:paraId="6D1C5776" w14:textId="77777777" w:rsidTr="00FD3C15">
        <w:tblPrEx>
          <w:tblW w:w="9952" w:type="dxa"/>
          <w:tblInd w:w="108" w:type="dxa"/>
          <w:tblLook w:val="04A0"/>
        </w:tblPrEx>
        <w:trPr>
          <w:trHeight w:val="333"/>
        </w:trPr>
        <w:tc>
          <w:tcPr>
            <w:tcW w:w="564" w:type="dxa"/>
            <w:vAlign w:val="center"/>
          </w:tcPr>
          <w:p w:rsidR="00156602" w:rsidRPr="00AE2893" w:rsidP="00AE2893" w14:paraId="18486B1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:rsidR="00156602" w:rsidRPr="00AE2893" w:rsidP="00AE2893" w14:paraId="2D40FFD0" w14:textId="77777777">
            <w:pPr>
              <w:contextualSpacing/>
              <w:rPr>
                <w:rFonts w:ascii="Times New Roman" w:hAnsi="Times New Roman" w:cs="Times New Roman"/>
              </w:rPr>
            </w:pPr>
            <w:r w:rsidRPr="00AE2893">
              <w:rPr>
                <w:rFonts w:ascii="Times New Roman" w:hAnsi="Times New Roman" w:cs="Times New Roman"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02" w:rsidRPr="00AE2893" w:rsidP="00AE2893" w14:paraId="31A299B7" w14:textId="0825A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2 592,9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02" w:rsidRPr="00AE2893" w:rsidP="00AE2893" w14:paraId="45EFE270" w14:textId="20AA0B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2 883,7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602" w:rsidRPr="00AE2893" w:rsidP="00AE2893" w14:paraId="1ECEBE2D" w14:textId="18471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290,8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AE2893" w:rsidP="00AE2893" w14:paraId="7C6295DE" w14:textId="5B14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9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</w:tr>
      <w:tr w14:paraId="247DF3FE" w14:textId="77777777" w:rsidTr="00BE2375">
        <w:tblPrEx>
          <w:tblW w:w="9952" w:type="dxa"/>
          <w:tblInd w:w="108" w:type="dxa"/>
          <w:tblLook w:val="04A0"/>
        </w:tblPrEx>
        <w:trPr>
          <w:trHeight w:val="333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56602" w:rsidRPr="00AE2893" w:rsidP="00AE2893" w14:paraId="735446C5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:rsidR="00156602" w:rsidRPr="00AE2893" w:rsidP="00AE2893" w14:paraId="032BEBFB" w14:textId="7777777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602" w:rsidRPr="00AE2893" w:rsidP="00AE2893" w14:paraId="4708ABC3" w14:textId="645C27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893">
              <w:rPr>
                <w:rFonts w:ascii="Times New Roman" w:hAnsi="Times New Roman" w:cs="Times New Roman"/>
                <w:b/>
                <w:bCs/>
              </w:rPr>
              <w:t>36 155,6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602" w:rsidRPr="00AE2893" w:rsidP="00AE2893" w14:paraId="32B23ECB" w14:textId="66588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893">
              <w:rPr>
                <w:rFonts w:ascii="Times New Roman" w:hAnsi="Times New Roman" w:cs="Times New Roman"/>
                <w:b/>
                <w:bCs/>
              </w:rPr>
              <w:t xml:space="preserve">  38 882,1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56602" w:rsidRPr="00AE2893" w:rsidP="00AE2893" w14:paraId="7B1FD240" w14:textId="5A34BA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2893">
              <w:rPr>
                <w:rFonts w:ascii="Times New Roman" w:hAnsi="Times New Roman" w:cs="Times New Roman"/>
                <w:b/>
                <w:color w:val="000000"/>
              </w:rPr>
              <w:t>2 726,5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602" w:rsidRPr="00AE2893" w:rsidP="00AE2893" w14:paraId="0ED1DFA8" w14:textId="37CF41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2893">
              <w:rPr>
                <w:rFonts w:ascii="Times New Roman" w:hAnsi="Times New Roman" w:cs="Times New Roman"/>
                <w:b/>
                <w:color w:val="000000"/>
              </w:rPr>
              <w:t>7,</w:t>
            </w:r>
            <w:r w:rsidRPr="00AE2893" w:rsidR="00971F00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</w:tbl>
    <w:p w:rsidR="0092430A" w:rsidRPr="00AE2893" w:rsidP="00AE2893" w14:paraId="0F06277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CC092F" w:rsidRPr="00AE2893" w:rsidP="00AE2893" w14:paraId="7A2427E3" w14:textId="052CE6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>В январе</w:t>
      </w:r>
      <w:r w:rsidRPr="00AE2893" w:rsidR="005832C7">
        <w:rPr>
          <w:rFonts w:ascii="Times New Roman" w:hAnsi="Times New Roman" w:cs="Times New Roman"/>
          <w:sz w:val="28"/>
          <w:szCs w:val="28"/>
        </w:rPr>
        <w:t>-</w:t>
      </w:r>
      <w:r w:rsidRPr="00AE2893" w:rsidR="00971F00">
        <w:rPr>
          <w:rFonts w:ascii="Times New Roman" w:hAnsi="Times New Roman" w:cs="Times New Roman"/>
          <w:sz w:val="28"/>
          <w:szCs w:val="28"/>
        </w:rPr>
        <w:t>апреле</w:t>
      </w:r>
      <w:r w:rsidRPr="00AE2893">
        <w:rPr>
          <w:rFonts w:ascii="Times New Roman" w:hAnsi="Times New Roman" w:cs="Times New Roman"/>
          <w:sz w:val="28"/>
          <w:szCs w:val="28"/>
        </w:rPr>
        <w:t xml:space="preserve"> 2022 года ТОО «Богатырь </w:t>
      </w:r>
      <w:r w:rsidRPr="00AE2893">
        <w:rPr>
          <w:rFonts w:ascii="Times New Roman" w:hAnsi="Times New Roman" w:cs="Times New Roman"/>
          <w:sz w:val="28"/>
          <w:szCs w:val="28"/>
        </w:rPr>
        <w:t>Комир</w:t>
      </w:r>
      <w:r w:rsidRPr="00AE2893">
        <w:rPr>
          <w:rFonts w:ascii="Times New Roman" w:hAnsi="Times New Roman" w:cs="Times New Roman"/>
          <w:sz w:val="28"/>
          <w:szCs w:val="28"/>
        </w:rPr>
        <w:t xml:space="preserve">» добыто </w:t>
      </w:r>
      <w:r w:rsidRPr="00AE2893" w:rsidR="00971F00">
        <w:rPr>
          <w:rFonts w:ascii="Times New Roman" w:hAnsi="Times New Roman" w:cs="Times New Roman"/>
          <w:sz w:val="28"/>
          <w:szCs w:val="28"/>
        </w:rPr>
        <w:t>15 795,9</w:t>
      </w:r>
      <w:r w:rsidRPr="00AE2893" w:rsidR="00C9028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E2893">
        <w:rPr>
          <w:rFonts w:ascii="Times New Roman" w:hAnsi="Times New Roman" w:cs="Times New Roman"/>
          <w:sz w:val="28"/>
          <w:szCs w:val="28"/>
        </w:rPr>
        <w:t xml:space="preserve"> тонн, что на </w:t>
      </w:r>
      <w:r w:rsidRPr="00AE2893" w:rsidR="00E24A09">
        <w:rPr>
          <w:rFonts w:ascii="Times New Roman" w:hAnsi="Times New Roman" w:cs="Times New Roman"/>
          <w:sz w:val="28"/>
          <w:szCs w:val="28"/>
        </w:rPr>
        <w:t>3</w:t>
      </w:r>
      <w:r w:rsidRPr="00AE2893">
        <w:rPr>
          <w:rFonts w:ascii="Times New Roman" w:hAnsi="Times New Roman" w:cs="Times New Roman"/>
          <w:sz w:val="28"/>
          <w:szCs w:val="28"/>
        </w:rPr>
        <w:t xml:space="preserve">% </w:t>
      </w:r>
      <w:r w:rsidRPr="00AE2893" w:rsidR="005832C7">
        <w:rPr>
          <w:rFonts w:ascii="Times New Roman" w:hAnsi="Times New Roman" w:cs="Times New Roman"/>
          <w:sz w:val="28"/>
          <w:szCs w:val="28"/>
        </w:rPr>
        <w:t>больше</w:t>
      </w:r>
      <w:r w:rsidRPr="00AE2893">
        <w:rPr>
          <w:rFonts w:ascii="Times New Roman" w:hAnsi="Times New Roman" w:cs="Times New Roman"/>
          <w:sz w:val="28"/>
          <w:szCs w:val="28"/>
        </w:rPr>
        <w:t>, чем за соответствующий период 2021 года (</w:t>
      </w:r>
      <w:r w:rsidRPr="00AE2893" w:rsidR="00E24A09">
        <w:rPr>
          <w:rFonts w:ascii="Times New Roman" w:hAnsi="Times New Roman" w:cs="Times New Roman"/>
          <w:sz w:val="28"/>
          <w:szCs w:val="28"/>
        </w:rPr>
        <w:t>15 332,6</w:t>
      </w:r>
      <w:r w:rsidRPr="00AE2893">
        <w:rPr>
          <w:rFonts w:ascii="Times New Roman" w:hAnsi="Times New Roman" w:cs="Times New Roman"/>
          <w:sz w:val="28"/>
          <w:szCs w:val="28"/>
        </w:rPr>
        <w:t xml:space="preserve"> тыс. тонн).</w:t>
      </w:r>
      <w:bookmarkStart w:id="18" w:name="_Toc510196474"/>
      <w:r w:rsidRPr="00AE2893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</w:p>
    <w:p w:rsidR="00BC7B85" w:rsidRPr="00AE2893" w:rsidP="00AE2893" w14:paraId="581B29BF" w14:textId="54EAD5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>Реализованный объем угля в январе-</w:t>
      </w:r>
      <w:r w:rsidRPr="00AE2893" w:rsidR="00971F00">
        <w:rPr>
          <w:rFonts w:ascii="Times New Roman" w:hAnsi="Times New Roman" w:cs="Times New Roman"/>
          <w:sz w:val="28"/>
          <w:szCs w:val="28"/>
        </w:rPr>
        <w:t>апреле</w:t>
      </w:r>
      <w:r w:rsidRPr="00AE2893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Pr="00AE2893" w:rsidR="00E24A09">
        <w:rPr>
          <w:rFonts w:ascii="Times New Roman" w:hAnsi="Times New Roman" w:cs="Times New Roman"/>
          <w:sz w:val="28"/>
          <w:szCs w:val="28"/>
        </w:rPr>
        <w:t>15 755,5</w:t>
      </w:r>
      <w:r w:rsidRPr="00AE2893">
        <w:rPr>
          <w:rFonts w:ascii="Times New Roman" w:hAnsi="Times New Roman" w:cs="Times New Roman"/>
          <w:sz w:val="28"/>
          <w:szCs w:val="28"/>
        </w:rPr>
        <w:t xml:space="preserve"> тыс. тонн, из них на внутренний рыно</w:t>
      </w:r>
      <w:r w:rsidRPr="00AE2893" w:rsidR="005217BE">
        <w:rPr>
          <w:rFonts w:ascii="Times New Roman" w:hAnsi="Times New Roman" w:cs="Times New Roman"/>
          <w:sz w:val="28"/>
          <w:szCs w:val="28"/>
        </w:rPr>
        <w:t xml:space="preserve">к РК </w:t>
      </w:r>
      <w:r w:rsidRPr="00AE2893" w:rsidR="00E24A09">
        <w:rPr>
          <w:rFonts w:ascii="Times New Roman" w:hAnsi="Times New Roman" w:cs="Times New Roman"/>
          <w:sz w:val="28"/>
          <w:szCs w:val="28"/>
        </w:rPr>
        <w:t>12 321,4</w:t>
      </w:r>
      <w:r w:rsidRPr="00AE2893" w:rsidR="005217BE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Pr="00AE2893" w:rsidR="00E24A09">
        <w:rPr>
          <w:rFonts w:ascii="Times New Roman" w:hAnsi="Times New Roman" w:cs="Times New Roman"/>
          <w:sz w:val="28"/>
          <w:szCs w:val="28"/>
        </w:rPr>
        <w:t>7,3</w:t>
      </w:r>
      <w:r w:rsidRPr="00AE2893">
        <w:rPr>
          <w:rFonts w:ascii="Times New Roman" w:hAnsi="Times New Roman" w:cs="Times New Roman"/>
          <w:sz w:val="28"/>
          <w:szCs w:val="28"/>
        </w:rPr>
        <w:t xml:space="preserve"> % меньше, чем за аналогичный период 2021 года (</w:t>
      </w:r>
      <w:r w:rsidRPr="00AE2893" w:rsidR="00E24A09">
        <w:rPr>
          <w:rFonts w:ascii="Times New Roman" w:hAnsi="Times New Roman" w:cs="Times New Roman"/>
          <w:sz w:val="28"/>
          <w:szCs w:val="28"/>
        </w:rPr>
        <w:t>13 295,1</w:t>
      </w:r>
      <w:r w:rsidRPr="00AE2893">
        <w:rPr>
          <w:rFonts w:ascii="Times New Roman" w:hAnsi="Times New Roman" w:cs="Times New Roman"/>
          <w:sz w:val="28"/>
          <w:szCs w:val="28"/>
        </w:rPr>
        <w:t xml:space="preserve"> тыс. тонн) и на экспорт (РФ) – </w:t>
      </w:r>
      <w:r w:rsidRPr="00AE2893" w:rsidR="00E24A09">
        <w:rPr>
          <w:rFonts w:ascii="Times New Roman" w:hAnsi="Times New Roman" w:cs="Times New Roman"/>
          <w:sz w:val="28"/>
          <w:szCs w:val="28"/>
        </w:rPr>
        <w:t>3 434,1</w:t>
      </w:r>
      <w:r w:rsidRPr="00AE2893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Pr="00AE2893" w:rsidR="00E24A09">
        <w:rPr>
          <w:rFonts w:ascii="Times New Roman" w:hAnsi="Times New Roman" w:cs="Times New Roman"/>
          <w:sz w:val="28"/>
          <w:szCs w:val="28"/>
        </w:rPr>
        <w:t>55,8</w:t>
      </w:r>
      <w:r w:rsidRPr="00AE2893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2021 года (</w:t>
      </w:r>
      <w:r w:rsidRPr="00AE2893" w:rsidR="00E24A09">
        <w:rPr>
          <w:rFonts w:ascii="Times New Roman" w:hAnsi="Times New Roman" w:cs="Times New Roman"/>
          <w:sz w:val="28"/>
          <w:szCs w:val="28"/>
        </w:rPr>
        <w:t>2 203</w:t>
      </w:r>
      <w:r w:rsidRPr="00AE2893">
        <w:rPr>
          <w:rFonts w:ascii="Times New Roman" w:hAnsi="Times New Roman" w:cs="Times New Roman"/>
          <w:sz w:val="28"/>
          <w:szCs w:val="28"/>
        </w:rPr>
        <w:t>,7 тыс. тонн).</w:t>
      </w:r>
    </w:p>
    <w:p w:rsidR="00BC7B85" w:rsidRPr="00AE2893" w:rsidP="00AE2893" w14:paraId="251D6F03" w14:textId="3E9964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AE2893">
        <w:rPr>
          <w:rFonts w:ascii="Times New Roman" w:hAnsi="Times New Roman" w:cs="Times New Roman"/>
          <w:sz w:val="28"/>
          <w:szCs w:val="28"/>
        </w:rPr>
        <w:t>По показателям за январь-</w:t>
      </w:r>
      <w:r w:rsidRPr="00AE2893" w:rsidR="00E24A09">
        <w:rPr>
          <w:rFonts w:ascii="Times New Roman" w:hAnsi="Times New Roman" w:cs="Times New Roman"/>
          <w:sz w:val="28"/>
          <w:szCs w:val="28"/>
        </w:rPr>
        <w:t>апрель</w:t>
      </w:r>
      <w:r w:rsidRPr="00AE2893">
        <w:rPr>
          <w:rFonts w:ascii="Times New Roman" w:hAnsi="Times New Roman" w:cs="Times New Roman"/>
          <w:sz w:val="28"/>
          <w:szCs w:val="28"/>
        </w:rPr>
        <w:t xml:space="preserve"> 2022 года в сравнении с аналогичными показателями в 2021 году в ТОО «Богатырь </w:t>
      </w:r>
      <w:r w:rsidRPr="00AE2893">
        <w:rPr>
          <w:rFonts w:ascii="Times New Roman" w:hAnsi="Times New Roman" w:cs="Times New Roman"/>
          <w:sz w:val="28"/>
          <w:szCs w:val="28"/>
        </w:rPr>
        <w:t>Комир</w:t>
      </w:r>
      <w:r w:rsidRPr="00AE2893">
        <w:rPr>
          <w:rFonts w:ascii="Times New Roman" w:hAnsi="Times New Roman" w:cs="Times New Roman"/>
          <w:sz w:val="28"/>
          <w:szCs w:val="28"/>
        </w:rPr>
        <w:t xml:space="preserve">» наблюдается увеличение реализации угля на </w:t>
      </w:r>
      <w:r w:rsidRPr="00AE2893" w:rsidR="00E24A09">
        <w:rPr>
          <w:rFonts w:ascii="Times New Roman" w:hAnsi="Times New Roman" w:cs="Times New Roman"/>
          <w:sz w:val="28"/>
          <w:szCs w:val="28"/>
        </w:rPr>
        <w:t>256,6</w:t>
      </w:r>
      <w:r w:rsidRPr="00AE2893">
        <w:rPr>
          <w:rFonts w:ascii="Times New Roman" w:hAnsi="Times New Roman" w:cs="Times New Roman"/>
          <w:sz w:val="28"/>
          <w:szCs w:val="28"/>
        </w:rPr>
        <w:t xml:space="preserve"> тыс. тонн или на </w:t>
      </w:r>
      <w:r w:rsidRPr="00AE2893" w:rsidR="00E24A09">
        <w:rPr>
          <w:rFonts w:ascii="Times New Roman" w:hAnsi="Times New Roman" w:cs="Times New Roman"/>
          <w:sz w:val="28"/>
          <w:szCs w:val="28"/>
        </w:rPr>
        <w:t>1,7</w:t>
      </w:r>
      <w:r w:rsidRPr="00AE2893">
        <w:rPr>
          <w:rFonts w:ascii="Times New Roman" w:hAnsi="Times New Roman" w:cs="Times New Roman"/>
          <w:sz w:val="28"/>
          <w:szCs w:val="28"/>
        </w:rPr>
        <w:t>%.</w:t>
      </w:r>
      <w:r w:rsidRPr="00AE2893">
        <w:rPr>
          <w:rFonts w:ascii="Times New Roman" w:hAnsi="Times New Roman" w:cs="Times New Roman"/>
          <w:i/>
          <w:sz w:val="24"/>
        </w:rPr>
        <w:t xml:space="preserve"> </w:t>
      </w:r>
    </w:p>
    <w:p w:rsidR="00305F73" w:rsidRPr="00AE2893" w:rsidP="00AE2893" w14:paraId="75388BC5" w14:textId="77777777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AE2893">
        <w:rPr>
          <w:rFonts w:ascii="Times New Roman" w:hAnsi="Times New Roman" w:cs="Times New Roman"/>
          <w:i/>
          <w:sz w:val="24"/>
        </w:rPr>
        <w:t xml:space="preserve">       тыс.</w:t>
      </w:r>
      <w:r w:rsidRPr="00AE2893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TableGrid"/>
        <w:tblW w:w="10137" w:type="dxa"/>
        <w:tblInd w:w="108" w:type="dxa"/>
        <w:tblLook w:val="04A0"/>
      </w:tblPr>
      <w:tblGrid>
        <w:gridCol w:w="567"/>
        <w:gridCol w:w="3998"/>
        <w:gridCol w:w="1418"/>
        <w:gridCol w:w="1559"/>
        <w:gridCol w:w="1134"/>
        <w:gridCol w:w="1461"/>
      </w:tblGrid>
      <w:tr w14:paraId="6EDD4C85" w14:textId="77777777" w:rsidTr="00BE2375">
        <w:tblPrEx>
          <w:tblW w:w="10137" w:type="dxa"/>
          <w:tblInd w:w="108" w:type="dxa"/>
          <w:tblLook w:val="04A0"/>
        </w:tblPrEx>
        <w:trPr>
          <w:trHeight w:val="360"/>
        </w:trPr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E73EE7" w:rsidRPr="00AE2893" w:rsidP="00AE2893" w14:paraId="155701E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8DB3E2" w:themeFill="text2" w:themeFillTint="66"/>
            <w:vAlign w:val="center"/>
          </w:tcPr>
          <w:p w:rsidR="00E73EE7" w:rsidRPr="00AE2893" w:rsidP="00AE2893" w14:paraId="45F1903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:rsidR="00E73EE7" w:rsidRPr="00AE2893" w:rsidP="00AE2893" w14:paraId="5F36E493" w14:textId="77E487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Январь</w:t>
            </w:r>
            <w:r w:rsidRPr="00AE2893" w:rsidR="005217BE">
              <w:rPr>
                <w:rFonts w:ascii="Times New Roman" w:hAnsi="Times New Roman" w:cs="Times New Roman"/>
                <w:b/>
              </w:rPr>
              <w:t>-</w:t>
            </w:r>
            <w:r w:rsidRPr="00AE2893" w:rsidR="00E24A09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:rsidR="00E73EE7" w:rsidRPr="00AE2893" w:rsidP="00AE2893" w14:paraId="57EBBDA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Δ,</w:t>
            </w:r>
            <w:r w:rsidRPr="00AE2893">
              <w:rPr>
                <w:rFonts w:ascii="Times New Roman" w:hAnsi="Times New Roman" w:cs="Times New Roman"/>
              </w:rPr>
              <w:t xml:space="preserve"> </w:t>
            </w:r>
            <w:r w:rsidRPr="00AE2893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8DB3E2" w:themeFill="text2" w:themeFillTint="66"/>
            <w:vAlign w:val="center"/>
          </w:tcPr>
          <w:p w:rsidR="00E73EE7" w:rsidRPr="00AE2893" w:rsidP="00AE2893" w14:paraId="09D6CEB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Δ, %</w:t>
            </w:r>
          </w:p>
          <w:p w:rsidR="00E73EE7" w:rsidRPr="00AE2893" w:rsidP="00AE2893" w14:paraId="10C4F45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2022/2021гг</w:t>
            </w:r>
          </w:p>
        </w:tc>
      </w:tr>
      <w:tr w14:paraId="0DA04F45" w14:textId="77777777" w:rsidTr="00BE2375">
        <w:tblPrEx>
          <w:tblW w:w="10137" w:type="dxa"/>
          <w:tblInd w:w="108" w:type="dxa"/>
          <w:tblLook w:val="04A0"/>
        </w:tblPrEx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:rsidR="00E73EE7" w:rsidRPr="00AE2893" w:rsidP="00AE2893" w14:paraId="3ACD71A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auto"/>
            <w:vAlign w:val="center"/>
          </w:tcPr>
          <w:p w:rsidR="00E73EE7" w:rsidRPr="00AE2893" w:rsidP="00AE2893" w14:paraId="768D8CF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E73EE7" w:rsidRPr="00AE2893" w:rsidP="00AE2893" w14:paraId="2F670C7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E73EE7" w:rsidRPr="00AE2893" w:rsidP="00AE2893" w14:paraId="1F563EE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1134" w:type="dxa"/>
            <w:vMerge/>
            <w:vAlign w:val="center"/>
          </w:tcPr>
          <w:p w:rsidR="00E73EE7" w:rsidRPr="00AE2893" w:rsidP="00AE2893" w14:paraId="4AB8A9B8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:rsidR="00E73EE7" w:rsidRPr="00AE2893" w:rsidP="00AE2893" w14:paraId="2953C45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846164" w14:textId="77777777" w:rsidTr="00075A0B">
        <w:tblPrEx>
          <w:tblW w:w="10137" w:type="dxa"/>
          <w:tblInd w:w="108" w:type="dxa"/>
          <w:tblLook w:val="04A0"/>
        </w:tblPrEx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E24A09" w:rsidRPr="00AE2893" w:rsidP="00AE2893" w14:paraId="55C5BDFF" w14:textId="7777777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A09" w:rsidRPr="00AE2893" w:rsidP="00AE2893" w14:paraId="1E16D5F3" w14:textId="646F69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13 295,1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A09" w:rsidRPr="00AE2893" w:rsidP="00AE2893" w14:paraId="6D1A9DD9" w14:textId="5ED541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12 321,4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A09" w:rsidRPr="00AE2893" w:rsidP="00AE2893" w14:paraId="31266E1E" w14:textId="7E72BB7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-973,7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24A09" w:rsidRPr="00AE2893" w:rsidP="00AE2893" w14:paraId="2A5B381C" w14:textId="4BA644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2893">
              <w:rPr>
                <w:rFonts w:ascii="Times New Roman" w:hAnsi="Times New Roman" w:cs="Times New Roman"/>
                <w:b/>
                <w:color w:val="000000"/>
              </w:rPr>
              <w:t>-7,3</w:t>
            </w:r>
          </w:p>
        </w:tc>
      </w:tr>
      <w:tr w14:paraId="73603C29" w14:textId="77777777" w:rsidTr="00075A0B">
        <w:tblPrEx>
          <w:tblW w:w="10137" w:type="dxa"/>
          <w:tblInd w:w="108" w:type="dxa"/>
          <w:tblLook w:val="04A0"/>
        </w:tblPrEx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E24A09" w:rsidRPr="00AE2893" w:rsidP="00AE2893" w14:paraId="4B07C763" w14:textId="7777777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A09" w:rsidRPr="00AE2893" w:rsidP="00AE2893" w14:paraId="0478FD81" w14:textId="30ABE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2 203,7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A09" w:rsidRPr="00AE2893" w:rsidP="00AE2893" w14:paraId="30A1FDDA" w14:textId="4E965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2893">
              <w:rPr>
                <w:rFonts w:ascii="Times New Roman" w:hAnsi="Times New Roman" w:cs="Times New Roman"/>
                <w:b/>
                <w:color w:val="000000"/>
              </w:rPr>
              <w:t>3 434,1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A09" w:rsidRPr="00AE2893" w:rsidP="00AE2893" w14:paraId="519472AE" w14:textId="04E9C5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2893">
              <w:rPr>
                <w:rFonts w:ascii="Times New Roman" w:hAnsi="Times New Roman" w:cs="Times New Roman"/>
                <w:b/>
              </w:rPr>
              <w:t>1 230,3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24A09" w:rsidRPr="00AE2893" w:rsidP="00AE2893" w14:paraId="470058EC" w14:textId="14C71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893">
              <w:rPr>
                <w:rFonts w:ascii="Times New Roman" w:hAnsi="Times New Roman" w:cs="Times New Roman"/>
                <w:b/>
              </w:rPr>
              <w:t>55,8</w:t>
            </w:r>
          </w:p>
        </w:tc>
      </w:tr>
    </w:tbl>
    <w:p w:rsidR="000318EE" w:rsidP="000318EE" w14:paraId="1C641641" w14:textId="77777777">
      <w:pPr>
        <w:pStyle w:val="Heading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  <w:bookmarkStart w:id="19" w:name="_Toc503289885"/>
      <w:bookmarkStart w:id="20" w:name="_Toc104388614"/>
    </w:p>
    <w:p w:rsidR="000318EE" w:rsidP="000318EE" w14:paraId="079EBBDE" w14:textId="77777777">
      <w:pPr>
        <w:pStyle w:val="Heading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</w:p>
    <w:p w:rsidR="000318EE" w:rsidP="000318EE" w14:paraId="6F99D6F0" w14:textId="77777777">
      <w:pPr>
        <w:pStyle w:val="Heading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0318EE" w:rsidP="000318EE" w14:paraId="7BD7A43A" w14:textId="77777777"/>
    <w:p w:rsidR="000318EE" w:rsidP="000318EE" w14:paraId="1AC44CC5" w14:textId="77777777"/>
    <w:p w:rsidR="000318EE" w:rsidP="000318EE" w14:paraId="77C1D33E" w14:textId="77777777"/>
    <w:p w:rsidR="000318EE" w:rsidP="000318EE" w14:paraId="61D1DBC5" w14:textId="77777777"/>
    <w:p w:rsidR="000318EE" w:rsidP="000318EE" w14:paraId="4AE90449" w14:textId="77777777"/>
    <w:p w:rsidR="000318EE" w:rsidP="000318EE" w14:paraId="685637B0" w14:textId="77777777"/>
    <w:p w:rsidR="000318EE" w:rsidP="000318EE" w14:paraId="4EA34C9A" w14:textId="77777777"/>
    <w:p w:rsidR="000318EE" w:rsidP="000318EE" w14:paraId="69BE9ED6" w14:textId="77777777"/>
    <w:p w:rsidR="000318EE" w:rsidRPr="000318EE" w:rsidP="000318EE" w14:paraId="50E0715A" w14:textId="77777777"/>
    <w:p w:rsidR="006C42DB" w:rsidRPr="00AE2893" w:rsidP="008A1BD0" w14:paraId="28D03E93" w14:textId="20A6658B">
      <w:pPr>
        <w:pStyle w:val="Heading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E2893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9"/>
      <w:bookmarkEnd w:id="20"/>
    </w:p>
    <w:p w:rsidR="00327D81" w:rsidRPr="00AE2893" w:rsidP="00AE2893" w14:paraId="57FD667E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:rsidR="00F52587" w:rsidRPr="00AE2893" w:rsidP="008A1BD0" w14:paraId="2F51C87D" w14:textId="4A12F26D">
      <w:pPr>
        <w:pStyle w:val="Heading1"/>
        <w:numPr>
          <w:ilvl w:val="1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04388615"/>
      <w:r w:rsidRPr="00AE2893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21"/>
    </w:p>
    <w:p w:rsidR="00756921" w:rsidRPr="00AE2893" w:rsidP="00AE2893" w14:paraId="6F853FA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:rsidR="001E7984" w:rsidRPr="008A1BD0" w:rsidP="00AE2893" w14:paraId="65E78DC8" w14:textId="1004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1BD0">
        <w:rPr>
          <w:rFonts w:ascii="Times New Roman" w:hAnsi="Times New Roman" w:cs="Times New Roman"/>
          <w:sz w:val="28"/>
        </w:rPr>
        <w:t xml:space="preserve">По данным </w:t>
      </w:r>
      <w:r w:rsidRPr="008A1BD0" w:rsidR="000C5AB0">
        <w:rPr>
          <w:rFonts w:ascii="Times New Roman" w:hAnsi="Times New Roman" w:cs="Times New Roman"/>
          <w:sz w:val="28"/>
        </w:rPr>
        <w:t>Системного оператора</w:t>
      </w:r>
      <w:r w:rsidRPr="008A1BD0">
        <w:rPr>
          <w:rFonts w:ascii="Times New Roman" w:hAnsi="Times New Roman" w:cs="Times New Roman"/>
          <w:sz w:val="28"/>
        </w:rPr>
        <w:t xml:space="preserve"> объем производства электроэнергии объектами по использованию ВИЭ (СЭС, ВЭ</w:t>
      </w:r>
      <w:r w:rsidRPr="008A1BD0" w:rsidR="000C5AB0">
        <w:rPr>
          <w:rFonts w:ascii="Times New Roman" w:hAnsi="Times New Roman" w:cs="Times New Roman"/>
          <w:sz w:val="28"/>
        </w:rPr>
        <w:t>С, БГС, малые ГЭС) РК за январь</w:t>
      </w:r>
      <w:r w:rsidRPr="008A1BD0" w:rsidR="005D4ED4">
        <w:rPr>
          <w:rFonts w:ascii="Times New Roman" w:hAnsi="Times New Roman" w:cs="Times New Roman"/>
          <w:sz w:val="28"/>
        </w:rPr>
        <w:t>-</w:t>
      </w:r>
      <w:r w:rsidRPr="008A1BD0" w:rsidR="0059220D">
        <w:rPr>
          <w:rFonts w:ascii="Times New Roman" w:hAnsi="Times New Roman" w:cs="Times New Roman"/>
          <w:sz w:val="28"/>
          <w:lang w:val="kk-KZ"/>
        </w:rPr>
        <w:t xml:space="preserve">апрель </w:t>
      </w:r>
      <w:r w:rsidRPr="008A1BD0">
        <w:rPr>
          <w:rFonts w:ascii="Times New Roman" w:hAnsi="Times New Roman" w:cs="Times New Roman"/>
          <w:sz w:val="28"/>
        </w:rPr>
        <w:t>202</w:t>
      </w:r>
      <w:r w:rsidRPr="008A1BD0" w:rsidR="000C5AB0">
        <w:rPr>
          <w:rFonts w:ascii="Times New Roman" w:hAnsi="Times New Roman" w:cs="Times New Roman"/>
          <w:sz w:val="28"/>
        </w:rPr>
        <w:t>2</w:t>
      </w:r>
      <w:r w:rsidRPr="008A1BD0">
        <w:rPr>
          <w:rFonts w:ascii="Times New Roman" w:hAnsi="Times New Roman" w:cs="Times New Roman"/>
          <w:sz w:val="28"/>
        </w:rPr>
        <w:t xml:space="preserve"> года составил </w:t>
      </w:r>
      <w:r w:rsidRPr="008A1BD0" w:rsidR="00DD61B7">
        <w:rPr>
          <w:rFonts w:ascii="Times New Roman" w:hAnsi="Times New Roman" w:cs="Times New Roman"/>
          <w:sz w:val="28"/>
          <w:lang w:val="kk-KZ"/>
        </w:rPr>
        <w:t>1 376,9</w:t>
      </w:r>
      <w:r w:rsidRPr="008A1BD0" w:rsidR="00EB5771">
        <w:rPr>
          <w:rFonts w:ascii="Times New Roman" w:hAnsi="Times New Roman" w:cs="Times New Roman"/>
          <w:sz w:val="28"/>
          <w:lang w:val="kk-KZ"/>
        </w:rPr>
        <w:t xml:space="preserve"> </w:t>
      </w:r>
      <w:r w:rsidRPr="008A1BD0">
        <w:rPr>
          <w:rFonts w:ascii="Times New Roman" w:hAnsi="Times New Roman" w:cs="Times New Roman"/>
          <w:sz w:val="28"/>
        </w:rPr>
        <w:t xml:space="preserve">млн. </w:t>
      </w:r>
      <w:r w:rsidRPr="008A1BD0">
        <w:rPr>
          <w:rFonts w:ascii="Times New Roman" w:hAnsi="Times New Roman" w:cs="Times New Roman"/>
          <w:sz w:val="28"/>
        </w:rPr>
        <w:t>кВтч</w:t>
      </w:r>
      <w:r w:rsidRPr="008A1BD0">
        <w:rPr>
          <w:rFonts w:ascii="Times New Roman" w:hAnsi="Times New Roman" w:cs="Times New Roman"/>
          <w:sz w:val="28"/>
        </w:rPr>
        <w:t>. В сравнении с январ</w:t>
      </w:r>
      <w:r w:rsidRPr="008A1BD0" w:rsidR="00CC092F">
        <w:rPr>
          <w:rFonts w:ascii="Times New Roman" w:hAnsi="Times New Roman" w:cs="Times New Roman"/>
          <w:sz w:val="28"/>
        </w:rPr>
        <w:t>ем</w:t>
      </w:r>
      <w:r w:rsidRPr="008A1BD0" w:rsidR="005D4ED4">
        <w:rPr>
          <w:rFonts w:ascii="Times New Roman" w:hAnsi="Times New Roman" w:cs="Times New Roman"/>
          <w:sz w:val="28"/>
          <w:lang w:val="kk-KZ"/>
        </w:rPr>
        <w:t>-</w:t>
      </w:r>
      <w:r w:rsidRPr="008A1BD0" w:rsidR="00DD61B7">
        <w:rPr>
          <w:rFonts w:ascii="Times New Roman" w:hAnsi="Times New Roman" w:cs="Times New Roman"/>
          <w:sz w:val="28"/>
          <w:lang w:val="kk-KZ"/>
        </w:rPr>
        <w:t>апрелем</w:t>
      </w:r>
      <w:r w:rsidRPr="008A1BD0" w:rsidR="000C5AB0">
        <w:rPr>
          <w:rFonts w:ascii="Times New Roman" w:hAnsi="Times New Roman" w:cs="Times New Roman"/>
          <w:sz w:val="28"/>
        </w:rPr>
        <w:t xml:space="preserve"> </w:t>
      </w:r>
      <w:r w:rsidRPr="008A1BD0">
        <w:rPr>
          <w:rFonts w:ascii="Times New Roman" w:hAnsi="Times New Roman" w:cs="Times New Roman"/>
          <w:sz w:val="28"/>
        </w:rPr>
        <w:t>202</w:t>
      </w:r>
      <w:r w:rsidRPr="008A1BD0" w:rsidR="000C5AB0">
        <w:rPr>
          <w:rFonts w:ascii="Times New Roman" w:hAnsi="Times New Roman" w:cs="Times New Roman"/>
          <w:sz w:val="28"/>
        </w:rPr>
        <w:t>1</w:t>
      </w:r>
      <w:r w:rsidRPr="008A1BD0">
        <w:rPr>
          <w:rFonts w:ascii="Times New Roman" w:hAnsi="Times New Roman" w:cs="Times New Roman"/>
          <w:sz w:val="28"/>
        </w:rPr>
        <w:t xml:space="preserve"> года (млн. </w:t>
      </w:r>
      <w:r w:rsidRPr="008A1BD0" w:rsidR="00DD61B7">
        <w:rPr>
          <w:rFonts w:ascii="Times New Roman" w:hAnsi="Times New Roman" w:cs="Times New Roman"/>
          <w:sz w:val="28"/>
        </w:rPr>
        <w:t>1</w:t>
      </w:r>
      <w:r w:rsidRPr="008A1BD0" w:rsidR="00F775EF">
        <w:rPr>
          <w:rFonts w:ascii="Times New Roman" w:hAnsi="Times New Roman" w:cs="Times New Roman"/>
          <w:sz w:val="28"/>
        </w:rPr>
        <w:t xml:space="preserve"> </w:t>
      </w:r>
      <w:r w:rsidRPr="008A1BD0" w:rsidR="00DD61B7">
        <w:rPr>
          <w:rFonts w:ascii="Times New Roman" w:hAnsi="Times New Roman" w:cs="Times New Roman"/>
          <w:sz w:val="28"/>
        </w:rPr>
        <w:t xml:space="preserve">165,5 </w:t>
      </w:r>
      <w:r w:rsidRPr="008A1BD0">
        <w:rPr>
          <w:rFonts w:ascii="Times New Roman" w:hAnsi="Times New Roman" w:cs="Times New Roman"/>
          <w:sz w:val="28"/>
        </w:rPr>
        <w:t>кВтч</w:t>
      </w:r>
      <w:r w:rsidRPr="008A1BD0">
        <w:rPr>
          <w:rFonts w:ascii="Times New Roman" w:hAnsi="Times New Roman" w:cs="Times New Roman"/>
          <w:sz w:val="28"/>
        </w:rPr>
        <w:t xml:space="preserve">) прирост составил </w:t>
      </w:r>
      <w:r w:rsidRPr="008A1BD0" w:rsidR="00DD61B7">
        <w:rPr>
          <w:rFonts w:ascii="Times New Roman" w:hAnsi="Times New Roman" w:cs="Times New Roman"/>
          <w:sz w:val="28"/>
          <w:lang w:val="kk-KZ"/>
        </w:rPr>
        <w:t>211,4</w:t>
      </w:r>
      <w:r w:rsidRPr="008A1BD0" w:rsidR="00DD61B7">
        <w:rPr>
          <w:rFonts w:ascii="Times New Roman" w:hAnsi="Times New Roman" w:cs="Times New Roman"/>
          <w:sz w:val="28"/>
        </w:rPr>
        <w:t xml:space="preserve"> млн </w:t>
      </w:r>
      <w:r w:rsidRPr="008A1BD0" w:rsidR="00DD61B7">
        <w:rPr>
          <w:rFonts w:ascii="Times New Roman" w:hAnsi="Times New Roman" w:cs="Times New Roman"/>
          <w:sz w:val="28"/>
        </w:rPr>
        <w:t>кВтч</w:t>
      </w:r>
      <w:r w:rsidRPr="008A1BD0" w:rsidR="00BB674F">
        <w:rPr>
          <w:rFonts w:ascii="Times New Roman" w:hAnsi="Times New Roman" w:cs="Times New Roman"/>
          <w:sz w:val="28"/>
        </w:rPr>
        <w:t xml:space="preserve"> или </w:t>
      </w:r>
      <w:r w:rsidRPr="008A1BD0" w:rsidR="00DD61B7">
        <w:rPr>
          <w:rFonts w:ascii="Times New Roman" w:hAnsi="Times New Roman" w:cs="Times New Roman"/>
          <w:sz w:val="28"/>
          <w:lang w:val="kk-KZ"/>
        </w:rPr>
        <w:t>18,1</w:t>
      </w:r>
      <w:r w:rsidRPr="008A1BD0">
        <w:rPr>
          <w:rFonts w:ascii="Times New Roman" w:hAnsi="Times New Roman" w:cs="Times New Roman"/>
          <w:sz w:val="28"/>
        </w:rPr>
        <w:t>%.</w:t>
      </w:r>
      <w:r w:rsidRPr="008A1BD0" w:rsidR="00756921">
        <w:rPr>
          <w:rFonts w:ascii="Times New Roman" w:hAnsi="Times New Roman" w:cs="Times New Roman"/>
          <w:sz w:val="28"/>
        </w:rPr>
        <w:t xml:space="preserve"> П</w:t>
      </w:r>
      <w:r w:rsidRPr="008A1BD0">
        <w:rPr>
          <w:rFonts w:ascii="Times New Roman" w:hAnsi="Times New Roman" w:cs="Times New Roman"/>
          <w:sz w:val="28"/>
        </w:rPr>
        <w:t xml:space="preserve">овышение производства электроэнергии </w:t>
      </w:r>
      <w:r w:rsidRPr="008A1BD0" w:rsidR="00756921">
        <w:rPr>
          <w:rFonts w:ascii="Times New Roman" w:hAnsi="Times New Roman" w:cs="Times New Roman"/>
          <w:sz w:val="28"/>
        </w:rPr>
        <w:t xml:space="preserve">наблюдается на </w:t>
      </w:r>
      <w:r w:rsidRPr="008A1BD0">
        <w:rPr>
          <w:rFonts w:ascii="Times New Roman" w:hAnsi="Times New Roman" w:cs="Times New Roman"/>
          <w:sz w:val="28"/>
        </w:rPr>
        <w:t>ВЭС</w:t>
      </w:r>
      <w:r w:rsidRPr="008A1BD0" w:rsidR="005D4ED4">
        <w:rPr>
          <w:rFonts w:ascii="Times New Roman" w:hAnsi="Times New Roman" w:cs="Times New Roman"/>
          <w:sz w:val="28"/>
        </w:rPr>
        <w:t>, СЭС</w:t>
      </w:r>
      <w:r w:rsidRPr="008A1BD0">
        <w:rPr>
          <w:rFonts w:ascii="Times New Roman" w:hAnsi="Times New Roman" w:cs="Times New Roman"/>
          <w:sz w:val="28"/>
        </w:rPr>
        <w:t xml:space="preserve"> и </w:t>
      </w:r>
      <w:r w:rsidRPr="008A1BD0" w:rsidR="00756921">
        <w:rPr>
          <w:rFonts w:ascii="Times New Roman" w:hAnsi="Times New Roman" w:cs="Times New Roman"/>
          <w:sz w:val="28"/>
        </w:rPr>
        <w:t xml:space="preserve">малых </w:t>
      </w:r>
      <w:r w:rsidRPr="008A1BD0">
        <w:rPr>
          <w:rFonts w:ascii="Times New Roman" w:hAnsi="Times New Roman" w:cs="Times New Roman"/>
          <w:sz w:val="28"/>
        </w:rPr>
        <w:t>ГЭС по сравнению с аналогичным периодом 2021</w:t>
      </w:r>
      <w:r w:rsidRPr="008A1BD0" w:rsidR="00756921">
        <w:rPr>
          <w:rFonts w:ascii="Times New Roman" w:hAnsi="Times New Roman" w:cs="Times New Roman"/>
          <w:sz w:val="28"/>
        </w:rPr>
        <w:t xml:space="preserve"> </w:t>
      </w:r>
      <w:r w:rsidRPr="008A1BD0">
        <w:rPr>
          <w:rFonts w:ascii="Times New Roman" w:hAnsi="Times New Roman" w:cs="Times New Roman"/>
          <w:sz w:val="28"/>
        </w:rPr>
        <w:t>г</w:t>
      </w:r>
      <w:r w:rsidRPr="008A1BD0" w:rsidR="00756921">
        <w:rPr>
          <w:rFonts w:ascii="Times New Roman" w:hAnsi="Times New Roman" w:cs="Times New Roman"/>
          <w:sz w:val="28"/>
        </w:rPr>
        <w:t xml:space="preserve">ода, в то время как объем выработки </w:t>
      </w:r>
      <w:r w:rsidRPr="008A1BD0" w:rsidR="005D4ED4">
        <w:rPr>
          <w:rFonts w:ascii="Times New Roman" w:hAnsi="Times New Roman" w:cs="Times New Roman"/>
          <w:sz w:val="28"/>
        </w:rPr>
        <w:t>БГУ</w:t>
      </w:r>
      <w:r w:rsidRPr="008A1BD0" w:rsidR="00756921">
        <w:rPr>
          <w:rFonts w:ascii="Times New Roman" w:hAnsi="Times New Roman" w:cs="Times New Roman"/>
          <w:sz w:val="28"/>
        </w:rPr>
        <w:t xml:space="preserve"> снизился по </w:t>
      </w:r>
      <w:r w:rsidRPr="008A1BD0" w:rsidR="005D4ED4">
        <w:rPr>
          <w:rFonts w:ascii="Times New Roman" w:hAnsi="Times New Roman" w:cs="Times New Roman"/>
          <w:sz w:val="28"/>
        </w:rPr>
        <w:t>сравнению</w:t>
      </w:r>
      <w:r w:rsidRPr="008A1BD0" w:rsidR="00756921">
        <w:rPr>
          <w:rFonts w:ascii="Times New Roman" w:hAnsi="Times New Roman" w:cs="Times New Roman"/>
          <w:sz w:val="28"/>
        </w:rPr>
        <w:t xml:space="preserve"> с прошлым годом</w:t>
      </w:r>
      <w:r w:rsidRPr="008A1BD0">
        <w:rPr>
          <w:rFonts w:ascii="Times New Roman" w:hAnsi="Times New Roman" w:cs="Times New Roman"/>
          <w:sz w:val="28"/>
        </w:rPr>
        <w:t>.</w:t>
      </w:r>
    </w:p>
    <w:p w:rsidR="0029368A" w:rsidRPr="008A1BD0" w:rsidP="00AE2893" w14:paraId="7F3720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>Всего по данным</w:t>
      </w:r>
      <w:r w:rsidRPr="008A1BD0">
        <w:rPr>
          <w:rFonts w:ascii="Times New Roman" w:hAnsi="Times New Roman" w:cs="Times New Roman"/>
        </w:rPr>
        <w:t xml:space="preserve"> </w:t>
      </w:r>
      <w:r w:rsidRPr="008A1BD0" w:rsidR="00CA41F4">
        <w:rPr>
          <w:rFonts w:ascii="Times New Roman" w:hAnsi="Times New Roman" w:cs="Times New Roman"/>
          <w:sz w:val="28"/>
        </w:rPr>
        <w:t>Министерства энергетики РК</w:t>
      </w:r>
      <w:r w:rsidRPr="008A1BD0">
        <w:rPr>
          <w:rFonts w:ascii="Times New Roman" w:hAnsi="Times New Roman" w:cs="Times New Roman"/>
          <w:sz w:val="28"/>
        </w:rPr>
        <w:t xml:space="preserve"> на </w:t>
      </w:r>
      <w:r w:rsidRPr="008A1BD0" w:rsidR="00CA41F4">
        <w:rPr>
          <w:rFonts w:ascii="Times New Roman" w:hAnsi="Times New Roman" w:cs="Times New Roman"/>
          <w:sz w:val="28"/>
        </w:rPr>
        <w:t xml:space="preserve">апрель </w:t>
      </w:r>
      <w:r w:rsidRPr="008A1BD0">
        <w:rPr>
          <w:rFonts w:ascii="Times New Roman" w:hAnsi="Times New Roman" w:cs="Times New Roman"/>
          <w:sz w:val="28"/>
        </w:rPr>
        <w:t xml:space="preserve">2022 года в Казахстане действует </w:t>
      </w:r>
      <w:r w:rsidRPr="008A1BD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A1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8A1BD0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Pr="008A1BD0" w:rsidR="00EB577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A1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ВИЭ:</w:t>
      </w:r>
    </w:p>
    <w:p w:rsidR="0029368A" w:rsidRPr="008A1BD0" w:rsidP="00AE2893" w14:paraId="00F1341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>- 40 объектов ветровых электростанций мощностью – 684 МВт;</w:t>
      </w:r>
    </w:p>
    <w:p w:rsidR="0029368A" w:rsidRPr="008A1BD0" w:rsidP="00AE2893" w14:paraId="4067CFB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>- 51 объектов солнечных электростанций мощностью – 1093 МВт;</w:t>
      </w:r>
    </w:p>
    <w:p w:rsidR="0029368A" w:rsidRPr="008A1BD0" w:rsidP="00AE2893" w14:paraId="6997666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>- 40 объектов гидроэлектростанций мощностью – 280 МВт;</w:t>
      </w:r>
    </w:p>
    <w:p w:rsidR="0029368A" w:rsidRPr="008A1BD0" w:rsidP="00AE2893" w14:paraId="7040966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 xml:space="preserve">- 5 объектов </w:t>
      </w:r>
      <w:r w:rsidRPr="008A1BD0">
        <w:rPr>
          <w:rFonts w:ascii="Times New Roman" w:hAnsi="Times New Roman" w:cs="Times New Roman"/>
          <w:sz w:val="28"/>
        </w:rPr>
        <w:t>Биоэлектростанций</w:t>
      </w:r>
      <w:r w:rsidRPr="008A1BD0">
        <w:rPr>
          <w:rFonts w:ascii="Times New Roman" w:hAnsi="Times New Roman" w:cs="Times New Roman"/>
          <w:sz w:val="28"/>
        </w:rPr>
        <w:t xml:space="preserve"> мощностью – 8 МВт.</w:t>
      </w:r>
    </w:p>
    <w:p w:rsidR="005D4ED4" w:rsidRPr="008A1BD0" w:rsidP="00AE2893" w14:paraId="78D783A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>В начало года введено в эксплуатацию 2 объекта суммарной мощностью 55 МВт (2 СЭС):</w:t>
      </w:r>
    </w:p>
    <w:p w:rsidR="005D4ED4" w:rsidRPr="008A1BD0" w:rsidP="00AE2893" w14:paraId="7EE17B9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 xml:space="preserve">- </w:t>
      </w:r>
      <w:r w:rsidRPr="008A1BD0" w:rsidR="00EB5771">
        <w:rPr>
          <w:rFonts w:ascii="Times New Roman" w:hAnsi="Times New Roman" w:cs="Times New Roman"/>
          <w:sz w:val="28"/>
        </w:rPr>
        <w:t>СЭС ТОО «</w:t>
      </w:r>
      <w:r w:rsidRPr="008A1BD0" w:rsidR="00EB5771">
        <w:rPr>
          <w:rFonts w:ascii="Times New Roman" w:hAnsi="Times New Roman" w:cs="Times New Roman"/>
          <w:sz w:val="28"/>
        </w:rPr>
        <w:t>АлматыЭнергоПроджект</w:t>
      </w:r>
      <w:r w:rsidRPr="008A1BD0" w:rsidR="00EB5771">
        <w:rPr>
          <w:rFonts w:ascii="Times New Roman" w:hAnsi="Times New Roman" w:cs="Times New Roman"/>
          <w:sz w:val="28"/>
        </w:rPr>
        <w:t>»</w:t>
      </w:r>
      <w:r w:rsidRPr="008A1BD0">
        <w:rPr>
          <w:rFonts w:ascii="Times New Roman" w:hAnsi="Times New Roman" w:cs="Times New Roman"/>
          <w:sz w:val="28"/>
        </w:rPr>
        <w:t>;</w:t>
      </w:r>
    </w:p>
    <w:p w:rsidR="001E7984" w:rsidRPr="008A1BD0" w:rsidP="00AE2893" w14:paraId="2B4F7A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 xml:space="preserve">- </w:t>
      </w:r>
      <w:r w:rsidRPr="008A1BD0" w:rsidR="00EB5771">
        <w:rPr>
          <w:rFonts w:ascii="Times New Roman" w:hAnsi="Times New Roman" w:cs="Times New Roman"/>
          <w:sz w:val="28"/>
        </w:rPr>
        <w:t>СЭС «</w:t>
      </w:r>
      <w:r w:rsidRPr="008A1BD0" w:rsidR="00EB5771">
        <w:rPr>
          <w:rFonts w:ascii="Times New Roman" w:hAnsi="Times New Roman" w:cs="Times New Roman"/>
          <w:sz w:val="28"/>
        </w:rPr>
        <w:t>Айша</w:t>
      </w:r>
      <w:r w:rsidRPr="008A1BD0" w:rsidR="00EB5771">
        <w:rPr>
          <w:rFonts w:ascii="Times New Roman" w:hAnsi="Times New Roman" w:cs="Times New Roman"/>
          <w:sz w:val="28"/>
        </w:rPr>
        <w:t xml:space="preserve">» ТОО «AEC </w:t>
      </w:r>
      <w:r w:rsidRPr="008A1BD0" w:rsidR="00EB5771">
        <w:rPr>
          <w:rFonts w:ascii="Times New Roman" w:hAnsi="Times New Roman" w:cs="Times New Roman"/>
          <w:sz w:val="28"/>
        </w:rPr>
        <w:t>Asa</w:t>
      </w:r>
      <w:r w:rsidRPr="008A1BD0" w:rsidR="00EB5771">
        <w:rPr>
          <w:rFonts w:ascii="Times New Roman" w:hAnsi="Times New Roman" w:cs="Times New Roman"/>
          <w:sz w:val="28"/>
        </w:rPr>
        <w:t>»</w:t>
      </w:r>
      <w:r w:rsidRPr="008A1BD0">
        <w:rPr>
          <w:rFonts w:ascii="Times New Roman" w:hAnsi="Times New Roman" w:cs="Times New Roman"/>
          <w:sz w:val="28"/>
        </w:rPr>
        <w:t>.</w:t>
      </w:r>
    </w:p>
    <w:p w:rsidR="005D4ED4" w:rsidRPr="008A1BD0" w:rsidP="00AE2893" w14:paraId="2325977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BD0">
        <w:rPr>
          <w:rFonts w:ascii="Times New Roman" w:hAnsi="Times New Roman" w:cs="Times New Roman"/>
          <w:sz w:val="28"/>
        </w:rPr>
        <w:t>По данным Министерства энергетики РК до конца 2022 года планируется ввести в эксплуатацию 10 объектов суммарной мощностью 290,6 МВт.</w:t>
      </w:r>
    </w:p>
    <w:p w:rsidR="005D4ED4" w:rsidRPr="008A1BD0" w:rsidP="00AE2893" w14:paraId="7431213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364B1" w:rsidRPr="008A1BD0" w:rsidP="00AE2893" w14:paraId="1BD3815D" w14:textId="777777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8A1BD0">
        <w:rPr>
          <w:rFonts w:ascii="Times New Roman" w:hAnsi="Times New Roman" w:cs="Times New Roman"/>
          <w:sz w:val="24"/>
        </w:rPr>
        <w:t xml:space="preserve">млн. </w:t>
      </w:r>
      <w:r w:rsidRPr="008A1BD0">
        <w:rPr>
          <w:rFonts w:ascii="Times New Roman" w:hAnsi="Times New Roman" w:cs="Times New Roman"/>
          <w:sz w:val="24"/>
        </w:rPr>
        <w:t>кВтч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119"/>
        <w:gridCol w:w="1134"/>
        <w:gridCol w:w="992"/>
        <w:gridCol w:w="1418"/>
        <w:gridCol w:w="992"/>
        <w:gridCol w:w="827"/>
        <w:gridCol w:w="895"/>
      </w:tblGrid>
      <w:tr w14:paraId="1258F7FE" w14:textId="77777777" w:rsidTr="00BE2375">
        <w:tblPrEx>
          <w:tblW w:w="99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5"/>
          <w:jc w:val="center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1C168C8D" w14:textId="4C5F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hAnsi="Times New Roman" w:cs="Times New Roman"/>
                <w:b/>
              </w:rPr>
              <w:t>№ п/п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281AC6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26498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410" w:type="dxa"/>
            <w:gridSpan w:val="2"/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6EEE7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827" w:type="dxa"/>
            <w:vMerge w:val="restart"/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4D37F2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</w:p>
        </w:tc>
        <w:tc>
          <w:tcPr>
            <w:tcW w:w="895" w:type="dxa"/>
            <w:vMerge w:val="restart"/>
            <w:shd w:val="clear" w:color="auto" w:fill="8DB3E2" w:themeFill="text2" w:themeFillTint="66"/>
            <w:vAlign w:val="center"/>
          </w:tcPr>
          <w:p w:rsidR="007D7642" w:rsidRPr="008A1BD0" w:rsidP="00AE2893" w14:paraId="766EC3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14:paraId="61229958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570"/>
          <w:jc w:val="center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:rsidR="00DD45A7" w:rsidRPr="008A1BD0" w:rsidP="00AE2893" w14:paraId="7A2E91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B8CCE4" w:themeFill="accent1" w:themeFillTint="66"/>
            <w:vAlign w:val="center"/>
            <w:hideMark/>
          </w:tcPr>
          <w:p w:rsidR="00DD45A7" w:rsidRPr="008A1BD0" w:rsidP="00AE2893" w14:paraId="678A3D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:rsidR="00DD45A7" w:rsidRPr="008A1BD0" w:rsidP="00AE2893" w14:paraId="3D6066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 w:rsidRPr="008A1BD0" w:rsidR="00E31ACA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:rsidR="00DD45A7" w:rsidRPr="008A1BD0" w:rsidP="00AE2893" w14:paraId="364F27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  <w:hideMark/>
          </w:tcPr>
          <w:p w:rsidR="00DD45A7" w:rsidRPr="008A1BD0" w:rsidP="00AE2893" w14:paraId="15A680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 w:rsidRPr="008A1BD0" w:rsidR="00E31ACA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:rsidR="00DD45A7" w:rsidRPr="008A1BD0" w:rsidP="00AE2893" w14:paraId="2FA5BD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27" w:type="dxa"/>
            <w:vMerge/>
            <w:shd w:val="clear" w:color="auto" w:fill="B8CCE4" w:themeFill="accent1" w:themeFillTint="66"/>
            <w:vAlign w:val="center"/>
            <w:hideMark/>
          </w:tcPr>
          <w:p w:rsidR="00DD45A7" w:rsidRPr="008A1BD0" w:rsidP="00AE2893" w14:paraId="04753E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5" w:type="dxa"/>
            <w:vMerge/>
            <w:shd w:val="clear" w:color="auto" w:fill="B8CCE4" w:themeFill="accent1" w:themeFillTint="66"/>
            <w:vAlign w:val="center"/>
            <w:hideMark/>
          </w:tcPr>
          <w:p w:rsidR="00DD45A7" w:rsidRPr="008A1BD0" w:rsidP="00AE2893" w14:paraId="20D9DD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1CC18157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1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31ACA" w:rsidRPr="008A1BD0" w:rsidP="00AE2893" w14:paraId="0761A82D" w14:textId="263D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1ACA" w:rsidRPr="008A1BD0" w:rsidP="00AE2893" w14:paraId="487D8C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31ACA" w:rsidRPr="008A1BD0" w:rsidP="00AE2893" w14:paraId="138BC4BD" w14:textId="10E68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40</w:t>
            </w:r>
            <w:r w:rsidRPr="008A1BD0" w:rsidR="00F775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1BD0">
              <w:rPr>
                <w:rFonts w:ascii="Times New Roman" w:hAnsi="Times New Roman" w:cs="Times New Roman"/>
                <w:b/>
                <w:bCs/>
              </w:rPr>
              <w:t>036,3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ACA" w:rsidRPr="008A1BD0" w:rsidP="00AE2893" w14:paraId="740736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31ACA" w:rsidRPr="008A1BD0" w:rsidP="00AE2893" w14:paraId="53D567D1" w14:textId="7678B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39</w:t>
            </w:r>
            <w:r w:rsidRPr="008A1BD0" w:rsidR="00F775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1BD0">
              <w:rPr>
                <w:rFonts w:ascii="Times New Roman" w:hAnsi="Times New Roman" w:cs="Times New Roman"/>
                <w:b/>
                <w:bCs/>
              </w:rPr>
              <w:t>533,5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ACA" w:rsidRPr="008A1BD0" w:rsidP="00AE2893" w14:paraId="3CFCA9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E31ACA" w:rsidRPr="008A1BD0" w:rsidP="00AE2893" w14:paraId="44108D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-502,8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31ACA" w:rsidRPr="008A1BD0" w:rsidP="00AE2893" w14:paraId="4A1B84C6" w14:textId="6D62D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-1,3</w:t>
            </w:r>
          </w:p>
        </w:tc>
      </w:tr>
      <w:tr w14:paraId="79D98828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15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31ACA" w:rsidRPr="008A1BD0" w:rsidP="00BE2375" w14:paraId="468B9F2D" w14:textId="11DFD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1ACA" w:rsidRPr="008A1BD0" w:rsidP="00AE2893" w14:paraId="756660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31ACA" w:rsidRPr="008A1BD0" w:rsidP="00AE2893" w14:paraId="739128ED" w14:textId="115F4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</w:t>
            </w:r>
            <w:r w:rsidRPr="008A1BD0" w:rsidR="00F775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1BD0">
              <w:rPr>
                <w:rFonts w:ascii="Times New Roman" w:hAnsi="Times New Roman" w:cs="Times New Roman"/>
                <w:b/>
                <w:bCs/>
              </w:rPr>
              <w:t>165,5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ACA" w:rsidRPr="008A1BD0" w:rsidP="00AE2893" w14:paraId="22DBF3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2,9%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31ACA" w:rsidRPr="008A1BD0" w:rsidP="00AE2893" w14:paraId="6B27A1E1" w14:textId="101BB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</w:t>
            </w:r>
            <w:r w:rsidRPr="008A1BD0" w:rsidR="00F775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1BD0">
              <w:rPr>
                <w:rFonts w:ascii="Times New Roman" w:hAnsi="Times New Roman" w:cs="Times New Roman"/>
                <w:b/>
                <w:bCs/>
              </w:rPr>
              <w:t>376,9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ACA" w:rsidRPr="008A1BD0" w:rsidP="00AE2893" w14:paraId="6A7A15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3,5%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E31ACA" w:rsidRPr="008A1BD0" w:rsidP="00AE2893" w14:paraId="68A4E8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211,4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31ACA" w:rsidRPr="008A1BD0" w:rsidP="00AE2893" w14:paraId="19876279" w14:textId="6D71E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18,1</w:t>
            </w:r>
          </w:p>
        </w:tc>
      </w:tr>
      <w:tr w14:paraId="2F63913D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415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D0434" w:rsidRPr="008A1BD0" w:rsidP="00AE2893" w14:paraId="29495C52" w14:textId="0A4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D0434" w:rsidRPr="008A1BD0" w:rsidP="00AE2893" w14:paraId="7E677D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Выработка ВИЭ, в </w:t>
            </w:r>
            <w:r w:rsidRPr="008A1BD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т.ч</w:t>
            </w:r>
            <w:r w:rsidRPr="008A1BD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. по зонам </w:t>
            </w:r>
          </w:p>
        </w:tc>
        <w:tc>
          <w:tcPr>
            <w:tcW w:w="6258" w:type="dxa"/>
            <w:gridSpan w:val="6"/>
            <w:shd w:val="clear" w:color="auto" w:fill="D9D9D9" w:themeFill="background1" w:themeFillShade="D9"/>
            <w:noWrap/>
            <w:vAlign w:val="center"/>
          </w:tcPr>
          <w:p w:rsidR="00CD0434" w:rsidRPr="008A1BD0" w:rsidP="00AE2893" w14:paraId="635783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1BD0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</w:p>
        </w:tc>
      </w:tr>
      <w:tr w14:paraId="2A891AB3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20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19C7A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1A90A0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39771B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296869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1,6%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259AC0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621,8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3CDA98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2,1%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2920E7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138,7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8A1BD0" w:rsidP="00AE2893" w14:paraId="6E6EC504" w14:textId="1F918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28,7</w:t>
            </w:r>
          </w:p>
        </w:tc>
      </w:tr>
      <w:tr w14:paraId="6C122D01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17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68D1F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5ACCB7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7AB469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763F28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13,2%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7007D6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654,2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77B157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14,1%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697C04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84,5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8A1BD0" w:rsidP="00AE2893" w14:paraId="55D1C8D3" w14:textId="68ACB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</w:tr>
      <w:tr w14:paraId="3E3FE9E3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16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10555D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35FE29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728F7F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062670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2,4%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0BA687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0EA1A5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2,0%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6A5A34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-11,8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8A1BD0" w:rsidP="00AE2893" w14:paraId="21A47C43" w14:textId="00068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-10,5</w:t>
            </w:r>
          </w:p>
        </w:tc>
      </w:tr>
      <w:tr w14:paraId="6C233B41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35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D0434" w:rsidRPr="008A1BD0" w:rsidP="00AE2893" w14:paraId="34FC713F" w14:textId="6548D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D0434" w:rsidRPr="008A1BD0" w:rsidP="00AE2893" w14:paraId="539158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Выработка ВИЭ, в </w:t>
            </w:r>
            <w:r w:rsidRPr="008A1BD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т.ч</w:t>
            </w:r>
            <w:r w:rsidRPr="008A1BD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. по зонам </w:t>
            </w:r>
          </w:p>
        </w:tc>
        <w:tc>
          <w:tcPr>
            <w:tcW w:w="6258" w:type="dxa"/>
            <w:gridSpan w:val="6"/>
            <w:shd w:val="clear" w:color="auto" w:fill="D9D9D9" w:themeFill="background1" w:themeFillShade="D9"/>
            <w:noWrap/>
            <w:vAlign w:val="center"/>
          </w:tcPr>
          <w:p w:rsidR="00CD0434" w:rsidRPr="008A1BD0" w:rsidP="00AE2893" w14:paraId="09F08B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BD0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14:paraId="146EDAE1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1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1EA523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404DC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042E15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76F70E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41,5%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7EE573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621,8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4390F1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45,2%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2A9DEB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138,7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8A1BD0" w:rsidP="00AE2893" w14:paraId="07564A59" w14:textId="445F9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28,7</w:t>
            </w:r>
          </w:p>
        </w:tc>
      </w:tr>
      <w:tr w14:paraId="6B799D76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1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7BCF93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654B0A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0ACFC0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5F27DA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48,9%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16E9A0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654,2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1BC5EC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47,5%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131895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84,5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8A1BD0" w:rsidP="00AE2893" w14:paraId="311E1E35" w14:textId="429B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</w:tr>
      <w:tr w14:paraId="7CC4C8D5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339A9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4CF6F1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38965B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7B5220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9,7%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18BA0E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34D42B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7,3%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4A8722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-11,8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8A1BD0" w:rsidP="00AE2893" w14:paraId="3D44357D" w14:textId="06CFD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-10,5</w:t>
            </w:r>
          </w:p>
        </w:tc>
      </w:tr>
      <w:tr w14:paraId="630ACBC9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D0434" w:rsidRPr="008A1BD0" w:rsidP="00AE2893" w14:paraId="24599E13" w14:textId="0F659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D0434" w:rsidRPr="008A1BD0" w:rsidP="00AE2893" w14:paraId="1D11FA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Выработка ВИЭ, в </w:t>
            </w:r>
            <w:r w:rsidRPr="008A1BD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т.ч</w:t>
            </w:r>
            <w:r w:rsidRPr="008A1BD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. по типам </w:t>
            </w:r>
          </w:p>
        </w:tc>
        <w:tc>
          <w:tcPr>
            <w:tcW w:w="6258" w:type="dxa"/>
            <w:gridSpan w:val="6"/>
            <w:shd w:val="clear" w:color="auto" w:fill="D9D9D9" w:themeFill="background1" w:themeFillShade="D9"/>
            <w:noWrap/>
            <w:vAlign w:val="center"/>
          </w:tcPr>
          <w:p w:rsidR="00CD0434" w:rsidRPr="008A1BD0" w:rsidP="00AE2893" w14:paraId="55CE36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BD0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14:paraId="28B0DDFA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16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3038D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0F7E70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00A3DA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28FB95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37,4%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5690A5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0633A0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32,6%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0598F7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8A1BD0" w:rsidP="00AE2893" w14:paraId="585AA676" w14:textId="10944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</w:tr>
      <w:tr w14:paraId="30C21D2C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244082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59E9E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7C7838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563,7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2B2806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48,4%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398500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724,4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3E70DE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52,6%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0B242A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160,7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8A1BD0" w:rsidP="00AE2893" w14:paraId="058A96A6" w14:textId="32927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28,5</w:t>
            </w:r>
          </w:p>
        </w:tc>
      </w:tr>
      <w:tr w14:paraId="23892B99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6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21E5E3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0B5C0A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650373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506C2B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14,1%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60BD04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4E735C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14,7%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3AA707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38,6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8A1BD0" w:rsidP="00AE2893" w14:paraId="34C9247A" w14:textId="19D4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</w:tr>
      <w:tr w14:paraId="4D3C9D50" w14:textId="77777777" w:rsidTr="00BE2375">
        <w:tblPrEx>
          <w:tblW w:w="9939" w:type="dxa"/>
          <w:jc w:val="center"/>
          <w:tblLayout w:type="fixed"/>
          <w:tblLook w:val="04A0"/>
        </w:tblPrEx>
        <w:trPr>
          <w:trHeight w:val="6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9220D" w:rsidRPr="008A1BD0" w:rsidP="00AE2893" w14:paraId="605A46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220D" w:rsidRPr="008A1BD0" w:rsidP="00AE2893" w14:paraId="025B05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9220D" w:rsidRPr="008A1BD0" w:rsidP="00AE2893" w14:paraId="78EE25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632D66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9220D" w:rsidRPr="008A1BD0" w:rsidP="00AE2893" w14:paraId="5FB472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20D" w:rsidRPr="008A1BD0" w:rsidP="00AE2893" w14:paraId="288F24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shd w:val="clear" w:color="000000" w:fill="FFFFFF"/>
            <w:noWrap/>
            <w:vAlign w:val="center"/>
          </w:tcPr>
          <w:p w:rsidR="0059220D" w:rsidRPr="008A1BD0" w:rsidP="00AE2893" w14:paraId="167D6D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-1,4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220D" w:rsidRPr="00BE2375" w:rsidP="00AE2893" w14:paraId="64EF59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1E7984" w:rsidRPr="00AE2893" w:rsidP="00AE2893" w14:paraId="296BE5F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226A58" w:rsidRPr="00AE2893" w:rsidP="00AE2893" w14:paraId="309639D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226A58" w:rsidRPr="00AE2893" w:rsidP="00AE2893" w14:paraId="0E34A85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226A58" w:rsidRPr="00AE2893" w:rsidP="00AE2893" w14:paraId="152B124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BE3B1B" w:rsidRPr="00AE2893" w:rsidP="00AE2893" w14:paraId="2C9804C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092" w:rsidRPr="00AE2893" w:rsidP="008A1BD0" w14:paraId="5EFB5CB8" w14:textId="77777777">
      <w:pPr>
        <w:pStyle w:val="Heading1"/>
        <w:numPr>
          <w:ilvl w:val="1"/>
          <w:numId w:val="10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2" w:name="_Toc104388618"/>
      <w:r w:rsidRPr="00AE2893">
        <w:rPr>
          <w:rFonts w:ascii="Times New Roman" w:hAnsi="Times New Roman" w:cs="Times New Roman"/>
          <w:i/>
          <w:color w:val="auto"/>
          <w:sz w:val="28"/>
          <w:szCs w:val="28"/>
        </w:rPr>
        <w:t>Роль АО «</w:t>
      </w:r>
      <w:r w:rsidRPr="00AE2893">
        <w:rPr>
          <w:rFonts w:ascii="Times New Roman" w:hAnsi="Times New Roman" w:cs="Times New Roman"/>
          <w:i/>
          <w:color w:val="auto"/>
          <w:sz w:val="28"/>
          <w:szCs w:val="28"/>
        </w:rPr>
        <w:t>Самрук-Энерго</w:t>
      </w:r>
      <w:r w:rsidRPr="00AE2893">
        <w:rPr>
          <w:rFonts w:ascii="Times New Roman" w:hAnsi="Times New Roman" w:cs="Times New Roman"/>
          <w:i/>
          <w:color w:val="auto"/>
          <w:sz w:val="28"/>
          <w:szCs w:val="28"/>
        </w:rPr>
        <w:t>» в производстве чистой электроэнергии</w:t>
      </w:r>
      <w:bookmarkEnd w:id="22"/>
    </w:p>
    <w:p w:rsidR="00BF3092" w:rsidRPr="00AE2893" w:rsidP="00AE2893" w14:paraId="6C20DB4E" w14:textId="77777777">
      <w:pPr>
        <w:spacing w:after="0" w:line="240" w:lineRule="auto"/>
        <w:ind w:left="708"/>
        <w:rPr>
          <w:rFonts w:ascii="Times New Roman" w:hAnsi="Times New Roman" w:cs="Times New Roman"/>
          <w:i/>
          <w:sz w:val="18"/>
        </w:rPr>
      </w:pPr>
    </w:p>
    <w:p w:rsidR="007D7642" w:rsidRPr="008A1BD0" w:rsidP="00AE2893" w14:paraId="438A1EB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A1BD0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</w:t>
      </w:r>
      <w:r w:rsidRPr="008A1BD0">
        <w:rPr>
          <w:rFonts w:ascii="Times New Roman" w:hAnsi="Times New Roman" w:cs="Times New Roman"/>
          <w:sz w:val="28"/>
          <w:szCs w:val="24"/>
        </w:rPr>
        <w:t>Самрук-Энерго</w:t>
      </w:r>
      <w:r w:rsidRPr="008A1BD0">
        <w:rPr>
          <w:rFonts w:ascii="Times New Roman" w:hAnsi="Times New Roman" w:cs="Times New Roman"/>
          <w:sz w:val="28"/>
          <w:szCs w:val="24"/>
        </w:rPr>
        <w:t xml:space="preserve">» </w:t>
      </w:r>
      <w:r w:rsidRPr="008A1BD0" w:rsidR="00AB2BF4">
        <w:rPr>
          <w:rFonts w:ascii="Times New Roman" w:hAnsi="Times New Roman" w:cs="Times New Roman"/>
          <w:sz w:val="28"/>
          <w:szCs w:val="24"/>
        </w:rPr>
        <w:t>(СЭС, ВЭС</w:t>
      </w:r>
      <w:r w:rsidRPr="008A1BD0" w:rsidR="00756921">
        <w:rPr>
          <w:rFonts w:ascii="Times New Roman" w:hAnsi="Times New Roman" w:cs="Times New Roman"/>
          <w:sz w:val="28"/>
          <w:szCs w:val="24"/>
        </w:rPr>
        <w:t xml:space="preserve"> и</w:t>
      </w:r>
      <w:r w:rsidRPr="008A1BD0" w:rsidR="00AB2BF4">
        <w:rPr>
          <w:rFonts w:ascii="Times New Roman" w:hAnsi="Times New Roman" w:cs="Times New Roman"/>
          <w:sz w:val="28"/>
          <w:szCs w:val="24"/>
        </w:rPr>
        <w:t xml:space="preserve"> малые ГЭС) за январь</w:t>
      </w:r>
      <w:r w:rsidRPr="008A1BD0" w:rsidR="008D7F55">
        <w:rPr>
          <w:rFonts w:ascii="Times New Roman" w:hAnsi="Times New Roman" w:cs="Times New Roman"/>
          <w:sz w:val="28"/>
          <w:szCs w:val="24"/>
        </w:rPr>
        <w:t>-</w:t>
      </w:r>
      <w:r w:rsidRPr="008A1BD0" w:rsidR="00155011">
        <w:rPr>
          <w:rFonts w:ascii="Times New Roman" w:hAnsi="Times New Roman" w:cs="Times New Roman"/>
          <w:sz w:val="28"/>
          <w:szCs w:val="24"/>
        </w:rPr>
        <w:t>апрель</w:t>
      </w:r>
      <w:r w:rsidRPr="008A1BD0" w:rsidR="00F34434">
        <w:rPr>
          <w:rFonts w:ascii="Times New Roman" w:hAnsi="Times New Roman" w:cs="Times New Roman"/>
          <w:sz w:val="28"/>
          <w:szCs w:val="24"/>
        </w:rPr>
        <w:t xml:space="preserve"> </w:t>
      </w:r>
      <w:r w:rsidRPr="008A1BD0" w:rsidR="00AB2BF4">
        <w:rPr>
          <w:rFonts w:ascii="Times New Roman" w:hAnsi="Times New Roman" w:cs="Times New Roman"/>
          <w:sz w:val="28"/>
          <w:szCs w:val="24"/>
        </w:rPr>
        <w:t>2022</w:t>
      </w:r>
      <w:r w:rsidRPr="008A1BD0">
        <w:rPr>
          <w:rFonts w:ascii="Times New Roman" w:hAnsi="Times New Roman" w:cs="Times New Roman"/>
          <w:sz w:val="28"/>
          <w:szCs w:val="24"/>
        </w:rPr>
        <w:t xml:space="preserve"> года составила </w:t>
      </w:r>
      <w:r w:rsidRPr="008A1BD0" w:rsidR="00155011">
        <w:rPr>
          <w:rFonts w:ascii="Times New Roman" w:hAnsi="Times New Roman" w:cs="Times New Roman"/>
          <w:sz w:val="28"/>
          <w:szCs w:val="24"/>
        </w:rPr>
        <w:t>110,7</w:t>
      </w:r>
      <w:r w:rsidRPr="008A1BD0" w:rsidR="00517648">
        <w:rPr>
          <w:rFonts w:ascii="Times New Roman" w:hAnsi="Times New Roman" w:cs="Times New Roman"/>
          <w:sz w:val="28"/>
          <w:szCs w:val="24"/>
        </w:rPr>
        <w:t xml:space="preserve"> </w:t>
      </w:r>
      <w:r w:rsidRPr="008A1BD0">
        <w:rPr>
          <w:rFonts w:ascii="Times New Roman" w:hAnsi="Times New Roman" w:cs="Times New Roman"/>
          <w:sz w:val="28"/>
          <w:szCs w:val="24"/>
        </w:rPr>
        <w:t xml:space="preserve">млн. </w:t>
      </w:r>
      <w:r w:rsidRPr="008A1BD0">
        <w:rPr>
          <w:rFonts w:ascii="Times New Roman" w:hAnsi="Times New Roman" w:cs="Times New Roman"/>
          <w:sz w:val="28"/>
          <w:szCs w:val="24"/>
        </w:rPr>
        <w:t>кВтч</w:t>
      </w:r>
      <w:r w:rsidRPr="008A1BD0" w:rsidR="00756921">
        <w:rPr>
          <w:rFonts w:ascii="Times New Roman" w:hAnsi="Times New Roman" w:cs="Times New Roman"/>
          <w:sz w:val="28"/>
          <w:szCs w:val="24"/>
        </w:rPr>
        <w:t>,</w:t>
      </w:r>
      <w:r w:rsidRPr="008A1BD0">
        <w:rPr>
          <w:rFonts w:ascii="Times New Roman" w:hAnsi="Times New Roman" w:cs="Times New Roman"/>
          <w:sz w:val="28"/>
          <w:szCs w:val="24"/>
        </w:rPr>
        <w:t xml:space="preserve"> </w:t>
      </w:r>
      <w:r w:rsidRPr="008A1BD0">
        <w:rPr>
          <w:rFonts w:ascii="Times New Roman" w:hAnsi="Times New Roman" w:cs="Times New Roman"/>
          <w:sz w:val="28"/>
          <w:szCs w:val="24"/>
        </w:rPr>
        <w:t xml:space="preserve">что </w:t>
      </w:r>
      <w:r w:rsidRPr="008A1BD0" w:rsidR="00756921">
        <w:rPr>
          <w:rFonts w:ascii="Times New Roman" w:hAnsi="Times New Roman" w:cs="Times New Roman"/>
          <w:sz w:val="28"/>
          <w:szCs w:val="24"/>
        </w:rPr>
        <w:t xml:space="preserve">на </w:t>
      </w:r>
      <w:r w:rsidRPr="008A1BD0" w:rsidR="00155011">
        <w:rPr>
          <w:rFonts w:ascii="Times New Roman" w:hAnsi="Times New Roman" w:cs="Times New Roman"/>
          <w:sz w:val="28"/>
          <w:szCs w:val="24"/>
        </w:rPr>
        <w:t>8,3</w:t>
      </w:r>
      <w:r w:rsidRPr="008A1BD0" w:rsidR="00756921">
        <w:rPr>
          <w:rFonts w:ascii="Times New Roman" w:hAnsi="Times New Roman" w:cs="Times New Roman"/>
          <w:sz w:val="28"/>
          <w:szCs w:val="24"/>
        </w:rPr>
        <w:t xml:space="preserve">% </w:t>
      </w:r>
      <w:r w:rsidRPr="008A1BD0" w:rsidR="002B3C9B">
        <w:rPr>
          <w:rFonts w:ascii="Times New Roman" w:hAnsi="Times New Roman" w:cs="Times New Roman"/>
          <w:sz w:val="28"/>
          <w:szCs w:val="24"/>
        </w:rPr>
        <w:t>выше</w:t>
      </w:r>
      <w:r w:rsidRPr="008A1BD0" w:rsidR="00756921">
        <w:rPr>
          <w:rFonts w:ascii="Times New Roman" w:hAnsi="Times New Roman" w:cs="Times New Roman"/>
          <w:sz w:val="28"/>
          <w:szCs w:val="24"/>
        </w:rPr>
        <w:t xml:space="preserve"> </w:t>
      </w:r>
      <w:r w:rsidRPr="008A1BD0">
        <w:rPr>
          <w:rFonts w:ascii="Times New Roman" w:hAnsi="Times New Roman" w:cs="Times New Roman"/>
          <w:sz w:val="28"/>
          <w:szCs w:val="24"/>
        </w:rPr>
        <w:t xml:space="preserve">по сравнению с аналогичным периодом 2021 года </w:t>
      </w:r>
      <w:r w:rsidRPr="008A1BD0" w:rsidR="00756921">
        <w:rPr>
          <w:rFonts w:ascii="Times New Roman" w:hAnsi="Times New Roman" w:cs="Times New Roman"/>
          <w:sz w:val="28"/>
          <w:szCs w:val="24"/>
        </w:rPr>
        <w:t>(</w:t>
      </w:r>
      <w:r w:rsidRPr="008A1BD0" w:rsidR="00155011">
        <w:rPr>
          <w:rFonts w:ascii="Times New Roman" w:hAnsi="Times New Roman" w:cs="Times New Roman"/>
          <w:sz w:val="28"/>
          <w:szCs w:val="24"/>
        </w:rPr>
        <w:t>102,2</w:t>
      </w:r>
      <w:r w:rsidRPr="008A1BD0" w:rsidR="00756921">
        <w:rPr>
          <w:rFonts w:ascii="Times New Roman" w:hAnsi="Times New Roman" w:cs="Times New Roman"/>
          <w:sz w:val="28"/>
          <w:szCs w:val="24"/>
        </w:rPr>
        <w:t xml:space="preserve"> млн. </w:t>
      </w:r>
      <w:r w:rsidRPr="008A1BD0" w:rsidR="00756921">
        <w:rPr>
          <w:rFonts w:ascii="Times New Roman" w:hAnsi="Times New Roman" w:cs="Times New Roman"/>
          <w:sz w:val="28"/>
          <w:szCs w:val="24"/>
        </w:rPr>
        <w:t>кВтч</w:t>
      </w:r>
      <w:r w:rsidRPr="008A1BD0" w:rsidR="00756921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FE02F0" w:rsidRPr="008A1BD0" w:rsidP="00AE2893" w14:paraId="24C95B8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BD0">
        <w:rPr>
          <w:rFonts w:ascii="Times New Roman" w:hAnsi="Times New Roman" w:cs="Times New Roman"/>
          <w:sz w:val="28"/>
          <w:szCs w:val="24"/>
        </w:rPr>
        <w:t>Доля электроэнергии ВИЭ АО «</w:t>
      </w:r>
      <w:r w:rsidRPr="008A1BD0">
        <w:rPr>
          <w:rFonts w:ascii="Times New Roman" w:hAnsi="Times New Roman" w:cs="Times New Roman"/>
          <w:sz w:val="28"/>
          <w:szCs w:val="24"/>
        </w:rPr>
        <w:t>Самрук-Энерго</w:t>
      </w:r>
      <w:r w:rsidRPr="008A1BD0">
        <w:rPr>
          <w:rFonts w:ascii="Times New Roman" w:hAnsi="Times New Roman" w:cs="Times New Roman"/>
          <w:sz w:val="28"/>
          <w:szCs w:val="24"/>
        </w:rPr>
        <w:t xml:space="preserve">» </w:t>
      </w:r>
      <w:r w:rsidRPr="008A1BD0" w:rsidR="00EE670D">
        <w:rPr>
          <w:rFonts w:ascii="Times New Roman" w:hAnsi="Times New Roman" w:cs="Times New Roman"/>
          <w:sz w:val="28"/>
          <w:szCs w:val="24"/>
        </w:rPr>
        <w:t>в январе</w:t>
      </w:r>
      <w:r w:rsidRPr="008A1BD0" w:rsidR="008D7F55">
        <w:rPr>
          <w:rFonts w:ascii="Times New Roman" w:hAnsi="Times New Roman" w:cs="Times New Roman"/>
          <w:sz w:val="28"/>
          <w:szCs w:val="24"/>
        </w:rPr>
        <w:t>-</w:t>
      </w:r>
      <w:r w:rsidRPr="008A1BD0" w:rsidR="00155011">
        <w:rPr>
          <w:rFonts w:ascii="Times New Roman" w:hAnsi="Times New Roman" w:cs="Times New Roman"/>
          <w:sz w:val="28"/>
          <w:szCs w:val="24"/>
        </w:rPr>
        <w:t>апреле</w:t>
      </w:r>
      <w:r w:rsidRPr="008A1BD0" w:rsidR="008D7F55">
        <w:rPr>
          <w:rFonts w:ascii="Times New Roman" w:hAnsi="Times New Roman" w:cs="Times New Roman"/>
          <w:sz w:val="28"/>
          <w:szCs w:val="24"/>
        </w:rPr>
        <w:t xml:space="preserve"> </w:t>
      </w:r>
      <w:r w:rsidRPr="008A1BD0" w:rsidR="00EE670D">
        <w:rPr>
          <w:rFonts w:ascii="Times New Roman" w:hAnsi="Times New Roman" w:cs="Times New Roman"/>
          <w:sz w:val="28"/>
          <w:szCs w:val="24"/>
        </w:rPr>
        <w:t xml:space="preserve">2022 года </w:t>
      </w:r>
      <w:r w:rsidRPr="008A1BD0">
        <w:rPr>
          <w:rFonts w:ascii="Times New Roman" w:hAnsi="Times New Roman" w:cs="Times New Roman"/>
          <w:sz w:val="28"/>
          <w:szCs w:val="24"/>
        </w:rPr>
        <w:t xml:space="preserve">составила </w:t>
      </w:r>
      <w:r w:rsidRPr="008A1BD0" w:rsidR="00155011">
        <w:rPr>
          <w:rFonts w:ascii="Times New Roman" w:hAnsi="Times New Roman" w:cs="Times New Roman"/>
          <w:sz w:val="28"/>
          <w:szCs w:val="24"/>
        </w:rPr>
        <w:t>8,0</w:t>
      </w:r>
      <w:r w:rsidRPr="008A1BD0" w:rsidR="00BC6073">
        <w:rPr>
          <w:rFonts w:ascii="Times New Roman" w:hAnsi="Times New Roman" w:cs="Times New Roman"/>
          <w:sz w:val="28"/>
          <w:szCs w:val="24"/>
        </w:rPr>
        <w:t>% от объема вырабатываемой объектами ВИЭ электроэнергии</w:t>
      </w:r>
      <w:r w:rsidRPr="008A1BD0" w:rsidR="00517648">
        <w:rPr>
          <w:rFonts w:ascii="Times New Roman" w:hAnsi="Times New Roman" w:cs="Times New Roman"/>
          <w:sz w:val="28"/>
          <w:szCs w:val="24"/>
        </w:rPr>
        <w:t xml:space="preserve"> в РК</w:t>
      </w:r>
      <w:r w:rsidRPr="008A1BD0" w:rsidR="00F34434">
        <w:rPr>
          <w:rFonts w:ascii="Times New Roman" w:hAnsi="Times New Roman" w:cs="Times New Roman"/>
          <w:sz w:val="28"/>
          <w:szCs w:val="24"/>
        </w:rPr>
        <w:t>,</w:t>
      </w:r>
      <w:r w:rsidRPr="008A1BD0">
        <w:rPr>
          <w:rFonts w:ascii="Times New Roman" w:hAnsi="Times New Roman" w:cs="Times New Roman"/>
          <w:sz w:val="28"/>
          <w:szCs w:val="24"/>
        </w:rPr>
        <w:t xml:space="preserve"> </w:t>
      </w:r>
      <w:r w:rsidRPr="008A1BD0" w:rsidR="00EE670D">
        <w:rPr>
          <w:rFonts w:ascii="Times New Roman" w:hAnsi="Times New Roman" w:cs="Times New Roman"/>
          <w:sz w:val="28"/>
          <w:szCs w:val="24"/>
        </w:rPr>
        <w:t>в то время как в</w:t>
      </w:r>
      <w:r w:rsidRPr="008A1BD0">
        <w:rPr>
          <w:rFonts w:ascii="Times New Roman" w:hAnsi="Times New Roman" w:cs="Times New Roman"/>
          <w:sz w:val="28"/>
          <w:szCs w:val="24"/>
        </w:rPr>
        <w:t xml:space="preserve"> январ</w:t>
      </w:r>
      <w:r w:rsidRPr="008A1BD0" w:rsidR="00EE670D">
        <w:rPr>
          <w:rFonts w:ascii="Times New Roman" w:hAnsi="Times New Roman" w:cs="Times New Roman"/>
          <w:sz w:val="28"/>
          <w:szCs w:val="24"/>
        </w:rPr>
        <w:t>е</w:t>
      </w:r>
      <w:r w:rsidRPr="008A1BD0" w:rsidR="008D7F55">
        <w:rPr>
          <w:rFonts w:ascii="Times New Roman" w:hAnsi="Times New Roman" w:cs="Times New Roman"/>
          <w:sz w:val="28"/>
          <w:szCs w:val="24"/>
        </w:rPr>
        <w:t>-</w:t>
      </w:r>
      <w:r w:rsidRPr="008A1BD0" w:rsidR="00155011">
        <w:rPr>
          <w:rFonts w:ascii="Times New Roman" w:hAnsi="Times New Roman" w:cs="Times New Roman"/>
          <w:sz w:val="28"/>
          <w:szCs w:val="24"/>
        </w:rPr>
        <w:t xml:space="preserve">апреле </w:t>
      </w:r>
      <w:r w:rsidRPr="008A1BD0">
        <w:rPr>
          <w:rFonts w:ascii="Times New Roman" w:hAnsi="Times New Roman" w:cs="Times New Roman"/>
          <w:sz w:val="28"/>
          <w:szCs w:val="24"/>
        </w:rPr>
        <w:t>2021</w:t>
      </w:r>
      <w:r w:rsidRPr="008A1BD0" w:rsidR="00EE670D">
        <w:rPr>
          <w:rFonts w:ascii="Times New Roman" w:hAnsi="Times New Roman" w:cs="Times New Roman"/>
          <w:sz w:val="28"/>
          <w:szCs w:val="24"/>
        </w:rPr>
        <w:t xml:space="preserve"> </w:t>
      </w:r>
      <w:r w:rsidRPr="008A1BD0">
        <w:rPr>
          <w:rFonts w:ascii="Times New Roman" w:hAnsi="Times New Roman" w:cs="Times New Roman"/>
          <w:sz w:val="28"/>
          <w:szCs w:val="24"/>
        </w:rPr>
        <w:t>г</w:t>
      </w:r>
      <w:r w:rsidRPr="008A1BD0" w:rsidR="00EE670D">
        <w:rPr>
          <w:rFonts w:ascii="Times New Roman" w:hAnsi="Times New Roman" w:cs="Times New Roman"/>
          <w:sz w:val="28"/>
          <w:szCs w:val="24"/>
        </w:rPr>
        <w:t>ода</w:t>
      </w:r>
      <w:r w:rsidRPr="008A1BD0">
        <w:rPr>
          <w:rFonts w:ascii="Times New Roman" w:hAnsi="Times New Roman" w:cs="Times New Roman"/>
          <w:sz w:val="28"/>
          <w:szCs w:val="24"/>
        </w:rPr>
        <w:t xml:space="preserve"> </w:t>
      </w:r>
      <w:r w:rsidRPr="008A1BD0" w:rsidR="00EE670D">
        <w:rPr>
          <w:rFonts w:ascii="Times New Roman" w:hAnsi="Times New Roman" w:cs="Times New Roman"/>
          <w:sz w:val="28"/>
          <w:szCs w:val="24"/>
        </w:rPr>
        <w:t>данный показатель</w:t>
      </w:r>
      <w:r w:rsidRPr="008A1BD0" w:rsidR="00F34434">
        <w:rPr>
          <w:rFonts w:ascii="Times New Roman" w:hAnsi="Times New Roman" w:cs="Times New Roman"/>
          <w:sz w:val="28"/>
          <w:szCs w:val="24"/>
        </w:rPr>
        <w:t xml:space="preserve"> </w:t>
      </w:r>
      <w:r w:rsidRPr="008A1BD0">
        <w:rPr>
          <w:rFonts w:ascii="Times New Roman" w:hAnsi="Times New Roman" w:cs="Times New Roman"/>
          <w:sz w:val="28"/>
          <w:szCs w:val="24"/>
        </w:rPr>
        <w:t xml:space="preserve">составил </w:t>
      </w:r>
      <w:r w:rsidRPr="008A1BD0" w:rsidR="00155011">
        <w:rPr>
          <w:rFonts w:ascii="Times New Roman" w:hAnsi="Times New Roman" w:cs="Times New Roman"/>
          <w:sz w:val="28"/>
          <w:szCs w:val="24"/>
        </w:rPr>
        <w:t>8,8</w:t>
      </w:r>
      <w:r w:rsidRPr="008A1BD0" w:rsidR="00EE670D">
        <w:rPr>
          <w:rFonts w:ascii="Times New Roman" w:hAnsi="Times New Roman" w:cs="Times New Roman"/>
          <w:sz w:val="28"/>
          <w:szCs w:val="24"/>
        </w:rPr>
        <w:t>%</w:t>
      </w:r>
      <w:r w:rsidRPr="008A1BD0" w:rsidR="00BC6073">
        <w:rPr>
          <w:rFonts w:ascii="Times New Roman" w:hAnsi="Times New Roman" w:cs="Times New Roman"/>
          <w:sz w:val="28"/>
          <w:szCs w:val="24"/>
        </w:rPr>
        <w:t>.</w:t>
      </w:r>
      <w:r w:rsidRPr="008A1BD0" w:rsidR="00EE670D">
        <w:rPr>
          <w:rFonts w:ascii="Times New Roman" w:hAnsi="Times New Roman" w:cs="Times New Roman"/>
          <w:sz w:val="28"/>
          <w:szCs w:val="24"/>
        </w:rPr>
        <w:t xml:space="preserve"> </w:t>
      </w:r>
      <w:r w:rsidRPr="008A1BD0" w:rsidR="001E7984">
        <w:rPr>
          <w:rFonts w:ascii="Times New Roman" w:hAnsi="Times New Roman" w:cs="Times New Roman"/>
          <w:sz w:val="28"/>
          <w:szCs w:val="28"/>
        </w:rPr>
        <w:t>Снижение доли ВИЭ</w:t>
      </w:r>
      <w:r w:rsidRPr="008A1BD0" w:rsidR="00EE670D">
        <w:rPr>
          <w:rFonts w:ascii="Times New Roman" w:hAnsi="Times New Roman" w:cs="Times New Roman"/>
          <w:sz w:val="28"/>
          <w:szCs w:val="28"/>
        </w:rPr>
        <w:t xml:space="preserve"> </w:t>
      </w:r>
      <w:r w:rsidRPr="008A1BD0" w:rsidR="001E7984">
        <w:rPr>
          <w:rFonts w:ascii="Times New Roman" w:hAnsi="Times New Roman" w:cs="Times New Roman"/>
          <w:sz w:val="28"/>
          <w:szCs w:val="28"/>
        </w:rPr>
        <w:t>АО «</w:t>
      </w:r>
      <w:r w:rsidRPr="008A1BD0" w:rsidR="001E7984">
        <w:rPr>
          <w:rFonts w:ascii="Times New Roman" w:hAnsi="Times New Roman" w:cs="Times New Roman"/>
          <w:sz w:val="28"/>
          <w:szCs w:val="28"/>
        </w:rPr>
        <w:t>Самрук-Энерго</w:t>
      </w:r>
      <w:r w:rsidRPr="008A1BD0" w:rsidR="001E7984">
        <w:rPr>
          <w:rFonts w:ascii="Times New Roman" w:hAnsi="Times New Roman" w:cs="Times New Roman"/>
          <w:sz w:val="28"/>
          <w:szCs w:val="28"/>
        </w:rPr>
        <w:t xml:space="preserve">» в выработке ВИЭ РК </w:t>
      </w:r>
      <w:r w:rsidRPr="008A1BD0" w:rsidR="00EE670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8A1BD0" w:rsidR="001E7984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Pr="008A1BD0" w:rsidR="00EE7B3E">
        <w:rPr>
          <w:rFonts w:ascii="Times New Roman" w:hAnsi="Times New Roman" w:cs="Times New Roman"/>
          <w:sz w:val="28"/>
          <w:szCs w:val="28"/>
        </w:rPr>
        <w:t xml:space="preserve">с </w:t>
      </w:r>
      <w:r w:rsidRPr="008A1BD0" w:rsidR="00EE670D">
        <w:rPr>
          <w:rFonts w:ascii="Times New Roman" w:hAnsi="Times New Roman" w:cs="Times New Roman"/>
          <w:sz w:val="28"/>
          <w:szCs w:val="28"/>
        </w:rPr>
        <w:t>ростом</w:t>
      </w:r>
      <w:r w:rsidRPr="008A1BD0" w:rsidR="001E7984">
        <w:rPr>
          <w:rFonts w:ascii="Times New Roman" w:hAnsi="Times New Roman" w:cs="Times New Roman"/>
          <w:sz w:val="28"/>
          <w:szCs w:val="28"/>
        </w:rPr>
        <w:t xml:space="preserve"> вы</w:t>
      </w:r>
      <w:r w:rsidRPr="008A1BD0" w:rsidR="008D7F55">
        <w:rPr>
          <w:rFonts w:ascii="Times New Roman" w:hAnsi="Times New Roman" w:cs="Times New Roman"/>
          <w:sz w:val="28"/>
          <w:szCs w:val="28"/>
        </w:rPr>
        <w:t xml:space="preserve">работки электроэнергии ВИЭ в РК, а также снижением выработки на </w:t>
      </w:r>
      <w:r w:rsidRPr="008A1BD0" w:rsidR="002B3C9B">
        <w:rPr>
          <w:rFonts w:ascii="Times New Roman" w:hAnsi="Times New Roman" w:cs="Times New Roman"/>
          <w:sz w:val="28"/>
          <w:szCs w:val="28"/>
        </w:rPr>
        <w:t>ТОО «</w:t>
      </w:r>
      <w:r w:rsidRPr="008A1BD0" w:rsidR="002B3C9B">
        <w:rPr>
          <w:rFonts w:ascii="Times New Roman" w:hAnsi="Times New Roman" w:cs="Times New Roman"/>
          <w:sz w:val="28"/>
          <w:szCs w:val="28"/>
        </w:rPr>
        <w:t>Samruk-Green</w:t>
      </w:r>
      <w:r w:rsidRPr="008A1BD0" w:rsidR="002B3C9B">
        <w:rPr>
          <w:rFonts w:ascii="Times New Roman" w:hAnsi="Times New Roman" w:cs="Times New Roman"/>
          <w:sz w:val="28"/>
          <w:szCs w:val="28"/>
        </w:rPr>
        <w:t xml:space="preserve"> </w:t>
      </w:r>
      <w:r w:rsidRPr="008A1BD0" w:rsidR="002B3C9B">
        <w:rPr>
          <w:rFonts w:ascii="Times New Roman" w:hAnsi="Times New Roman" w:cs="Times New Roman"/>
          <w:sz w:val="28"/>
          <w:szCs w:val="28"/>
        </w:rPr>
        <w:t>Energy</w:t>
      </w:r>
      <w:r w:rsidRPr="008A1BD0" w:rsidR="002B3C9B">
        <w:rPr>
          <w:rFonts w:ascii="Times New Roman" w:hAnsi="Times New Roman" w:cs="Times New Roman"/>
          <w:sz w:val="28"/>
          <w:szCs w:val="28"/>
        </w:rPr>
        <w:t xml:space="preserve">» ВЭС </w:t>
      </w:r>
      <w:r w:rsidRPr="008A1BD0" w:rsidR="002B3C9B">
        <w:rPr>
          <w:rFonts w:ascii="Times New Roman" w:hAnsi="Times New Roman" w:cs="Times New Roman"/>
          <w:sz w:val="28"/>
          <w:szCs w:val="28"/>
        </w:rPr>
        <w:t>Шелек</w:t>
      </w:r>
      <w:r w:rsidRPr="008A1BD0" w:rsidR="002B3C9B">
        <w:rPr>
          <w:rFonts w:ascii="Times New Roman" w:hAnsi="Times New Roman" w:cs="Times New Roman"/>
          <w:sz w:val="28"/>
          <w:szCs w:val="28"/>
        </w:rPr>
        <w:t xml:space="preserve"> 5МВт</w:t>
      </w:r>
      <w:r w:rsidRPr="008A1BD0" w:rsidR="008D7F55">
        <w:rPr>
          <w:rFonts w:ascii="Times New Roman" w:hAnsi="Times New Roman" w:cs="Times New Roman"/>
          <w:sz w:val="28"/>
          <w:szCs w:val="28"/>
        </w:rPr>
        <w:t>.</w:t>
      </w:r>
    </w:p>
    <w:p w:rsidR="008364B1" w:rsidRPr="008A1BD0" w:rsidP="00AE2893" w14:paraId="5BC905FC" w14:textId="777777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1BD0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r w:rsidRPr="008A1BD0">
        <w:rPr>
          <w:rFonts w:ascii="Times New Roman" w:hAnsi="Times New Roman" w:cs="Times New Roman"/>
          <w:i/>
          <w:sz w:val="24"/>
          <w:szCs w:val="24"/>
        </w:rPr>
        <w:t>кВтч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974"/>
        <w:gridCol w:w="851"/>
        <w:gridCol w:w="992"/>
        <w:gridCol w:w="851"/>
        <w:gridCol w:w="1134"/>
        <w:gridCol w:w="850"/>
        <w:gridCol w:w="851"/>
      </w:tblGrid>
      <w:tr w14:paraId="191458C7" w14:textId="77777777" w:rsidTr="00BE2375">
        <w:tblPrEx>
          <w:tblW w:w="1006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49F77A60" w14:textId="72C6A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4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361E88F2" w14:textId="77777777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4C787E1C" w14:textId="77777777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458ADBFA" w14:textId="77777777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7D7642" w:rsidRPr="008A1BD0" w:rsidP="00AE2893" w14:paraId="7B25D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7D7642" w:rsidRPr="008A1BD0" w:rsidP="00AE2893" w14:paraId="76B1AB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14:paraId="408075E3" w14:textId="77777777" w:rsidTr="00BE2375">
        <w:tblPrEx>
          <w:tblW w:w="10065" w:type="dxa"/>
          <w:jc w:val="center"/>
          <w:tblLayout w:type="fixed"/>
          <w:tblLook w:val="04A0"/>
        </w:tblPrEx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:rsidR="008D7F55" w:rsidRPr="008A1BD0" w:rsidP="00AE2893" w14:paraId="3C9E9C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:rsidR="008D7F55" w:rsidRPr="008A1BD0" w:rsidP="00AE2893" w14:paraId="2BD50BFE" w14:textId="7777777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:rsidR="008D7F55" w:rsidRPr="008A1BD0" w:rsidP="00AE2893" w14:paraId="2739D961" w14:textId="77777777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 w:rsidRPr="008A1BD0" w:rsidR="00155011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:rsidR="008D7F55" w:rsidRPr="008A1BD0" w:rsidP="00AE2893" w14:paraId="71552A5D" w14:textId="77777777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:rsidR="008D7F55" w:rsidRPr="008A1BD0" w:rsidP="00AE2893" w14:paraId="6B47209A" w14:textId="7777777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 w:rsidRPr="008A1BD0" w:rsidR="00155011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:rsidR="008D7F55" w:rsidRPr="008A1BD0" w:rsidP="00AE2893" w14:paraId="22BAA6AA" w14:textId="77777777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:rsidR="008D7F55" w:rsidRPr="008A1BD0" w:rsidP="00AE2893" w14:paraId="6D987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:rsidR="008D7F55" w:rsidRPr="008A1BD0" w:rsidP="00AE2893" w14:paraId="0E467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14:paraId="68F12F33" w14:textId="77777777" w:rsidTr="00BE2375">
        <w:tblPrEx>
          <w:tblW w:w="10065" w:type="dxa"/>
          <w:jc w:val="center"/>
          <w:tblLayout w:type="fixed"/>
          <w:tblLook w:val="04A0"/>
        </w:tblPrEx>
        <w:trPr>
          <w:trHeight w:val="261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:rsidR="00155011" w:rsidRPr="008A1BD0" w:rsidP="00AE2893" w14:paraId="1B374D40" w14:textId="03DF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4" w:type="dxa"/>
            <w:shd w:val="clear" w:color="auto" w:fill="D9D9D9" w:themeFill="background1" w:themeFillShade="D9"/>
            <w:vAlign w:val="center"/>
            <w:hideMark/>
          </w:tcPr>
          <w:p w:rsidR="00155011" w:rsidRPr="008A1BD0" w:rsidP="00AE2893" w14:paraId="339B442D" w14:textId="7777777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ВИЭ С-Э, </w:t>
            </w:r>
            <w:r w:rsidRPr="008A1BD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 том числе: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55011" w:rsidRPr="008A1BD0" w:rsidP="00AE2893" w14:paraId="669347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102,2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5011" w:rsidRPr="008A1BD0" w:rsidP="00AE2893" w14:paraId="3B2987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8,8%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55011" w:rsidRPr="008A1BD0" w:rsidP="00AE2893" w14:paraId="4336BF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110,7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5011" w:rsidRPr="008A1BD0" w:rsidP="00AE2893" w14:paraId="265B7B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8,0%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155011" w:rsidRPr="008A1BD0" w:rsidP="00AE2893" w14:paraId="1EA7D1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155011" w:rsidRPr="008A1BD0" w:rsidP="00AE2893" w14:paraId="272246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8,3</w:t>
            </w:r>
          </w:p>
        </w:tc>
      </w:tr>
      <w:tr w14:paraId="2193CAF5" w14:textId="77777777" w:rsidTr="00BE2375">
        <w:tblPrEx>
          <w:tblW w:w="10065" w:type="dxa"/>
          <w:jc w:val="center"/>
          <w:tblLayout w:type="fixed"/>
          <w:tblLook w:val="04A0"/>
        </w:tblPrEx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155011" w:rsidRPr="008A1BD0" w:rsidP="00AE2893" w14:paraId="07ACA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155011" w:rsidRPr="008A1BD0" w:rsidP="00AE2893" w14:paraId="06C9A15A" w14:textId="7777777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43,7МВт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55011" w:rsidRPr="008A1BD0" w:rsidP="00AE2893" w14:paraId="003FB6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11" w:rsidRPr="008A1BD0" w:rsidP="00AE2893" w14:paraId="273C33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3,5%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5011" w:rsidRPr="008A1BD0" w:rsidP="00AE2893" w14:paraId="4B82A3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11" w:rsidRPr="008A1BD0" w:rsidP="00AE2893" w14:paraId="6DBFA4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3,2%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5011" w:rsidRPr="008A1BD0" w:rsidP="00AE2893" w14:paraId="6C0A3F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011" w:rsidRPr="008A1BD0" w:rsidP="00AE2893" w14:paraId="60225E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</w:tr>
      <w:tr w14:paraId="3CE43E01" w14:textId="77777777" w:rsidTr="00BE2375">
        <w:tblPrEx>
          <w:tblW w:w="10065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155011" w:rsidRPr="008A1BD0" w:rsidP="00AE2893" w14:paraId="3DDDD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155011" w:rsidRPr="008A1BD0" w:rsidP="00AE2893" w14:paraId="02506CF8" w14:textId="7777777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55011" w:rsidRPr="008A1BD0" w:rsidP="00AE2893" w14:paraId="627121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11" w:rsidRPr="008A1BD0" w:rsidP="00AE2893" w14:paraId="291C9A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0,1%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5011" w:rsidRPr="008A1BD0" w:rsidP="00AE2893" w14:paraId="4951F0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11" w:rsidRPr="008A1BD0" w:rsidP="00AE2893" w14:paraId="677229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5011" w:rsidRPr="008A1BD0" w:rsidP="00AE2893" w14:paraId="219D3F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011" w:rsidRPr="008A1BD0" w:rsidP="00AE2893" w14:paraId="288978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7,7</w:t>
            </w:r>
          </w:p>
        </w:tc>
      </w:tr>
      <w:tr w14:paraId="5763F698" w14:textId="77777777" w:rsidTr="00BE2375">
        <w:tblPrEx>
          <w:tblW w:w="10065" w:type="dxa"/>
          <w:jc w:val="center"/>
          <w:tblLayout w:type="fixed"/>
          <w:tblLook w:val="04A0"/>
        </w:tblPrEx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155011" w:rsidRPr="008A1BD0" w:rsidP="00AE2893" w14:paraId="1B2B7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155011" w:rsidRPr="008A1BD0" w:rsidP="00AE2893" w14:paraId="6E7DB96F" w14:textId="7777777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-Green Energy» 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55011" w:rsidRPr="008A1BD0" w:rsidP="00AE2893" w14:paraId="683FBE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11" w:rsidRPr="008A1BD0" w:rsidP="00AE2893" w14:paraId="707373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0,5%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5011" w:rsidRPr="008A1BD0" w:rsidP="00AE2893" w14:paraId="1820CB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11" w:rsidRPr="008A1BD0" w:rsidP="00AE2893" w14:paraId="3D2A28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0,4%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5011" w:rsidRPr="008A1BD0" w:rsidP="00AE2893" w14:paraId="156D71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011" w:rsidRPr="008A1BD0" w:rsidP="00AE2893" w14:paraId="22B010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-3,6</w:t>
            </w:r>
          </w:p>
        </w:tc>
      </w:tr>
      <w:tr w14:paraId="0DEA663C" w14:textId="77777777" w:rsidTr="00BE2375">
        <w:tblPrEx>
          <w:tblW w:w="10065" w:type="dxa"/>
          <w:jc w:val="center"/>
          <w:tblLayout w:type="fixed"/>
          <w:tblLook w:val="04A0"/>
        </w:tblPrEx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155011" w:rsidRPr="008A1BD0" w:rsidP="00AE2893" w14:paraId="30F810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155011" w:rsidRPr="008A1BD0" w:rsidP="00AE2893" w14:paraId="379B961E" w14:textId="7777777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1B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55011" w:rsidRPr="008A1BD0" w:rsidP="00AE2893" w14:paraId="66DAD9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11" w:rsidRPr="008A1BD0" w:rsidP="00AE2893" w14:paraId="74CE9D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4,7%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5011" w:rsidRPr="008A1BD0" w:rsidP="00AE2893" w14:paraId="358DC0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11" w:rsidRPr="008A1BD0" w:rsidP="00AE2893" w14:paraId="1A20BC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BD0">
              <w:rPr>
                <w:rFonts w:ascii="Times New Roman" w:hAnsi="Times New Roman" w:cs="Times New Roman"/>
              </w:rPr>
              <w:t>4,3%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5011" w:rsidRPr="008A1BD0" w:rsidP="00AE2893" w14:paraId="74E324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011" w:rsidRPr="00AE2893" w:rsidP="00AE2893" w14:paraId="48F8DA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D0">
              <w:rPr>
                <w:rFonts w:ascii="Times New Roman" w:hAnsi="Times New Roman" w:cs="Times New Roman"/>
                <w:b/>
                <w:bCs/>
              </w:rPr>
              <w:t>8,4</w:t>
            </w:r>
          </w:p>
        </w:tc>
      </w:tr>
    </w:tbl>
    <w:p w:rsidR="00155011" w:rsidRPr="00AE2893" w:rsidP="00AE2893" w14:paraId="7460CC88" w14:textId="77777777">
      <w:pPr>
        <w:pStyle w:val="Heading1"/>
        <w:tabs>
          <w:tab w:val="left" w:pos="0"/>
        </w:tabs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0F513C" w:rsidRPr="00AE2893" w:rsidP="008A1BD0" w14:paraId="4FABB45B" w14:textId="41AA17B9">
      <w:pPr>
        <w:pStyle w:val="Heading1"/>
        <w:numPr>
          <w:ilvl w:val="0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3" w:name="_Toc104388620"/>
      <w:bookmarkStart w:id="24" w:name="_Toc65566458"/>
      <w:r w:rsidRPr="00AE2893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23"/>
    </w:p>
    <w:p w:rsidR="00BE07A4" w:rsidRPr="00AE2893" w:rsidP="00AE2893" w14:paraId="0932EFAA" w14:textId="77777777">
      <w:pPr>
        <w:spacing w:after="0" w:line="240" w:lineRule="auto"/>
        <w:rPr>
          <w:rFonts w:ascii="Times New Roman" w:hAnsi="Times New Roman" w:cs="Times New Roman"/>
        </w:rPr>
      </w:pPr>
    </w:p>
    <w:p w:rsidR="00C82DFF" w:rsidRPr="00AE2893" w:rsidP="008A1BD0" w14:paraId="0220EFC1" w14:textId="47A9A51A">
      <w:pPr>
        <w:pStyle w:val="Heading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8A1BD0">
        <w:rPr>
          <w:rFonts w:ascii="Times New Roman" w:hAnsi="Times New Roman" w:cs="Times New Roman"/>
          <w:i/>
          <w:color w:val="auto"/>
          <w:sz w:val="28"/>
        </w:rPr>
        <w:t>5.1</w:t>
      </w:r>
      <w:r w:rsidRPr="00AE2893" w:rsidR="00BE07A4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25" w:name="_Toc104388621"/>
      <w:r w:rsidRPr="00AE2893" w:rsidR="00387115">
        <w:rPr>
          <w:rFonts w:ascii="Times New Roman" w:hAnsi="Times New Roman" w:cs="Times New Roman"/>
          <w:i/>
          <w:color w:val="auto"/>
          <w:sz w:val="28"/>
        </w:rPr>
        <w:t>Статус формировани</w:t>
      </w:r>
      <w:r w:rsidRPr="00AE2893" w:rsidR="005070DF">
        <w:rPr>
          <w:rFonts w:ascii="Times New Roman" w:hAnsi="Times New Roman" w:cs="Times New Roman"/>
          <w:i/>
          <w:color w:val="auto"/>
          <w:sz w:val="28"/>
        </w:rPr>
        <w:t>я</w:t>
      </w:r>
      <w:bookmarkStart w:id="26" w:name="_Toc65566459"/>
      <w:bookmarkEnd w:id="24"/>
      <w:r w:rsidRPr="00AE2893" w:rsidR="00E04969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AE2893" w:rsidR="00387115">
        <w:rPr>
          <w:rFonts w:ascii="Times New Roman" w:hAnsi="Times New Roman" w:cs="Times New Roman"/>
          <w:i/>
          <w:color w:val="auto"/>
          <w:sz w:val="28"/>
        </w:rPr>
        <w:t>Общего электроэнергетического рынка Евразийского экономического союза</w:t>
      </w:r>
      <w:bookmarkEnd w:id="26"/>
      <w:bookmarkEnd w:id="25"/>
    </w:p>
    <w:p w:rsidR="00FB5035" w:rsidRPr="00AE2893" w:rsidP="00AE2893" w14:paraId="449A6BEC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437E65" w:rsidRPr="00AE2893" w:rsidP="00AE2893" w14:paraId="732B0809" w14:textId="77777777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8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электроэнергетический рынок Евразийского экономического союза планируется сформировать путем интеграции национальных рынков электроэнергии </w:t>
      </w:r>
      <w:r w:rsidRPr="00AE28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Армении, Белоруссии, Казахстана, Кыргызстана и России. </w:t>
      </w:r>
      <w:r w:rsidRPr="00AE28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</w:t>
      </w:r>
      <w:r w:rsidRPr="00AE289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 учетом приоритетного обеспечения электрической энергией внутренних потребителей государств-членов</w:t>
      </w:r>
      <w:r w:rsidRPr="00AE28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7E65" w:rsidRPr="00AE2893" w:rsidP="00AE2893" w14:paraId="54E0472A" w14:textId="77777777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89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:rsidR="00F92E9C" w:rsidRPr="00AE2893" w:rsidP="00AE2893" w14:paraId="3B1706E0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893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:rsidR="00F92E9C" w:rsidRPr="00AE2893" w:rsidP="00AE2893" w14:paraId="7D6F996F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8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этого в соответствии с пунктом 42 вышеуказанного международного договора 20 декабря 2019 года Высшим советом принято Решение № 31 «О плане мероприятий, направленных на формирование общего электроэнергетического </w:t>
      </w:r>
      <w:r w:rsidRPr="00AE2893">
        <w:rPr>
          <w:rFonts w:ascii="Times New Roman" w:eastAsia="Calibri" w:hAnsi="Times New Roman" w:cs="Times New Roman"/>
          <w:sz w:val="28"/>
          <w:szCs w:val="28"/>
          <w:lang w:eastAsia="ru-RU"/>
        </w:rPr>
        <w:t>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:rsidR="00437E65" w:rsidRPr="00AE2893" w:rsidP="00AE2893" w14:paraId="3D5E4444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ru-RU"/>
        </w:rPr>
      </w:pPr>
      <w:r w:rsidRPr="00AE2893"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ru-RU"/>
        </w:rPr>
        <w:t>Справочно</w:t>
      </w:r>
      <w:r w:rsidRPr="00AE2893"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ru-RU"/>
        </w:rPr>
        <w:t>:</w:t>
      </w:r>
    </w:p>
    <w:p w:rsidR="00437E65" w:rsidRPr="00AE2893" w:rsidP="00AE2893" w14:paraId="646DB1CD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E289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Протокол определяет правовые основы и принципы формирования, функционирования и развития ОЭР, устанавливает сферы, которые будут урегулированы правилами функционирования ОЭР, а также наделяет полномочиями </w:t>
      </w:r>
      <w:r w:rsidRPr="00AE289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Межправсовета</w:t>
      </w:r>
      <w:r w:rsidRPr="00AE289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Совет Комиссии по утверждению актов, регулирующих ОЭР.</w:t>
      </w:r>
    </w:p>
    <w:p w:rsidR="00B11D47" w:rsidRPr="00AE2893" w:rsidP="00AE2893" w14:paraId="5F4B0227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2893">
        <w:rPr>
          <w:rFonts w:ascii="Times New Roman" w:hAnsi="Times New Roman" w:cs="Times New Roman"/>
          <w:sz w:val="28"/>
        </w:rPr>
        <w:t xml:space="preserve">В 2022 году проведено одно заседание </w:t>
      </w:r>
      <w:r w:rsidRPr="008A1BD0">
        <w:rPr>
          <w:rFonts w:ascii="Times New Roman" w:hAnsi="Times New Roman" w:cs="Times New Roman"/>
          <w:sz w:val="28"/>
        </w:rPr>
        <w:t xml:space="preserve">Консультативного комитета по электроэнергетике при Коллегии ЕЭК (17-е заседание 19 января), </w:t>
      </w:r>
      <w:r w:rsidRPr="008A1BD0" w:rsidR="00325437">
        <w:rPr>
          <w:rFonts w:ascii="Times New Roman" w:hAnsi="Times New Roman" w:cs="Times New Roman"/>
          <w:sz w:val="28"/>
        </w:rPr>
        <w:t>5</w:t>
      </w:r>
      <w:r w:rsidRPr="008A1BD0" w:rsidR="00905DFD">
        <w:rPr>
          <w:rFonts w:ascii="Times New Roman" w:hAnsi="Times New Roman" w:cs="Times New Roman"/>
          <w:sz w:val="28"/>
        </w:rPr>
        <w:t xml:space="preserve"> заседани</w:t>
      </w:r>
      <w:r w:rsidRPr="008A1BD0" w:rsidR="006732B9">
        <w:rPr>
          <w:rFonts w:ascii="Times New Roman" w:hAnsi="Times New Roman" w:cs="Times New Roman"/>
          <w:sz w:val="28"/>
        </w:rPr>
        <w:t>й</w:t>
      </w:r>
      <w:r w:rsidRPr="008A1BD0" w:rsidR="00905DFD">
        <w:rPr>
          <w:rFonts w:ascii="Times New Roman" w:hAnsi="Times New Roman" w:cs="Times New Roman"/>
          <w:sz w:val="28"/>
        </w:rPr>
        <w:t xml:space="preserve"> Подкомитета по формированию ОЭР ЕАЭС Консультативного комитета по электроэнергетике при Коллегии ЕЭК (</w:t>
      </w:r>
      <w:r w:rsidRPr="008A1BD0">
        <w:rPr>
          <w:rFonts w:ascii="Times New Roman" w:hAnsi="Times New Roman" w:cs="Times New Roman"/>
          <w:sz w:val="28"/>
        </w:rPr>
        <w:t>79</w:t>
      </w:r>
      <w:r w:rsidRPr="008A1BD0" w:rsidR="00A05CE4">
        <w:rPr>
          <w:rFonts w:ascii="Times New Roman" w:hAnsi="Times New Roman" w:cs="Times New Roman"/>
          <w:sz w:val="28"/>
        </w:rPr>
        <w:t>-е заседан</w:t>
      </w:r>
      <w:r w:rsidRPr="008A1BD0">
        <w:rPr>
          <w:rFonts w:ascii="Times New Roman" w:hAnsi="Times New Roman" w:cs="Times New Roman"/>
          <w:sz w:val="28"/>
        </w:rPr>
        <w:t>ие 13-14</w:t>
      </w:r>
      <w:r w:rsidRPr="008A1BD0" w:rsidR="00A05CE4">
        <w:rPr>
          <w:rFonts w:ascii="Times New Roman" w:hAnsi="Times New Roman" w:cs="Times New Roman"/>
          <w:sz w:val="28"/>
        </w:rPr>
        <w:t xml:space="preserve"> </w:t>
      </w:r>
      <w:r w:rsidRPr="008A1BD0">
        <w:rPr>
          <w:rFonts w:ascii="Times New Roman" w:hAnsi="Times New Roman" w:cs="Times New Roman"/>
          <w:sz w:val="28"/>
        </w:rPr>
        <w:t>января, 80-е заседание 26-27 января</w:t>
      </w:r>
      <w:r w:rsidRPr="008A1BD0" w:rsidR="00D006A0">
        <w:rPr>
          <w:rFonts w:ascii="Times New Roman" w:hAnsi="Times New Roman" w:cs="Times New Roman"/>
          <w:sz w:val="28"/>
        </w:rPr>
        <w:t>, 81-е заседание 11 февраля, 82-е заседание 25 февраля</w:t>
      </w:r>
      <w:r w:rsidRPr="008A1BD0" w:rsidR="00325437">
        <w:rPr>
          <w:rFonts w:ascii="Times New Roman" w:hAnsi="Times New Roman" w:cs="Times New Roman"/>
          <w:sz w:val="28"/>
        </w:rPr>
        <w:t>, 83-е заседание 17-18 марта, 84-е заседание 31 марта</w:t>
      </w:r>
      <w:r w:rsidRPr="008A1BD0" w:rsidR="0087642C">
        <w:rPr>
          <w:rFonts w:ascii="Times New Roman" w:hAnsi="Times New Roman" w:cs="Times New Roman"/>
          <w:sz w:val="28"/>
        </w:rPr>
        <w:t xml:space="preserve">, </w:t>
      </w:r>
      <w:r w:rsidRPr="008A1BD0" w:rsidR="0087642C">
        <w:rPr>
          <w:rFonts w:ascii="Times New Roman" w:hAnsi="Times New Roman" w:cs="Times New Roman"/>
          <w:sz w:val="28"/>
          <w:shd w:val="clear" w:color="auto" w:fill="FFFF00"/>
        </w:rPr>
        <w:t xml:space="preserve">85-е заседание 8 апреля, 86-е заседание </w:t>
      </w:r>
      <w:r w:rsidRPr="008A1BD0" w:rsidR="0087642C">
        <w:rPr>
          <w:rFonts w:ascii="Times New Roman" w:hAnsi="Times New Roman" w:cs="Times New Roman"/>
          <w:sz w:val="28"/>
          <w:shd w:val="clear" w:color="auto" w:fill="FFFF00"/>
        </w:rPr>
        <w:br/>
        <w:t>15 апреля, 87-е заседание 26 апреля</w:t>
      </w:r>
      <w:r w:rsidRPr="008A1BD0" w:rsidR="00F92E9C">
        <w:rPr>
          <w:rFonts w:ascii="Times New Roman" w:hAnsi="Times New Roman" w:cs="Times New Roman"/>
          <w:sz w:val="28"/>
        </w:rPr>
        <w:t>)</w:t>
      </w:r>
      <w:r w:rsidRPr="008A1BD0" w:rsidR="00325437">
        <w:rPr>
          <w:rFonts w:ascii="Times New Roman" w:hAnsi="Times New Roman" w:cs="Times New Roman"/>
          <w:sz w:val="28"/>
        </w:rPr>
        <w:t xml:space="preserve">, а также 4 марта 2022 года принято участие в рабочем совещании казахстанской и российской сторон </w:t>
      </w:r>
      <w:r w:rsidRPr="008A1BD0" w:rsidR="001A23BB">
        <w:rPr>
          <w:rFonts w:ascii="Times New Roman" w:hAnsi="Times New Roman" w:cs="Times New Roman"/>
          <w:sz w:val="28"/>
        </w:rPr>
        <w:t>о порядке регистрации свободных двусторонних договоров при взаимной торговле электрической энергией</w:t>
      </w:r>
      <w:r w:rsidRPr="00AE2893" w:rsidR="001A23BB">
        <w:rPr>
          <w:rFonts w:ascii="Times New Roman" w:hAnsi="Times New Roman" w:cs="Times New Roman"/>
          <w:sz w:val="28"/>
        </w:rPr>
        <w:t xml:space="preserve"> на общем электроэнергетическом рынке Евразийского экономического союза</w:t>
      </w:r>
      <w:r w:rsidRPr="00AE2893" w:rsidR="00325437">
        <w:rPr>
          <w:rFonts w:ascii="Times New Roman" w:hAnsi="Times New Roman" w:cs="Times New Roman"/>
          <w:sz w:val="28"/>
        </w:rPr>
        <w:t xml:space="preserve">. </w:t>
      </w:r>
    </w:p>
    <w:p w:rsidR="008336A4" w:rsidRPr="00AE2893" w:rsidP="00AE2893" w14:paraId="5B9E7599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2893">
        <w:rPr>
          <w:rFonts w:ascii="Times New Roman" w:hAnsi="Times New Roman" w:cs="Times New Roman"/>
          <w:sz w:val="28"/>
        </w:rPr>
        <w:t>В ходе заседаний обсуждены:</w:t>
      </w:r>
    </w:p>
    <w:p w:rsidR="008336A4" w:rsidRPr="00AE2893" w:rsidP="00AE2893" w14:paraId="691249D8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2893">
        <w:rPr>
          <w:rFonts w:ascii="Times New Roman" w:hAnsi="Times New Roman" w:cs="Times New Roman"/>
          <w:sz w:val="28"/>
        </w:rPr>
        <w:t xml:space="preserve">- </w:t>
      </w:r>
      <w:r w:rsidRPr="00AE2893">
        <w:rPr>
          <w:rFonts w:ascii="Times New Roman" w:hAnsi="Times New Roman" w:cs="Times New Roman"/>
          <w:sz w:val="28"/>
        </w:rPr>
        <w:t>тайминг</w:t>
      </w:r>
      <w:r w:rsidRPr="00AE2893">
        <w:rPr>
          <w:rFonts w:ascii="Times New Roman" w:hAnsi="Times New Roman" w:cs="Times New Roman"/>
          <w:sz w:val="28"/>
        </w:rPr>
        <w:t xml:space="preserve"> процессов на ОЭР союза</w:t>
      </w:r>
      <w:r w:rsidRPr="00AE2893" w:rsidR="00DF5F4B">
        <w:rPr>
          <w:rFonts w:ascii="Times New Roman" w:hAnsi="Times New Roman" w:cs="Times New Roman"/>
          <w:sz w:val="28"/>
        </w:rPr>
        <w:t>;</w:t>
      </w:r>
    </w:p>
    <w:p w:rsidR="00DF5F4B" w:rsidRPr="00AE2893" w:rsidP="00AE2893" w14:paraId="7DA7C672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2893">
        <w:rPr>
          <w:rFonts w:ascii="Times New Roman" w:hAnsi="Times New Roman" w:cs="Times New Roman"/>
          <w:sz w:val="28"/>
        </w:rPr>
        <w:t xml:space="preserve">- </w:t>
      </w:r>
      <w:r w:rsidRPr="00AE2893">
        <w:rPr>
          <w:rFonts w:ascii="Times New Roman" w:hAnsi="Times New Roman" w:cs="Times New Roman"/>
          <w:sz w:val="28"/>
          <w:szCs w:val="28"/>
        </w:rPr>
        <w:t xml:space="preserve">возможность установления цен (тарифов) на услуги по торговой и </w:t>
      </w:r>
      <w:r w:rsidRPr="00AE2893">
        <w:rPr>
          <w:rFonts w:ascii="Times New Roman" w:hAnsi="Times New Roman" w:cs="Times New Roman"/>
          <w:sz w:val="28"/>
          <w:szCs w:val="28"/>
        </w:rPr>
        <w:t>внеторговой</w:t>
      </w:r>
      <w:r w:rsidRPr="00AE2893">
        <w:rPr>
          <w:rFonts w:ascii="Times New Roman" w:hAnsi="Times New Roman" w:cs="Times New Roman"/>
          <w:sz w:val="28"/>
          <w:szCs w:val="28"/>
        </w:rPr>
        <w:t xml:space="preserve"> межгосударственной передаче электрической энергии (мощности) на планируемый год, сроках опубликования этих цен (тарифов) и сроках информирования о скорректированных ценах (тарифах) в течение года;</w:t>
      </w:r>
    </w:p>
    <w:p w:rsidR="00DF5F4B" w:rsidRPr="00AE2893" w:rsidP="00AE2893" w14:paraId="2875019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 xml:space="preserve">- сокращение (обнуление) почасовых объемов поставок по срочным контрактам при выявлении технической </w:t>
      </w:r>
      <w:r w:rsidRPr="00AE2893">
        <w:rPr>
          <w:rFonts w:ascii="Times New Roman" w:hAnsi="Times New Roman" w:cs="Times New Roman"/>
          <w:sz w:val="28"/>
          <w:szCs w:val="28"/>
        </w:rPr>
        <w:t>нереализуемости</w:t>
      </w:r>
      <w:r w:rsidRPr="00AE2893">
        <w:rPr>
          <w:rFonts w:ascii="Times New Roman" w:hAnsi="Times New Roman" w:cs="Times New Roman"/>
          <w:sz w:val="28"/>
          <w:szCs w:val="28"/>
        </w:rPr>
        <w:t xml:space="preserve"> сальдо-</w:t>
      </w:r>
      <w:r w:rsidRPr="00AE2893">
        <w:rPr>
          <w:rFonts w:ascii="Times New Roman" w:hAnsi="Times New Roman" w:cs="Times New Roman"/>
          <w:sz w:val="28"/>
          <w:szCs w:val="28"/>
        </w:rPr>
        <w:t>перетоков</w:t>
      </w:r>
      <w:r w:rsidRPr="00AE2893">
        <w:rPr>
          <w:rFonts w:ascii="Times New Roman" w:hAnsi="Times New Roman" w:cs="Times New Roman"/>
          <w:sz w:val="28"/>
          <w:szCs w:val="28"/>
        </w:rPr>
        <w:t xml:space="preserve"> электрической энергии через межгосударственные сечения (внутренние сечения).</w:t>
      </w:r>
    </w:p>
    <w:p w:rsidR="00DF5F4B" w:rsidRPr="00AE2893" w:rsidP="00AE2893" w14:paraId="2BCAF99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93">
        <w:rPr>
          <w:rFonts w:ascii="Times New Roman" w:hAnsi="Times New Roman" w:cs="Times New Roman"/>
          <w:sz w:val="28"/>
        </w:rPr>
        <w:t>На 17</w:t>
      </w:r>
      <w:r w:rsidRPr="00AE2893" w:rsidR="008336A4">
        <w:rPr>
          <w:rFonts w:ascii="Times New Roman" w:hAnsi="Times New Roman" w:cs="Times New Roman"/>
          <w:sz w:val="28"/>
        </w:rPr>
        <w:t xml:space="preserve">-ом заседании рассмотрены следующие вопросы: </w:t>
      </w:r>
    </w:p>
    <w:p w:rsidR="00DF5F4B" w:rsidRPr="00AE2893" w:rsidP="00AE2893" w14:paraId="24D4DEE2" w14:textId="77777777">
      <w:pPr>
        <w:pStyle w:val="ListParagraph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>О несогласованных положениях проекта правил взаимной торговли электрической энергией на общем электроэнергетическом рынке Союза (далее – правила взаимной торговли), в том числе:</w:t>
      </w:r>
    </w:p>
    <w:p w:rsidR="00DF5F4B" w:rsidRPr="00AE2893" w:rsidP="00AE2893" w14:paraId="15774837" w14:textId="7777777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893">
        <w:rPr>
          <w:rFonts w:ascii="Times New Roman" w:hAnsi="Times New Roman" w:cs="Times New Roman"/>
          <w:sz w:val="28"/>
          <w:szCs w:val="28"/>
        </w:rPr>
        <w:t xml:space="preserve">определение понятия </w:t>
      </w:r>
      <w:r w:rsidRPr="00AE2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«коммерческий учет электрической энергии»;</w:t>
      </w:r>
    </w:p>
    <w:p w:rsidR="00DF5F4B" w:rsidRPr="00AE2893" w:rsidP="00AE2893" w14:paraId="1C1A1DBB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>исключение (сохранение) из проекта правил взаимной торговли положения о необходимости компенсации поставщиками и покупателями на внутреннем оптовом электроэнергетическом рынке в соответствии с законодательством соответствующего государства-члена отклонений фактических почасовых объемов производства и потребления (поставки) субъектов внутренних оптовых электроэнергетических рынков от плановых значений, определенных в том числе с учетом сделок на общем электроэнергетическом рынке Евразийского экономического союза (пункт 8 проекта правил взаимной торговли);</w:t>
      </w:r>
    </w:p>
    <w:p w:rsidR="00DF5F4B" w:rsidRPr="00AE2893" w:rsidP="00AE2893" w14:paraId="30F347CE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>порядок регистрации свободных двусторонних договоров (предложение РФ) (пункты 38, 40, 41 проекта правил взаимной торговли);</w:t>
      </w:r>
    </w:p>
    <w:p w:rsidR="00DF5F4B" w:rsidRPr="00AE2893" w:rsidP="00AE2893" w14:paraId="00167E82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>исключение (сохранение) из проекта правил взаимной торговли положения о внешнем балансировании в качестве одной из составляющих величины почасовых отклонений сальдо-</w:t>
      </w:r>
      <w:r w:rsidRPr="00AE2893">
        <w:rPr>
          <w:rFonts w:ascii="Times New Roman" w:hAnsi="Times New Roman" w:cs="Times New Roman"/>
          <w:sz w:val="28"/>
          <w:szCs w:val="28"/>
        </w:rPr>
        <w:t>перетоков</w:t>
      </w:r>
      <w:r w:rsidRPr="00AE2893">
        <w:rPr>
          <w:rFonts w:ascii="Times New Roman" w:hAnsi="Times New Roman" w:cs="Times New Roman"/>
          <w:sz w:val="28"/>
          <w:szCs w:val="28"/>
        </w:rPr>
        <w:t xml:space="preserve"> электрической энергии в межгосударственном </w:t>
      </w:r>
      <w:r w:rsidRPr="00AE2893">
        <w:rPr>
          <w:rFonts w:ascii="Times New Roman" w:hAnsi="Times New Roman" w:cs="Times New Roman"/>
          <w:sz w:val="28"/>
          <w:szCs w:val="28"/>
        </w:rPr>
        <w:t>сечении для каждого часа расчетного периода (пункты 89, 90 проекта правил взаимной торговли);</w:t>
      </w:r>
    </w:p>
    <w:p w:rsidR="00DF5F4B" w:rsidRPr="00AE2893" w:rsidP="00AE2893" w14:paraId="79FFFE71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 xml:space="preserve">исключение пункта 93, содержащего </w:t>
      </w:r>
      <w:r w:rsidRPr="00AE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r w:rsidRPr="00AE2893">
        <w:rPr>
          <w:rFonts w:ascii="Times New Roman" w:hAnsi="Times New Roman" w:cs="Times New Roman"/>
          <w:color w:val="000000" w:themeColor="text1"/>
          <w:sz w:val="28"/>
        </w:rPr>
        <w:t>равенства</w:t>
      </w:r>
      <w:r w:rsidRPr="00AE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как на покупку, так и на продажу электроэнергии в пределах допустимого диапазона, установленного в соглашениях о параллельной работе, </w:t>
      </w:r>
      <w:r w:rsidRPr="00AE2893">
        <w:rPr>
          <w:rFonts w:ascii="Times New Roman" w:hAnsi="Times New Roman" w:cs="Times New Roman"/>
          <w:sz w:val="28"/>
          <w:szCs w:val="28"/>
        </w:rPr>
        <w:t>при наличии пункта 94 проекта правил взаимной торговли (предложение российской стороны).</w:t>
      </w:r>
    </w:p>
    <w:p w:rsidR="00DF5F4B" w:rsidRPr="00AE2893" w:rsidP="00AE2893" w14:paraId="6CD11E40" w14:textId="77777777">
      <w:pPr>
        <w:pStyle w:val="ListParagraph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>О несогласованных положениях проекта правил доступа к услугам по межгосударственной передаче электрической энергии (мощности) в рамках Евразийского экономического союза (далее – правила доступа), в том числе:</w:t>
      </w:r>
    </w:p>
    <w:p w:rsidR="00DF5F4B" w:rsidRPr="00AE2893" w:rsidP="00AE2893" w14:paraId="2D8265C7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 xml:space="preserve">уточнение условия «наличие у лица, обратившегося за заключением такого договора, невыполненных обязательств об оплате услуги по </w:t>
      </w:r>
      <w:r w:rsidRPr="00AE2893">
        <w:rPr>
          <w:rFonts w:ascii="Times New Roman" w:hAnsi="Times New Roman" w:cs="Times New Roman"/>
          <w:sz w:val="28"/>
          <w:szCs w:val="28"/>
        </w:rPr>
        <w:t>внеторговой</w:t>
      </w:r>
      <w:r w:rsidRPr="00AE2893">
        <w:rPr>
          <w:rFonts w:ascii="Times New Roman" w:hAnsi="Times New Roman" w:cs="Times New Roman"/>
          <w:sz w:val="28"/>
          <w:szCs w:val="28"/>
        </w:rPr>
        <w:t xml:space="preserve"> межгосударственной передаче электрической энергии (мощности)», при котором организация, уполномоченная на </w:t>
      </w:r>
      <w:r w:rsidRPr="00AE2893">
        <w:rPr>
          <w:rFonts w:ascii="Times New Roman" w:hAnsi="Times New Roman" w:cs="Times New Roman"/>
          <w:sz w:val="28"/>
          <w:szCs w:val="28"/>
        </w:rPr>
        <w:t>внеторговую</w:t>
      </w:r>
      <w:r w:rsidRPr="00AE2893">
        <w:rPr>
          <w:rFonts w:ascii="Times New Roman" w:hAnsi="Times New Roman" w:cs="Times New Roman"/>
          <w:sz w:val="28"/>
          <w:szCs w:val="28"/>
        </w:rPr>
        <w:t xml:space="preserve"> межгосударственную передачу, вправе отказаться от заключения договора </w:t>
      </w:r>
      <w:r w:rsidRPr="00AE2893">
        <w:rPr>
          <w:rFonts w:ascii="Times New Roman" w:hAnsi="Times New Roman" w:cs="Times New Roman"/>
          <w:sz w:val="28"/>
          <w:szCs w:val="28"/>
        </w:rPr>
        <w:t>внеторговой</w:t>
      </w:r>
      <w:r w:rsidRPr="00AE2893">
        <w:rPr>
          <w:rFonts w:ascii="Times New Roman" w:hAnsi="Times New Roman" w:cs="Times New Roman"/>
          <w:sz w:val="28"/>
          <w:szCs w:val="28"/>
        </w:rPr>
        <w:t xml:space="preserve"> межгосударственной передачи фразой «в отношении объемов, не вызывающих разногласие </w:t>
      </w:r>
      <w:r w:rsidRPr="00AE2893" w:rsidR="00F92E9C">
        <w:rPr>
          <w:rFonts w:ascii="Times New Roman" w:hAnsi="Times New Roman" w:cs="Times New Roman"/>
          <w:sz w:val="28"/>
          <w:szCs w:val="28"/>
        </w:rPr>
        <w:t>сторон, по</w:t>
      </w:r>
      <w:r w:rsidRPr="00AE2893">
        <w:rPr>
          <w:rFonts w:ascii="Times New Roman" w:hAnsi="Times New Roman" w:cs="Times New Roman"/>
          <w:sz w:val="28"/>
          <w:szCs w:val="28"/>
        </w:rPr>
        <w:t xml:space="preserve"> ранее заключенным договорам» (пункт 17 проекта правил доступа);</w:t>
      </w:r>
    </w:p>
    <w:p w:rsidR="00DF5F4B" w:rsidRPr="00AE2893" w:rsidP="00AE2893" w14:paraId="7E8745C0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93">
        <w:rPr>
          <w:rFonts w:ascii="Times New Roman" w:hAnsi="Times New Roman" w:cs="Times New Roman"/>
          <w:sz w:val="28"/>
          <w:szCs w:val="28"/>
        </w:rPr>
        <w:t>исключение (сохранение) из проекта правил доступа положения о том, что межгосударственная передача электрической энергии (мощности) в интересах субъектов электроэнергетики третьих государств (поставки в третьи государства и между третьими государствами, передача из одной части третьего государства в другую его часть) регулируется в соответствии с пунктом 2 Протокола об общем электроэнергетическом рынке Союза (пункт 34 проекта правил доступа).</w:t>
      </w:r>
    </w:p>
    <w:p w:rsidR="002668FB" w:rsidRPr="00AE2893" w:rsidP="00AE2893" w14:paraId="5E6BB8D5" w14:textId="423D1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2893">
        <w:rPr>
          <w:rFonts w:ascii="Times New Roman" w:hAnsi="Times New Roman" w:cs="Times New Roman"/>
          <w:sz w:val="28"/>
        </w:rPr>
        <w:t xml:space="preserve">Работа по формированию общего электроэнергетического рынка Евразийского экономического союза продолжается. </w:t>
      </w:r>
    </w:p>
    <w:p w:rsidR="00DC6278" w:rsidRPr="00AE2893" w:rsidP="00AE2893" w14:paraId="3DC85644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06A6" w:rsidRPr="00AE2893" w:rsidP="008A1BD0" w14:paraId="659E9DBE" w14:textId="3059CE88">
      <w:pPr>
        <w:pStyle w:val="Heading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27" w:name="_Toc525902070"/>
      <w:bookmarkStart w:id="28" w:name="_Toc2326695"/>
      <w:bookmarkStart w:id="29" w:name="_Toc65566462"/>
      <w:r w:rsidRPr="008A1BD0">
        <w:rPr>
          <w:rFonts w:ascii="Times New Roman" w:hAnsi="Times New Roman" w:cs="Times New Roman"/>
          <w:i/>
          <w:color w:val="auto"/>
          <w:sz w:val="28"/>
        </w:rPr>
        <w:t>5.</w:t>
      </w:r>
      <w:r w:rsidRPr="009A3DA3" w:rsidR="009A3DA3">
        <w:rPr>
          <w:rFonts w:ascii="Times New Roman" w:hAnsi="Times New Roman" w:cs="Times New Roman"/>
          <w:i/>
          <w:color w:val="auto"/>
          <w:sz w:val="28"/>
        </w:rPr>
        <w:t>2</w:t>
      </w:r>
      <w:r w:rsidRPr="00AE2893" w:rsidR="002668FB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30" w:name="_Toc104388622"/>
      <w:r w:rsidRPr="00AE2893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27"/>
      <w:bookmarkEnd w:id="28"/>
      <w:bookmarkEnd w:id="29"/>
      <w:bookmarkEnd w:id="30"/>
    </w:p>
    <w:p w:rsidR="004506A6" w:rsidRPr="00AE2893" w:rsidP="00AE2893" w14:paraId="11165E1D" w14:textId="77777777">
      <w:pPr>
        <w:pStyle w:val="ListParagraph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1BD0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Pr="008A1BD0" w:rsidR="00F92E9C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:rsidR="00876149" w:rsidRPr="00AE2893" w:rsidP="00AE2893" w14:paraId="78D25248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0D" w:rsidRPr="008A1BD0" w:rsidP="00AE2893" w14:paraId="09583F1E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АРМЕНИЯ</w:t>
      </w:r>
    </w:p>
    <w:p w:rsidR="001F20B8" w:rsidRPr="008A1BD0" w:rsidP="00AE2893" w14:paraId="3090D237" w14:textId="4882AC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 xml:space="preserve">В Армении </w:t>
      </w:r>
      <w:r w:rsidRPr="008A1BD0">
        <w:rPr>
          <w:rFonts w:eastAsiaTheme="minorHAnsi"/>
          <w:b/>
          <w:sz w:val="28"/>
          <w:szCs w:val="28"/>
          <w:lang w:eastAsia="en-US"/>
        </w:rPr>
        <w:t>либерализировали</w:t>
      </w:r>
      <w:r w:rsidRPr="008A1BD0">
        <w:rPr>
          <w:rFonts w:eastAsiaTheme="minorHAnsi"/>
          <w:b/>
          <w:sz w:val="28"/>
          <w:szCs w:val="28"/>
          <w:lang w:eastAsia="en-US"/>
        </w:rPr>
        <w:t xml:space="preserve"> оптовый </w:t>
      </w:r>
      <w:r w:rsidRPr="008A1BD0">
        <w:rPr>
          <w:rFonts w:eastAsiaTheme="minorHAnsi"/>
          <w:b/>
          <w:sz w:val="28"/>
          <w:szCs w:val="28"/>
          <w:lang w:eastAsia="en-US"/>
        </w:rPr>
        <w:t>энергорынок</w:t>
      </w:r>
      <w:r w:rsidRPr="008A1BD0">
        <w:rPr>
          <w:rFonts w:eastAsiaTheme="minorHAnsi"/>
          <w:b/>
          <w:sz w:val="28"/>
          <w:szCs w:val="28"/>
          <w:lang w:eastAsia="en-US"/>
        </w:rPr>
        <w:t>: потребители могут покупать электроэнергию у поставщиков по договорной цене.</w:t>
      </w:r>
      <w:r w:rsidRPr="008A1BD0">
        <w:rPr>
          <w:rFonts w:eastAsiaTheme="minorHAnsi"/>
          <w:sz w:val="28"/>
          <w:szCs w:val="28"/>
          <w:lang w:eastAsia="en-US"/>
        </w:rPr>
        <w:t xml:space="preserve"> Благодаря данной программе, участники рынка впервые смогут участвовать в определении цен (тарифов) на электроэнергию и содействовать гармонизации спроса и предложения. </w:t>
      </w:r>
    </w:p>
    <w:p w:rsidR="001F20B8" w:rsidRPr="008A1BD0" w:rsidP="00AE2893" w14:paraId="6266EC89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i/>
          <w:iCs/>
          <w:sz w:val="28"/>
          <w:szCs w:val="28"/>
          <w:lang w:eastAsia="en-US"/>
        </w:rPr>
        <w:t>О программе</w:t>
      </w:r>
    </w:p>
    <w:p w:rsidR="001F20B8" w:rsidRPr="008A1BD0" w:rsidP="00AE2893" w14:paraId="218D373C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Глобально процесс либерализации </w:t>
      </w:r>
      <w:hyperlink r:id="rId6" w:history="1">
        <w:r w:rsidRPr="008A1BD0">
          <w:rPr>
            <w:rFonts w:eastAsiaTheme="minorHAnsi"/>
            <w:sz w:val="28"/>
            <w:szCs w:val="28"/>
            <w:lang w:eastAsia="en-US"/>
          </w:rPr>
          <w:t>энергорынка</w:t>
        </w:r>
      </w:hyperlink>
      <w:r w:rsidRPr="008A1BD0">
        <w:rPr>
          <w:rFonts w:eastAsiaTheme="minorHAnsi"/>
          <w:sz w:val="28"/>
          <w:szCs w:val="28"/>
          <w:lang w:eastAsia="en-US"/>
        </w:rPr>
        <w:t> Армении начался еще в 2018 году и на данный момент находится на заключительном этапе. Для ее реализации USAID предоставило Армении грант в $8,5 млн. </w:t>
      </w:r>
    </w:p>
    <w:p w:rsidR="001F20B8" w:rsidRPr="008A1BD0" w:rsidP="00AE2893" w14:paraId="418CCF1D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Целями программы является поддержка правительства Армении в проведении реформ рынка электроэнергии, работа над упрощением практики регулирования в Армении с учетом директив ЕС, содействие созданию благоприятной для инвесторов среды для повышения конкурентоспособности, развитие электроэнергетики и региональной торговли.</w:t>
      </w:r>
    </w:p>
    <w:p w:rsidR="001F20B8" w:rsidRPr="008A1BD0" w:rsidP="00AE2893" w14:paraId="51F26EF7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Деятельность "Программы либерализации рынка и торговли электроэнергией" осуществляется в трех ключевых направлениях: развитие электроэнергетического рынка, диверсификация поставок и стимулирование межгосударственной торговли электроэнергией с Грузией. </w:t>
      </w:r>
    </w:p>
    <w:p w:rsidR="00C15C81" w:rsidRPr="008A1BD0" w:rsidP="00AE2893" w14:paraId="363E2DAB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673" w:rsidRPr="008A1BD0" w:rsidP="00AE2893" w14:paraId="0A6AB8D0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:rsidR="003C2FB5" w:rsidRPr="008A1BD0" w:rsidP="00AE2893" w14:paraId="4D39975F" w14:textId="21DC858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 xml:space="preserve">О вводе новых генерирующих мощностей в Республике Казахстан. </w:t>
      </w:r>
      <w:r w:rsidRPr="008A1BD0">
        <w:rPr>
          <w:rFonts w:eastAsiaTheme="minorHAnsi"/>
          <w:sz w:val="28"/>
          <w:szCs w:val="28"/>
          <w:lang w:eastAsia="en-US"/>
        </w:rPr>
        <w:t>В соответствии с поручением Главы государства, Министерством энергетики был разработан Энергетический баланс Республики Казахстан до 2035 года, в рамках которого было выполнено моделирование развития энергетического комплекса с расчетом прогнозных значений производства и потребления электроэнергии, необходимых объемов и структуры ввода новых генерирующих мощностей.</w:t>
      </w:r>
    </w:p>
    <w:p w:rsidR="003C2FB5" w:rsidRPr="008A1BD0" w:rsidP="00AE2893" w14:paraId="3570FD0A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Максимальные электрические нагрузки к 2035 году достигнут уровня 22,7 ГВт. С учетом необходимости обеспечения резерва мощности в объеме до 10%, потребность к 2035 году будет составлять 24 ГВт.</w:t>
      </w:r>
    </w:p>
    <w:p w:rsidR="003C2FB5" w:rsidRPr="008A1BD0" w:rsidP="00AE2893" w14:paraId="34C0057B" w14:textId="5428A8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Согласно Энергетическому балансу, к 2035 году объем потребления электрической энергии составит порядка 153 млрд </w:t>
      </w:r>
      <w:r w:rsidRPr="008A1BD0">
        <w:rPr>
          <w:rFonts w:eastAsiaTheme="minorHAnsi"/>
          <w:sz w:val="28"/>
          <w:szCs w:val="28"/>
          <w:lang w:eastAsia="en-US"/>
        </w:rPr>
        <w:t>кВт·ч</w:t>
      </w:r>
      <w:r w:rsidRPr="008A1BD0">
        <w:rPr>
          <w:rFonts w:eastAsiaTheme="minorHAnsi"/>
          <w:sz w:val="28"/>
          <w:szCs w:val="28"/>
          <w:lang w:eastAsia="en-US"/>
        </w:rPr>
        <w:t xml:space="preserve">. Принимая во внимание объемы электрической мощности, предполагаемые к выбытию по ходу времени, отечественная энергосистема остро нуждается в новых </w:t>
      </w:r>
      <w:r w:rsidRPr="008A1BD0">
        <w:rPr>
          <w:rFonts w:eastAsiaTheme="minorHAnsi"/>
          <w:sz w:val="28"/>
          <w:szCs w:val="28"/>
          <w:lang w:eastAsia="en-US"/>
        </w:rPr>
        <w:t>энергоисточниках</w:t>
      </w:r>
      <w:r w:rsidRPr="008A1BD0">
        <w:rPr>
          <w:rFonts w:eastAsiaTheme="minorHAnsi"/>
          <w:sz w:val="28"/>
          <w:szCs w:val="28"/>
          <w:lang w:eastAsia="en-US"/>
        </w:rPr>
        <w:t>. Также необходимо отметить, что на сектор генерации действует ряд факторов по снижению экологического влияния, в том числе принятые обязательства по сокращению выбросов парниковых газов (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к 2030 году снижение выбросов на 15% к уровню 1990 года</w:t>
      </w:r>
      <w:r w:rsidRPr="008A1BD0">
        <w:rPr>
          <w:rFonts w:eastAsiaTheme="minorHAnsi"/>
          <w:sz w:val="28"/>
          <w:szCs w:val="28"/>
          <w:lang w:eastAsia="en-US"/>
        </w:rPr>
        <w:t>), достижению углеродной нейтральности к 2060 году.</w:t>
      </w:r>
    </w:p>
    <w:p w:rsidR="003C2FB5" w:rsidRPr="008A1BD0" w:rsidP="00AE2893" w14:paraId="459F21FD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этой связи, до 2035 года планируется ввод более 10 ГВт электрической мощности, в том числе порядка 6,5 ГВт объектов по использованию возобновляемых источников энергии преимущественно ветровых станций.</w:t>
      </w:r>
    </w:p>
    <w:p w:rsidR="003C2FB5" w:rsidRPr="008A1BD0" w:rsidP="00AE2893" w14:paraId="04E7CCBE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целях минимизации негативного влияния солнечных и ветряных электростанций на суточный график производства-потребления электроэнергии, планируется внедрение требований по применению объектами ВИЭ систем накопления электроэнергии.</w:t>
      </w:r>
    </w:p>
    <w:p w:rsidR="003C2FB5" w:rsidRPr="008A1BD0" w:rsidP="00AE2893" w14:paraId="4BA642BB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К сожалению, учитывая нестабильность выработки электроэнергии от объектов ВИЭ ввиду зависимости от погодных условий, времени года и суток, невозможно рассматривать их в качестве источников базовой мощности в энергосистеме страны.</w:t>
      </w:r>
    </w:p>
    <w:p w:rsidR="003C2FB5" w:rsidRPr="008A1BD0" w:rsidP="00AE2893" w14:paraId="445AD221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Ввиду повсеместного отказа международных финансовых организаций от финансирования проектов по строительству угольных электростанций, дальнейший ввод новой угольной генерации является ограниченным.</w:t>
      </w:r>
    </w:p>
    <w:p w:rsidR="003C2FB5" w:rsidRPr="008A1BD0" w:rsidP="00AE2893" w14:paraId="6B3C1FCA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этой связи, в Энергетическом балансе страны в качестве нового источника базовой генерации предусмотрена атомная электрическая станция установленной мощностью не менее 2,4 ГВт.</w:t>
      </w:r>
    </w:p>
    <w:p w:rsidR="003C2FB5" w:rsidRPr="008A1BD0" w:rsidP="00AE2893" w14:paraId="759B32B0" w14:textId="728238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>Министерством энергетики Республики Казахстан инициируются поправки в законодательство по усилению функций в части энергетического контроля</w:t>
      </w:r>
    </w:p>
    <w:p w:rsidR="003C2FB5" w:rsidRPr="008A1BD0" w:rsidP="00AE2893" w14:paraId="4253456D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На сегодня в стране функционируют 37 теплоэлектроцентралей (далее - ТЭЦ), 10 из которых находятся в коммунальной собственности 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 xml:space="preserve">(гг. Семей, 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Костанай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Кентау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 xml:space="preserve">, Уральск, Аркалык, Шахтинск, 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Нур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 xml:space="preserve">-Султан, 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Кызылорда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Тараз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)</w:t>
      </w:r>
      <w:r w:rsidRPr="008A1BD0">
        <w:rPr>
          <w:rFonts w:eastAsiaTheme="minorHAnsi"/>
          <w:sz w:val="28"/>
          <w:szCs w:val="28"/>
          <w:lang w:eastAsia="en-US"/>
        </w:rPr>
        <w:t>, 2 – в государственной 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 xml:space="preserve">(ТОО «МАЭК 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Казатомпром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»)</w:t>
      </w:r>
      <w:r w:rsidRPr="008A1BD0">
        <w:rPr>
          <w:rFonts w:eastAsiaTheme="minorHAnsi"/>
          <w:sz w:val="28"/>
          <w:szCs w:val="28"/>
          <w:lang w:eastAsia="en-US"/>
        </w:rPr>
        <w:t xml:space="preserve">, 3 – в </w:t>
      </w:r>
      <w:r w:rsidRPr="008A1BD0">
        <w:rPr>
          <w:rFonts w:eastAsiaTheme="minorHAnsi"/>
          <w:sz w:val="28"/>
          <w:szCs w:val="28"/>
          <w:lang w:eastAsia="en-US"/>
        </w:rPr>
        <w:t>квазигосударственной</w:t>
      </w:r>
      <w:r w:rsidRPr="008A1BD0">
        <w:rPr>
          <w:rFonts w:eastAsiaTheme="minorHAnsi"/>
          <w:sz w:val="28"/>
          <w:szCs w:val="28"/>
          <w:lang w:eastAsia="en-US"/>
        </w:rPr>
        <w:t> 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(АО «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АлЭС</w:t>
      </w:r>
      <w:r w:rsidRPr="008A1BD0">
        <w:rPr>
          <w:rFonts w:eastAsiaTheme="minorHAnsi"/>
          <w:i/>
          <w:iCs/>
          <w:sz w:val="28"/>
          <w:szCs w:val="28"/>
          <w:lang w:eastAsia="en-US"/>
        </w:rPr>
        <w:t>»)</w:t>
      </w:r>
      <w:r w:rsidRPr="008A1BD0">
        <w:rPr>
          <w:rFonts w:eastAsiaTheme="minorHAnsi"/>
          <w:sz w:val="28"/>
          <w:szCs w:val="28"/>
          <w:lang w:eastAsia="en-US"/>
        </w:rPr>
        <w:t> и 22 – в частной собственности.</w:t>
      </w:r>
    </w:p>
    <w:p w:rsidR="003C2FB5" w:rsidRPr="008A1BD0" w:rsidP="00AE2893" w14:paraId="0F9B5113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При этом количество ТЭЦ, эксплуатация которых превышает свыше 50 лет, составляет 28 единиц (76%), свыше 30 лет – 9 единиц (24%).</w:t>
      </w:r>
    </w:p>
    <w:p w:rsidR="003C2FB5" w:rsidRPr="008A1BD0" w:rsidP="00AE2893" w14:paraId="5481FDA6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Средний возраст ТЭЦ составляет 61 год.</w:t>
      </w:r>
    </w:p>
    <w:p w:rsidR="003C2FB5" w:rsidRPr="008A1BD0" w:rsidP="00AE2893" w14:paraId="19ECA88B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В состав 11-ти </w:t>
      </w:r>
      <w:r w:rsidRPr="008A1BD0">
        <w:rPr>
          <w:rFonts w:eastAsiaTheme="minorHAnsi"/>
          <w:sz w:val="28"/>
          <w:szCs w:val="28"/>
          <w:lang w:eastAsia="en-US"/>
        </w:rPr>
        <w:t>энергопредприятий</w:t>
      </w:r>
      <w:r w:rsidRPr="008A1BD0">
        <w:rPr>
          <w:rFonts w:eastAsiaTheme="minorHAnsi"/>
          <w:sz w:val="28"/>
          <w:szCs w:val="28"/>
          <w:lang w:eastAsia="en-US"/>
        </w:rPr>
        <w:t xml:space="preserve">, помимо ТЭЦ, входят магистральные и внутриквартальные тепловые сети в следующих городах: Семей, </w:t>
      </w:r>
      <w:r w:rsidRPr="008A1BD0">
        <w:rPr>
          <w:rFonts w:eastAsiaTheme="minorHAnsi"/>
          <w:sz w:val="28"/>
          <w:szCs w:val="28"/>
          <w:lang w:eastAsia="en-US"/>
        </w:rPr>
        <w:t>Костанай</w:t>
      </w:r>
      <w:r w:rsidRPr="008A1BD0">
        <w:rPr>
          <w:rFonts w:eastAsiaTheme="minorHAnsi"/>
          <w:sz w:val="28"/>
          <w:szCs w:val="28"/>
          <w:lang w:eastAsia="en-US"/>
        </w:rPr>
        <w:t xml:space="preserve">, Усть-Каменогорск, Уральск, Атырау, Актау, Аркалык, </w:t>
      </w:r>
      <w:r w:rsidRPr="008A1BD0">
        <w:rPr>
          <w:rFonts w:eastAsiaTheme="minorHAnsi"/>
          <w:sz w:val="28"/>
          <w:szCs w:val="28"/>
          <w:lang w:eastAsia="en-US"/>
        </w:rPr>
        <w:t>Кызылорда</w:t>
      </w:r>
      <w:r w:rsidRPr="008A1BD0">
        <w:rPr>
          <w:rFonts w:eastAsiaTheme="minorHAnsi"/>
          <w:sz w:val="28"/>
          <w:szCs w:val="28"/>
          <w:lang w:eastAsia="en-US"/>
        </w:rPr>
        <w:t>, Текели и Рудный.</w:t>
      </w:r>
    </w:p>
    <w:p w:rsidR="003C2FB5" w:rsidRPr="008A1BD0" w:rsidP="00AE2893" w14:paraId="270A8ACE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Средний износ основного оборудования ТЭЦ составляет 66%. При этом, износ </w:t>
      </w:r>
      <w:r w:rsidRPr="008A1BD0">
        <w:rPr>
          <w:rFonts w:eastAsiaTheme="minorHAnsi"/>
          <w:sz w:val="28"/>
          <w:szCs w:val="28"/>
          <w:lang w:eastAsia="en-US"/>
        </w:rPr>
        <w:t>энергооборудования</w:t>
      </w:r>
      <w:r w:rsidRPr="008A1BD0">
        <w:rPr>
          <w:rFonts w:eastAsiaTheme="minorHAnsi"/>
          <w:sz w:val="28"/>
          <w:szCs w:val="28"/>
          <w:lang w:eastAsia="en-US"/>
        </w:rPr>
        <w:t xml:space="preserve"> ТЭЦ гг. Уральск, </w:t>
      </w:r>
      <w:r w:rsidRPr="008A1BD0">
        <w:rPr>
          <w:rFonts w:eastAsiaTheme="minorHAnsi"/>
          <w:sz w:val="28"/>
          <w:szCs w:val="28"/>
          <w:lang w:eastAsia="en-US"/>
        </w:rPr>
        <w:t>Тараз</w:t>
      </w:r>
      <w:r w:rsidRPr="008A1BD0">
        <w:rPr>
          <w:rFonts w:eastAsiaTheme="minorHAnsi"/>
          <w:sz w:val="28"/>
          <w:szCs w:val="28"/>
          <w:lang w:eastAsia="en-US"/>
        </w:rPr>
        <w:t xml:space="preserve">, </w:t>
      </w:r>
      <w:r w:rsidRPr="008A1BD0">
        <w:rPr>
          <w:rFonts w:eastAsiaTheme="minorHAnsi"/>
          <w:sz w:val="28"/>
          <w:szCs w:val="28"/>
          <w:lang w:eastAsia="en-US"/>
        </w:rPr>
        <w:t>Кентау</w:t>
      </w:r>
      <w:r w:rsidRPr="008A1BD0">
        <w:rPr>
          <w:rFonts w:eastAsiaTheme="minorHAnsi"/>
          <w:sz w:val="28"/>
          <w:szCs w:val="28"/>
          <w:lang w:eastAsia="en-US"/>
        </w:rPr>
        <w:t xml:space="preserve">, </w:t>
      </w:r>
      <w:r w:rsidRPr="008A1BD0">
        <w:rPr>
          <w:rFonts w:eastAsiaTheme="minorHAnsi"/>
          <w:sz w:val="28"/>
          <w:szCs w:val="28"/>
          <w:lang w:eastAsia="en-US"/>
        </w:rPr>
        <w:t>Кызылорда</w:t>
      </w:r>
      <w:r w:rsidRPr="008A1BD0">
        <w:rPr>
          <w:rFonts w:eastAsiaTheme="minorHAnsi"/>
          <w:sz w:val="28"/>
          <w:szCs w:val="28"/>
          <w:lang w:eastAsia="en-US"/>
        </w:rPr>
        <w:t xml:space="preserve"> и </w:t>
      </w:r>
      <w:r w:rsidRPr="008A1BD0">
        <w:rPr>
          <w:rFonts w:eastAsiaTheme="minorHAnsi"/>
          <w:sz w:val="28"/>
          <w:szCs w:val="28"/>
          <w:lang w:eastAsia="en-US"/>
        </w:rPr>
        <w:t>Степногорск</w:t>
      </w:r>
      <w:r w:rsidRPr="008A1BD0">
        <w:rPr>
          <w:rFonts w:eastAsiaTheme="minorHAnsi"/>
          <w:sz w:val="28"/>
          <w:szCs w:val="28"/>
          <w:lang w:eastAsia="en-US"/>
        </w:rPr>
        <w:t xml:space="preserve"> превышает 80%.</w:t>
      </w:r>
    </w:p>
    <w:p w:rsidR="003C2FB5" w:rsidRPr="008A1BD0" w:rsidP="00AE2893" w14:paraId="5A7BBE0D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рамках проводимой реформы по снижению барьеров для развития бизнеса в 2018 году контроль за энергетическими организациями со стороны государственного органа по энергетическому контролю ослаблен.</w:t>
      </w:r>
    </w:p>
    <w:p w:rsidR="003C2FB5" w:rsidRPr="008A1BD0" w:rsidP="00AE2893" w14:paraId="5836E1EC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этой связи, Министерством энергетики инициируется внесение поправок в законодательство по усилению функций государственного органа по энергетическому контролю, в том числе за исполнением ремонтных кампаний и инвестиционных программ электростанций и сетей.</w:t>
      </w:r>
    </w:p>
    <w:p w:rsidR="003C2FB5" w:rsidRPr="008A1BD0" w:rsidP="00AE2893" w14:paraId="4C85F579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Поправки в законодательство также коснутся вопросов повышения ответственности руководителей электростанций за качество ремонтных работ и целевым использованием средств.</w:t>
      </w:r>
    </w:p>
    <w:p w:rsidR="003C2FB5" w:rsidRPr="008A1BD0" w:rsidP="00AE2893" w14:paraId="4A26FB86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Вместе с тем, на сегодня по поручению Главы Государства начата работа по проведению масштабного технологического аудита </w:t>
      </w:r>
      <w:r w:rsidRPr="008A1BD0">
        <w:rPr>
          <w:rFonts w:eastAsiaTheme="minorHAnsi"/>
          <w:sz w:val="28"/>
          <w:szCs w:val="28"/>
          <w:lang w:eastAsia="en-US"/>
        </w:rPr>
        <w:t>энергопроизводящих</w:t>
      </w:r>
      <w:r w:rsidRPr="008A1BD0">
        <w:rPr>
          <w:rFonts w:eastAsiaTheme="minorHAnsi"/>
          <w:sz w:val="28"/>
          <w:szCs w:val="28"/>
          <w:lang w:eastAsia="en-US"/>
        </w:rPr>
        <w:t xml:space="preserve"> организаций. По результатам данного аудита будет определен перечень мероприятий, направленных на модернизацию электростанций, в том числе по выведению их из эксплуатации.</w:t>
      </w:r>
    </w:p>
    <w:p w:rsidR="003C2FB5" w:rsidRPr="008A1BD0" w:rsidP="00AE2893" w14:paraId="548C11FB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целом, отрасль энергетики испытывает нехватку финансовых средств для реализации инвестиционных проектов на модернизацию, реконструкцию, замену физически и морально устаревшего оборудования, а также на капитальные ремонты оборудования электростанций.</w:t>
      </w:r>
    </w:p>
    <w:p w:rsidR="003C2FB5" w:rsidRPr="008A1BD0" w:rsidP="00AE2893" w14:paraId="1C9A9CE8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Для решения проблем Министерством энергетики Республики Казахстан готовится программа модернизации теплоэлектроцентралей.</w:t>
      </w:r>
    </w:p>
    <w:p w:rsidR="003C2FB5" w:rsidRPr="008A1BD0" w:rsidP="00AE2893" w14:paraId="2A22C8A6" w14:textId="6CE615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>Национальную электрическую сеть Казахстана ожидает кардинальная модернизация.</w:t>
      </w:r>
    </w:p>
    <w:p w:rsidR="003C2FB5" w:rsidRPr="008A1BD0" w:rsidP="00AE2893" w14:paraId="78D947C1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Министерством энергетики страны утвержден Прогнозный баланс электрической энергии и мощности Единой электроэнергетической системы Казахстана (ЕЭС) до 2035 года. Для покрытия перспективного энергопотребления в ЕЭС Республики Казахстан к 2035 году планируется ввести порядка 17,5 ГВт новых генерирующих мощностей. Их структура представлена различными технологиями и местами их размещения.</w:t>
      </w:r>
    </w:p>
    <w:p w:rsidR="003C2FB5" w:rsidRPr="008A1BD0" w:rsidP="00AE2893" w14:paraId="42A2B525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связи с этим АО «KEGOC» сообщает, что приступает к разработке прогнозной модели развития Национальной электрической сети.</w:t>
      </w:r>
    </w:p>
    <w:p w:rsidR="003C2FB5" w:rsidRPr="008A1BD0" w:rsidP="00AE2893" w14:paraId="770C13FF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Масштабная модернизация Национальной электрической сети должна быть синхронизирована с вводом новых генерирующих мощностей, обеспечивая необходимые межрегиональные и межгосударственные </w:t>
      </w:r>
      <w:r w:rsidRPr="008A1BD0">
        <w:rPr>
          <w:rFonts w:eastAsiaTheme="minorHAnsi"/>
          <w:sz w:val="28"/>
          <w:szCs w:val="28"/>
          <w:lang w:eastAsia="en-US"/>
        </w:rPr>
        <w:t>перетоки</w:t>
      </w:r>
      <w:r w:rsidRPr="008A1BD0">
        <w:rPr>
          <w:rFonts w:eastAsiaTheme="minorHAnsi"/>
          <w:sz w:val="28"/>
          <w:szCs w:val="28"/>
          <w:lang w:eastAsia="en-US"/>
        </w:rPr>
        <w:t xml:space="preserve"> электрической энергии.</w:t>
      </w:r>
    </w:p>
    <w:p w:rsidR="003C2FB5" w:rsidRPr="008A1BD0" w:rsidP="00AE2893" w14:paraId="25680963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Будущая конфигурация Национальной электрической сети, используя современные технологии </w:t>
      </w:r>
      <w:r w:rsidRPr="008A1BD0">
        <w:rPr>
          <w:rFonts w:eastAsiaTheme="minorHAnsi"/>
          <w:sz w:val="28"/>
          <w:szCs w:val="28"/>
          <w:lang w:eastAsia="en-US"/>
        </w:rPr>
        <w:t>Smart</w:t>
      </w:r>
      <w:r w:rsidRPr="008A1BD0">
        <w:rPr>
          <w:rFonts w:eastAsiaTheme="minorHAnsi"/>
          <w:sz w:val="28"/>
          <w:szCs w:val="28"/>
          <w:lang w:eastAsia="en-US"/>
        </w:rPr>
        <w:t xml:space="preserve"> </w:t>
      </w:r>
      <w:r w:rsidRPr="008A1BD0">
        <w:rPr>
          <w:rFonts w:eastAsiaTheme="minorHAnsi"/>
          <w:sz w:val="28"/>
          <w:szCs w:val="28"/>
          <w:lang w:eastAsia="en-US"/>
        </w:rPr>
        <w:t>Grid</w:t>
      </w:r>
      <w:r w:rsidRPr="008A1BD0">
        <w:rPr>
          <w:rFonts w:eastAsiaTheme="minorHAnsi"/>
          <w:sz w:val="28"/>
          <w:szCs w:val="28"/>
          <w:lang w:eastAsia="en-US"/>
        </w:rPr>
        <w:t xml:space="preserve">, должна обеспечить энергетическую безопасность страны создавая условия объединения западной энергетической зоны с ЕЭС Казахстана, усиления южной энергетической зоны с возможностью работы, </w:t>
      </w:r>
      <w:r w:rsidRPr="008A1BD0">
        <w:rPr>
          <w:rFonts w:eastAsiaTheme="minorHAnsi"/>
          <w:sz w:val="28"/>
          <w:szCs w:val="28"/>
          <w:lang w:eastAsia="en-US"/>
        </w:rPr>
        <w:t xml:space="preserve">при необходимости, раздельно от объединенной энергосистемы Центральной Азии, широкомасштабное вовлечение в энергобаланс возобновляемых источников энергии западного, восточного и южного регионов страны, включая уникальный ветровой потенциал </w:t>
      </w:r>
      <w:r w:rsidRPr="008A1BD0">
        <w:rPr>
          <w:rFonts w:eastAsiaTheme="minorHAnsi"/>
          <w:sz w:val="28"/>
          <w:szCs w:val="28"/>
          <w:lang w:eastAsia="en-US"/>
        </w:rPr>
        <w:t>Джунгарских</w:t>
      </w:r>
      <w:r w:rsidRPr="008A1BD0">
        <w:rPr>
          <w:rFonts w:eastAsiaTheme="minorHAnsi"/>
          <w:sz w:val="28"/>
          <w:szCs w:val="28"/>
          <w:lang w:eastAsia="en-US"/>
        </w:rPr>
        <w:t xml:space="preserve"> ворот и </w:t>
      </w:r>
      <w:r w:rsidRPr="008A1BD0">
        <w:rPr>
          <w:rFonts w:eastAsiaTheme="minorHAnsi"/>
          <w:sz w:val="28"/>
          <w:szCs w:val="28"/>
          <w:lang w:eastAsia="en-US"/>
        </w:rPr>
        <w:t>Шелекского</w:t>
      </w:r>
      <w:r w:rsidRPr="008A1BD0">
        <w:rPr>
          <w:rFonts w:eastAsiaTheme="minorHAnsi"/>
          <w:sz w:val="28"/>
          <w:szCs w:val="28"/>
          <w:lang w:eastAsia="en-US"/>
        </w:rPr>
        <w:t xml:space="preserve"> коридора путем строительства необходимой сетевой инфраструктуры и внедрения систем аккумулирования энергии.</w:t>
      </w:r>
    </w:p>
    <w:p w:rsidR="00C5239A" w:rsidRPr="008A1BD0" w:rsidP="00AE2893" w14:paraId="2B49C88B" w14:textId="0EA7E71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 xml:space="preserve">Разницу между тарифами на электроэнергию планируют сократить в Казахстане. </w:t>
      </w:r>
      <w:r w:rsidRPr="008A1BD0">
        <w:rPr>
          <w:rFonts w:eastAsiaTheme="minorHAnsi"/>
          <w:sz w:val="28"/>
          <w:szCs w:val="28"/>
          <w:lang w:eastAsia="en-US"/>
        </w:rPr>
        <w:t xml:space="preserve">Модель Единого закупщика электроэнергии не будет внедрена в Казахстане. </w:t>
      </w:r>
      <w:r w:rsidRPr="008A1BD0" w:rsidR="00AD3336">
        <w:rPr>
          <w:rFonts w:eastAsiaTheme="minorHAnsi"/>
          <w:sz w:val="28"/>
          <w:szCs w:val="28"/>
          <w:lang w:eastAsia="en-US"/>
        </w:rPr>
        <w:t>В</w:t>
      </w:r>
      <w:r w:rsidRPr="008A1BD0">
        <w:rPr>
          <w:rFonts w:eastAsiaTheme="minorHAnsi"/>
          <w:sz w:val="28"/>
          <w:szCs w:val="28"/>
          <w:lang w:eastAsia="en-US"/>
        </w:rPr>
        <w:t xml:space="preserve"> соответствии с Национальным проектом по развитию предпринимательства на 2021-2025 годы, предусмотрено поэтапное сокращение разницы и отмена дифференциации тарифов между группами потребителей на услуги электроснабжения, что также в значительной степени может отразиться на тарифах на электрическую энергию, в первую очередь для населения</w:t>
      </w:r>
      <w:r w:rsidRPr="008A1BD0" w:rsidR="00AD3336">
        <w:rPr>
          <w:rFonts w:eastAsiaTheme="minorHAnsi"/>
          <w:sz w:val="28"/>
          <w:szCs w:val="28"/>
          <w:lang w:eastAsia="en-US"/>
        </w:rPr>
        <w:t>.</w:t>
      </w:r>
    </w:p>
    <w:p w:rsidR="00C5239A" w:rsidRPr="008A1BD0" w:rsidP="00AE2893" w14:paraId="489F5224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связи с чем, Министерством национальной экономики комплексно прорабатывается вопрос возможного безболезненного сокращения для населения разницы дифференцированных тарифов, с учетом специфики всех регионов страны и сложившихся в них экономических обстоятельств.</w:t>
      </w:r>
    </w:p>
    <w:p w:rsidR="00C5239A" w:rsidRPr="008A1BD0" w:rsidP="00AE2893" w14:paraId="231EFA29" w14:textId="27B3CB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</w:t>
      </w:r>
      <w:r w:rsidRPr="008A1BD0">
        <w:rPr>
          <w:rFonts w:eastAsiaTheme="minorHAnsi"/>
          <w:sz w:val="28"/>
          <w:szCs w:val="28"/>
          <w:lang w:eastAsia="en-US"/>
        </w:rPr>
        <w:t>недрение модели Единого закупщика является современным решением, однако требует значительной проработки и детального всестороннего изучения с учетом интересов населения и бизнеса. По этой причине срочный переход к модели Единого закупщика зампремьера назвал преждевременным.</w:t>
      </w:r>
    </w:p>
    <w:p w:rsidR="00337673" w:rsidRPr="008A1BD0" w:rsidP="00AE2893" w14:paraId="522D8C70" w14:textId="777777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673" w:rsidRPr="008A1BD0" w:rsidP="00AE2893" w14:paraId="3871874B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:rsidR="00876149" w:rsidRPr="008A1BD0" w:rsidP="00AE2893" w14:paraId="14818F85" w14:textId="76A425C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 xml:space="preserve">Минэнерго Кыргызской Республики выдало 90 компаниям разрешения для строительства солнечных, ветряных электростанций и малых ГЭС. </w:t>
      </w:r>
      <w:r w:rsidRPr="008A1BD0">
        <w:rPr>
          <w:rFonts w:eastAsiaTheme="minorHAnsi"/>
          <w:sz w:val="28"/>
          <w:szCs w:val="28"/>
          <w:lang w:eastAsia="en-US"/>
        </w:rPr>
        <w:t xml:space="preserve"> На сегодня 90 компания</w:t>
      </w:r>
      <w:r w:rsidRPr="008A1BD0" w:rsidR="001F20B8">
        <w:rPr>
          <w:rFonts w:eastAsiaTheme="minorHAnsi"/>
          <w:sz w:val="28"/>
          <w:szCs w:val="28"/>
          <w:lang w:eastAsia="en-US"/>
        </w:rPr>
        <w:t>м было выдано 149 свидетельств (</w:t>
      </w:r>
      <w:r w:rsidRPr="008A1BD0">
        <w:rPr>
          <w:rFonts w:eastAsiaTheme="minorHAnsi"/>
          <w:sz w:val="28"/>
          <w:szCs w:val="28"/>
          <w:lang w:eastAsia="en-US"/>
        </w:rPr>
        <w:t>для строительства электростанций</w:t>
      </w:r>
      <w:r w:rsidRPr="008A1BD0" w:rsidR="001F20B8">
        <w:rPr>
          <w:rFonts w:eastAsiaTheme="minorHAnsi"/>
          <w:sz w:val="28"/>
          <w:szCs w:val="28"/>
          <w:lang w:eastAsia="en-US"/>
        </w:rPr>
        <w:t>)</w:t>
      </w:r>
      <w:r w:rsidRPr="008A1BD0">
        <w:rPr>
          <w:rFonts w:eastAsiaTheme="minorHAnsi"/>
          <w:sz w:val="28"/>
          <w:szCs w:val="28"/>
          <w:lang w:eastAsia="en-US"/>
        </w:rPr>
        <w:t xml:space="preserve"> на общую мощность в 3726 МВт. Это почти соответствует всей генерации в Кыргызстане.</w:t>
      </w:r>
    </w:p>
    <w:p w:rsidR="005901A4" w:rsidRPr="008A1BD0" w:rsidP="00AE2893" w14:paraId="59106C98" w14:textId="44D7070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 xml:space="preserve">Кыргызстан рассчитывает до 2030 года увеличить мощность своих ГЭС на 6 ГВт. </w:t>
      </w:r>
    </w:p>
    <w:p w:rsidR="005901A4" w:rsidRPr="008A1BD0" w:rsidP="00AE2893" w14:paraId="62BDF7A9" w14:textId="6CD20A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Правительство Кыргызстана планирует до 2030 года увеличить гидроэнергетический потенциал республики на 6 ГВт. Около 70% гидроэнергетического потенциала нашей страны остаются нереализованными. В целях освоения данного потенциала определены приоритетные проекты по развитию гидроэнергетики мощностью более 6 ГВт до 2030 года.</w:t>
      </w:r>
    </w:p>
    <w:p w:rsidR="005901A4" w:rsidRPr="008A1BD0" w:rsidP="00AE2893" w14:paraId="379638BF" w14:textId="3D6E20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рамках реализации этих планов в ближайшее время начнется строительство крупной ГЭС "Камбар-Ата-1", что позволит увеличить объем имеющегося на ГЭС "Камбар-Ата-2" водохранилища до 6 млрд кубометров. Что, в свою очередь, приведет к увеличению объемов вырабатываемого на этих станциях электричества.</w:t>
      </w:r>
    </w:p>
    <w:p w:rsidR="00222912" w:rsidRPr="008A1BD0" w:rsidP="00AE2893" w14:paraId="3BE2965F" w14:textId="567E64B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>Информация о ходе строительства CASA-1000 в Кыргызстане</w:t>
      </w:r>
    </w:p>
    <w:p w:rsidR="00222912" w:rsidRPr="008A1BD0" w:rsidP="00AE2893" w14:paraId="1A7C2259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В рамках реализации проекта CASA-1000 в Кыргызстане идет строительство ЛЭП 500 </w:t>
      </w:r>
      <w:r w:rsidRPr="008A1BD0">
        <w:rPr>
          <w:rFonts w:eastAsiaTheme="minorHAnsi"/>
          <w:sz w:val="28"/>
          <w:szCs w:val="28"/>
          <w:lang w:eastAsia="en-US"/>
        </w:rPr>
        <w:t>кВ.</w:t>
      </w:r>
    </w:p>
    <w:p w:rsidR="00222912" w:rsidRPr="008A1BD0" w:rsidP="00AE2893" w14:paraId="273E7C29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В общей сложности в Кыргызстане будет проложено 455,6 километров ЛЭП от ячейки 500 </w:t>
      </w:r>
      <w:r w:rsidRPr="008A1BD0">
        <w:rPr>
          <w:rFonts w:eastAsiaTheme="minorHAnsi"/>
          <w:sz w:val="28"/>
          <w:szCs w:val="28"/>
          <w:lang w:eastAsia="en-US"/>
        </w:rPr>
        <w:t>кВ</w:t>
      </w:r>
      <w:r w:rsidRPr="008A1BD0">
        <w:rPr>
          <w:rFonts w:eastAsiaTheme="minorHAnsi"/>
          <w:sz w:val="28"/>
          <w:szCs w:val="28"/>
          <w:lang w:eastAsia="en-US"/>
        </w:rPr>
        <w:t xml:space="preserve">, которая будет построена специально для этой ЛЭП на подстанции 500 </w:t>
      </w:r>
      <w:r w:rsidRPr="008A1BD0">
        <w:rPr>
          <w:rFonts w:eastAsiaTheme="minorHAnsi"/>
          <w:sz w:val="28"/>
          <w:szCs w:val="28"/>
          <w:lang w:eastAsia="en-US"/>
        </w:rPr>
        <w:t>кВ</w:t>
      </w:r>
      <w:r w:rsidRPr="008A1BD0">
        <w:rPr>
          <w:rFonts w:eastAsiaTheme="minorHAnsi"/>
          <w:sz w:val="28"/>
          <w:szCs w:val="28"/>
          <w:lang w:eastAsia="en-US"/>
        </w:rPr>
        <w:t xml:space="preserve"> «</w:t>
      </w:r>
      <w:r w:rsidRPr="008A1BD0">
        <w:rPr>
          <w:rFonts w:eastAsiaTheme="minorHAnsi"/>
          <w:sz w:val="28"/>
          <w:szCs w:val="28"/>
          <w:lang w:eastAsia="en-US"/>
        </w:rPr>
        <w:t>Датка</w:t>
      </w:r>
      <w:r w:rsidRPr="008A1BD0">
        <w:rPr>
          <w:rFonts w:eastAsiaTheme="minorHAnsi"/>
          <w:sz w:val="28"/>
          <w:szCs w:val="28"/>
          <w:lang w:eastAsia="en-US"/>
        </w:rPr>
        <w:t xml:space="preserve">», от которой линия протянется через </w:t>
      </w:r>
      <w:r w:rsidRPr="008A1BD0">
        <w:rPr>
          <w:rFonts w:eastAsiaTheme="minorHAnsi"/>
          <w:sz w:val="28"/>
          <w:szCs w:val="28"/>
          <w:lang w:eastAsia="en-US"/>
        </w:rPr>
        <w:t>Джалал-Абадскую</w:t>
      </w:r>
      <w:r w:rsidRPr="008A1BD0">
        <w:rPr>
          <w:rFonts w:eastAsiaTheme="minorHAnsi"/>
          <w:sz w:val="28"/>
          <w:szCs w:val="28"/>
          <w:lang w:eastAsia="en-US"/>
        </w:rPr>
        <w:t xml:space="preserve">, </w:t>
      </w:r>
      <w:r w:rsidRPr="008A1BD0">
        <w:rPr>
          <w:rFonts w:eastAsiaTheme="minorHAnsi"/>
          <w:sz w:val="28"/>
          <w:szCs w:val="28"/>
          <w:lang w:eastAsia="en-US"/>
        </w:rPr>
        <w:t>Ошскую</w:t>
      </w:r>
      <w:r w:rsidRPr="008A1BD0">
        <w:rPr>
          <w:rFonts w:eastAsiaTheme="minorHAnsi"/>
          <w:sz w:val="28"/>
          <w:szCs w:val="28"/>
          <w:lang w:eastAsia="en-US"/>
        </w:rPr>
        <w:t xml:space="preserve"> и </w:t>
      </w:r>
      <w:r w:rsidRPr="008A1BD0">
        <w:rPr>
          <w:rFonts w:eastAsiaTheme="minorHAnsi"/>
          <w:sz w:val="28"/>
          <w:szCs w:val="28"/>
          <w:lang w:eastAsia="en-US"/>
        </w:rPr>
        <w:t>Баткенскую</w:t>
      </w:r>
      <w:r w:rsidRPr="008A1BD0">
        <w:rPr>
          <w:rFonts w:eastAsiaTheme="minorHAnsi"/>
          <w:sz w:val="28"/>
          <w:szCs w:val="28"/>
          <w:lang w:eastAsia="en-US"/>
        </w:rPr>
        <w:t xml:space="preserve"> области до границы с Таджикистаном.</w:t>
      </w:r>
    </w:p>
    <w:p w:rsidR="00222912" w:rsidRPr="008A1BD0" w:rsidP="00AE2893" w14:paraId="7FDDB88A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Строительство подъездных путей к местам строительства опор выполнено к 955 опорам (76%), рытье котлованов под опоры – 897 (72%), армирование и заливка бетона – 742 (59%), монтаж опор – 436 (35%). Всего по проекту будет построено 1241 опор.</w:t>
      </w:r>
    </w:p>
    <w:p w:rsidR="00222912" w:rsidRPr="008A1BD0" w:rsidP="00AE2893" w14:paraId="77FD7E9D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В настоящее время активная работа ведется в </w:t>
      </w:r>
      <w:r w:rsidRPr="008A1BD0">
        <w:rPr>
          <w:rFonts w:eastAsiaTheme="minorHAnsi"/>
          <w:sz w:val="28"/>
          <w:szCs w:val="28"/>
          <w:lang w:eastAsia="en-US"/>
        </w:rPr>
        <w:t>Баткенской</w:t>
      </w:r>
      <w:r w:rsidRPr="008A1BD0">
        <w:rPr>
          <w:rFonts w:eastAsiaTheme="minorHAnsi"/>
          <w:sz w:val="28"/>
          <w:szCs w:val="28"/>
          <w:lang w:eastAsia="en-US"/>
        </w:rPr>
        <w:t xml:space="preserve">, </w:t>
      </w:r>
      <w:r w:rsidRPr="008A1BD0">
        <w:rPr>
          <w:rFonts w:eastAsiaTheme="minorHAnsi"/>
          <w:sz w:val="28"/>
          <w:szCs w:val="28"/>
          <w:lang w:eastAsia="en-US"/>
        </w:rPr>
        <w:t>Ошской</w:t>
      </w:r>
      <w:r w:rsidRPr="008A1BD0">
        <w:rPr>
          <w:rFonts w:eastAsiaTheme="minorHAnsi"/>
          <w:sz w:val="28"/>
          <w:szCs w:val="28"/>
          <w:lang w:eastAsia="en-US"/>
        </w:rPr>
        <w:t xml:space="preserve"> и </w:t>
      </w:r>
      <w:r w:rsidRPr="008A1BD0">
        <w:rPr>
          <w:rFonts w:eastAsiaTheme="minorHAnsi"/>
          <w:sz w:val="28"/>
          <w:szCs w:val="28"/>
          <w:lang w:eastAsia="en-US"/>
        </w:rPr>
        <w:t>Джалал-Абадской</w:t>
      </w:r>
      <w:r w:rsidRPr="008A1BD0">
        <w:rPr>
          <w:rFonts w:eastAsiaTheme="minorHAnsi"/>
          <w:sz w:val="28"/>
          <w:szCs w:val="28"/>
          <w:lang w:eastAsia="en-US"/>
        </w:rPr>
        <w:t xml:space="preserve"> областях. В работе задействованы 84 единицы спецтехники и спецмашин, 44 единицы автотранспортных средств и 230 работников, из которых около 70% — местные жители.</w:t>
      </w:r>
    </w:p>
    <w:p w:rsidR="00222912" w:rsidRPr="008A1BD0" w:rsidP="00AE2893" w14:paraId="52EF503C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Для мобилизации специалистов для возведения инфраструктурных объектов в указанных трех областях созданы 6 строительных баз.</w:t>
      </w:r>
    </w:p>
    <w:p w:rsidR="00222912" w:rsidRPr="008A1BD0" w:rsidP="00AE2893" w14:paraId="41E5E9BC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Справка</w:t>
      </w:r>
      <w:r w:rsidRPr="008A1BD0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8A1BD0">
        <w:rPr>
          <w:rFonts w:eastAsiaTheme="minorHAnsi"/>
          <w:sz w:val="28"/>
          <w:szCs w:val="28"/>
          <w:lang w:eastAsia="en-US"/>
        </w:rPr>
        <w:t> CASA-1000 призван связать энергетические системы Центральной Азии с Южной Азией — Кыргызстан, Таджикистан с Афганистаном и Пакистаном и выработать механизмы для торговли электроэнергией в соответствии с международными стандартами.</w:t>
      </w:r>
    </w:p>
    <w:p w:rsidR="00C15C81" w:rsidRPr="008A1BD0" w:rsidP="00AE2893" w14:paraId="1892AEDB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73" w:rsidRPr="008A1BD0" w:rsidP="00AE2893" w14:paraId="6A02AC61" w14:textId="77777777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A1BD0">
        <w:rPr>
          <w:b/>
          <w:sz w:val="28"/>
          <w:szCs w:val="28"/>
        </w:rPr>
        <w:t>УЗБЕКИСТАН</w:t>
      </w:r>
    </w:p>
    <w:p w:rsidR="003C2FB5" w:rsidRPr="008A1BD0" w:rsidP="00AE2893" w14:paraId="74BD6BB0" w14:textId="70A5BB4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>За 3 месяца 2022 года в Узбекистане было запущено 5 электростанций.</w:t>
      </w:r>
      <w:r w:rsidRPr="008A1BD0">
        <w:rPr>
          <w:rFonts w:eastAsiaTheme="minorHAnsi"/>
          <w:sz w:val="28"/>
          <w:szCs w:val="28"/>
          <w:lang w:eastAsia="en-US"/>
        </w:rPr>
        <w:t xml:space="preserve"> Ожидается введение в эксплуатацию еще 2 новых станций - общая мощность, которых составит 1474 МВт. В итоге в этом году начнут функционировать 6 новых теплоэлектростанций и одна солнечная </w:t>
      </w:r>
      <w:r w:rsidRPr="008A1BD0">
        <w:rPr>
          <w:rFonts w:eastAsiaTheme="minorHAnsi"/>
          <w:sz w:val="28"/>
          <w:szCs w:val="28"/>
          <w:lang w:eastAsia="en-US"/>
        </w:rPr>
        <w:t>фотоэлектростанция</w:t>
      </w:r>
      <w:r w:rsidRPr="008A1BD0">
        <w:rPr>
          <w:rFonts w:eastAsiaTheme="minorHAnsi"/>
          <w:sz w:val="28"/>
          <w:szCs w:val="28"/>
          <w:lang w:eastAsia="en-US"/>
        </w:rPr>
        <w:t>. В результате совокупная мощность энергосистемы Узбекистана превысит 16000 МВт. Также, стоит отметить о том, что в 2022 году в Самаркандской, Сурхандарьинской и Ташкентской областях будут построены и модернизированы семь гидроэлектростанций общей мощностью 173 МВт. Для информации, в течение 2</w:t>
      </w:r>
      <w:hyperlink r:id="rId7" w:history="1">
        <w:r w:rsidRPr="008A1BD0">
          <w:rPr>
            <w:rFonts w:eastAsiaTheme="minorHAnsi"/>
            <w:sz w:val="28"/>
            <w:szCs w:val="28"/>
            <w:lang w:eastAsia="en-US"/>
          </w:rPr>
          <w:t>017-2021</w:t>
        </w:r>
      </w:hyperlink>
      <w:r w:rsidRPr="008A1BD0">
        <w:rPr>
          <w:rFonts w:eastAsiaTheme="minorHAnsi"/>
          <w:sz w:val="28"/>
          <w:szCs w:val="28"/>
          <w:lang w:eastAsia="en-US"/>
        </w:rPr>
        <w:t> гг., было создано 3547 МВт новой мощности.</w:t>
      </w:r>
    </w:p>
    <w:p w:rsidR="00011E6E" w:rsidRPr="008A1BD0" w:rsidP="00AE2893" w14:paraId="679BC902" w14:textId="691267B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>В 2022-2026 годы планируется построить 15 новых гидроэлектростанций (ГЭС) и модернизировать пять действующих ГЭС</w:t>
      </w:r>
      <w:r w:rsidRPr="008A1BD0">
        <w:rPr>
          <w:rFonts w:eastAsiaTheme="minorHAnsi"/>
          <w:sz w:val="28"/>
          <w:szCs w:val="28"/>
          <w:lang w:eastAsia="en-US"/>
        </w:rPr>
        <w:t xml:space="preserve">, что позволит дополнительно производить 868 тысяч </w:t>
      </w:r>
      <w:r w:rsidRPr="008A1BD0">
        <w:rPr>
          <w:rFonts w:eastAsiaTheme="minorHAnsi"/>
          <w:sz w:val="28"/>
          <w:szCs w:val="28"/>
          <w:lang w:eastAsia="en-US"/>
        </w:rPr>
        <w:t>кВт·ч</w:t>
      </w:r>
      <w:r w:rsidRPr="008A1BD0">
        <w:rPr>
          <w:rFonts w:eastAsiaTheme="minorHAnsi"/>
          <w:sz w:val="28"/>
          <w:szCs w:val="28"/>
          <w:lang w:eastAsia="en-US"/>
        </w:rPr>
        <w:t xml:space="preserve"> электроэнергии в год. Планируется принять меры по повышению до 2026 года на 20% </w:t>
      </w:r>
      <w:r w:rsidRPr="008A1BD0">
        <w:rPr>
          <w:rFonts w:eastAsiaTheme="minorHAnsi"/>
          <w:sz w:val="28"/>
          <w:szCs w:val="28"/>
          <w:lang w:eastAsia="en-US"/>
        </w:rPr>
        <w:t>энергоэффективности</w:t>
      </w:r>
      <w:r w:rsidRPr="008A1BD0">
        <w:rPr>
          <w:rFonts w:eastAsiaTheme="minorHAnsi"/>
          <w:sz w:val="28"/>
          <w:szCs w:val="28"/>
          <w:lang w:eastAsia="en-US"/>
        </w:rPr>
        <w:t xml:space="preserve"> экономики и сократить на 20% объемы выброса вредных газов и атмосферу путем активного внедрения технологий «зеленой» экономики во все сферы.</w:t>
      </w:r>
    </w:p>
    <w:p w:rsidR="00011E6E" w:rsidRPr="008A1BD0" w:rsidP="00AE2893" w14:paraId="5E7B3C0C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Ожидается, что в 2022 году будет построено семь ГЭС мощностью 173 МВт в Самаркандской, Сурхандарьинской и Ташкентской областях, в 2023-м завершится модернизация одной ГЭС в Ташкентской области и будут введены в эксплуатацию две ГЭС мощностью 29 МВт в Кашкадарьинской и Андижанской областях. Наряду с этим, в 2024-м будут модернизированы по одной ГЭС в Андижанской, Наманганской, Сурхандарьинской и Ташкентской областях и введены в эксплуатацию четыре ГЭС мощностью 127,4 МВт, а в 2025-2026 годах – четыре ГЭС мощностью 544 МВт в Кашкадарьинской и Ташкентской областях.</w:t>
      </w:r>
    </w:p>
    <w:p w:rsidR="00011E6E" w:rsidRPr="008A1BD0" w:rsidP="00AE2893" w14:paraId="0DFA2398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E6E" w:rsidRPr="008A1BD0" w:rsidP="00AE2893" w14:paraId="29916E07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МОЛДОВА</w:t>
      </w:r>
    </w:p>
    <w:p w:rsidR="00C15C81" w:rsidRPr="008A1BD0" w:rsidP="00AE2893" w14:paraId="05300E70" w14:textId="5A5885F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>Международное энергетическое агентство (МЭА) опубликовало отчет и дорожную карту по обеспечению интеграции возобновляемых источников энергии (ВИЭ) в энергосистему Республики Молдова.</w:t>
      </w:r>
      <w:r w:rsidRPr="008A1BD0">
        <w:rPr>
          <w:rFonts w:eastAsiaTheme="minorHAnsi"/>
          <w:sz w:val="28"/>
          <w:szCs w:val="28"/>
          <w:lang w:eastAsia="en-US"/>
        </w:rPr>
        <w:t xml:space="preserve"> Дорожная карта была запущена для оказания поддержки молдавским политикам на всех уровнях для достижения поставленных энергетических целей и разработке концепции чистой, </w:t>
      </w:r>
      <w:r w:rsidRPr="008A1BD0">
        <w:rPr>
          <w:rFonts w:eastAsiaTheme="minorHAnsi"/>
          <w:sz w:val="28"/>
          <w:szCs w:val="28"/>
          <w:lang w:eastAsia="en-US"/>
        </w:rPr>
        <w:t>безопасной и современной системы электроснабжения в Молдове. В подготовленной МЭА дорожной карте рассматриваются конкретные шаги, которые правительство может предпринять для улучшения функционирования энергетической системы и содействия инвестициям в использование ВИЭ. Это также повлечет за собой устранение барьеров для создания и развертывания гибких рынков электроэнергии с усиленной региональной координацией.</w:t>
      </w:r>
      <w:r w:rsidRPr="008A1BD0">
        <w:rPr>
          <w:rFonts w:eastAsiaTheme="minorHAnsi"/>
          <w:sz w:val="28"/>
          <w:szCs w:val="28"/>
          <w:lang w:eastAsia="en-US"/>
        </w:rPr>
        <w:br/>
      </w:r>
    </w:p>
    <w:p w:rsidR="00337673" w:rsidRPr="008A1BD0" w:rsidP="00AE2893" w14:paraId="1FA6A20D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</w:t>
      </w:r>
    </w:p>
    <w:p w:rsidR="0085220C" w:rsidRPr="008A1BD0" w:rsidP="00AE2893" w14:paraId="6DA447F2" w14:textId="05BBDC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>Правительство РФ расширило программу льготного кредитования для системообразующих предприятий на организации топливно-энергетического комплекса</w:t>
      </w:r>
      <w:r w:rsidRPr="008A1BD0">
        <w:rPr>
          <w:rFonts w:eastAsiaTheme="minorHAnsi"/>
          <w:sz w:val="28"/>
          <w:szCs w:val="28"/>
          <w:lang w:eastAsia="en-US"/>
        </w:rPr>
        <w:t xml:space="preserve">, </w:t>
      </w:r>
      <w:r w:rsidRPr="008A1BD0">
        <w:rPr>
          <w:rFonts w:eastAsiaTheme="minorHAnsi"/>
          <w:b/>
          <w:sz w:val="28"/>
          <w:szCs w:val="28"/>
          <w:lang w:eastAsia="en-US"/>
        </w:rPr>
        <w:t>по ней можно получить кредит по ставке до 11% на год.</w:t>
      </w:r>
      <w:r w:rsidRPr="008A1BD0">
        <w:rPr>
          <w:rFonts w:eastAsiaTheme="minorHAnsi"/>
          <w:sz w:val="28"/>
          <w:szCs w:val="28"/>
          <w:lang w:eastAsia="en-US"/>
        </w:rPr>
        <w:t xml:space="preserve"> Правительство запускает специальную кредитную программу поддержки системообразующих организаций топливно-энергетического комплекса (ТЭК). Для таких организаций будут доступны кредиты по ставке не более 11% годовых на срок до 12 месяцев. Одно предприятие сможет получить до 10 миллиардов рублей, группа компаний – до 30 миллиардов рублей. Ранее правительство запустило льготные кредитные программы поддержки системообразующих организаций агропромышленного комплекса, а также промышленности и торговли.</w:t>
      </w:r>
    </w:p>
    <w:p w:rsidR="003C2FB5" w:rsidRPr="008A1BD0" w:rsidP="00AE2893" w14:paraId="44884370" w14:textId="0E2F0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 xml:space="preserve">Путин поручил продлить </w:t>
      </w:r>
      <w:r w:rsidRPr="008A1BD0">
        <w:rPr>
          <w:rFonts w:eastAsiaTheme="minorHAnsi"/>
          <w:b/>
          <w:sz w:val="28"/>
          <w:szCs w:val="28"/>
          <w:lang w:eastAsia="en-US"/>
        </w:rPr>
        <w:t>энергостратегию</w:t>
      </w:r>
      <w:r w:rsidRPr="008A1BD0">
        <w:rPr>
          <w:rFonts w:eastAsiaTheme="minorHAnsi"/>
          <w:b/>
          <w:sz w:val="28"/>
          <w:szCs w:val="28"/>
          <w:lang w:eastAsia="en-US"/>
        </w:rPr>
        <w:t xml:space="preserve"> РФ до 2050 года и утвердить ее до 15 сентября</w:t>
      </w:r>
      <w:r w:rsidRPr="008A1BD0" w:rsidR="00222912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8A1BD0">
        <w:rPr>
          <w:rFonts w:eastAsiaTheme="minorHAnsi"/>
          <w:sz w:val="28"/>
          <w:szCs w:val="28"/>
          <w:lang w:eastAsia="en-US"/>
        </w:rPr>
        <w:t>Горизонт планирования Энергетической стратегии РФ нужно продлить до 2050 года, обновленный документ должен быть утвержден до 15 сентября, заявил президент РФ Владимир Путин в четверг, подводя итоги совещания по энергетике.</w:t>
      </w:r>
    </w:p>
    <w:p w:rsidR="003C2FB5" w:rsidRPr="008A1BD0" w:rsidP="00AE2893" w14:paraId="3A8FF69B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«Прежде всего я прошу правительство учесть результаты сегодняшнего обсуждения при подготовке Энергетической стратегии России. Как мы и договаривались, следует продлить ее горизонт планирования до 2050 года», -  сказал он. Глава государства добавил, что стратегию «нужно утвердить до 15 сентября текущего года».</w:t>
      </w:r>
    </w:p>
    <w:p w:rsidR="003C2FB5" w:rsidRPr="008A1BD0" w:rsidP="00AE2893" w14:paraId="3FF466C2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Действующая Энергетическая стратегия РФ рассчитана до 2035 года, она была утверждена в 2020 году. Документ фиксирует в качестве стратегических целей ТЭК содействие социально-экономическому развитию России, а также укрепление и сохранение ее позиций в мировой энергетике.</w:t>
      </w:r>
    </w:p>
    <w:p w:rsidR="00011E6E" w:rsidRPr="008A1BD0" w:rsidP="00AE2893" w14:paraId="65C91A9D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>Россия и Казахстан обсудили двустороннее сотрудничество в сфере ТЭК</w:t>
      </w:r>
    </w:p>
    <w:p w:rsidR="00011E6E" w:rsidRPr="008A1BD0" w:rsidP="00AE2893" w14:paraId="6F9F5F52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Министр энергетики Российской Федерации </w:t>
      </w:r>
      <w:r w:rsidRPr="008A1BD0">
        <w:rPr>
          <w:rFonts w:eastAsiaTheme="minorHAnsi"/>
          <w:sz w:val="28"/>
          <w:szCs w:val="28"/>
          <w:lang w:eastAsia="en-US"/>
        </w:rPr>
        <w:t xml:space="preserve">Николай </w:t>
      </w:r>
      <w:r w:rsidRPr="008A1BD0">
        <w:rPr>
          <w:rFonts w:eastAsiaTheme="minorHAnsi"/>
          <w:sz w:val="28"/>
          <w:szCs w:val="28"/>
          <w:lang w:eastAsia="en-US"/>
        </w:rPr>
        <w:t>Шульгинов</w:t>
      </w:r>
      <w:r w:rsidRPr="008A1BD0">
        <w:rPr>
          <w:rFonts w:eastAsiaTheme="minorHAnsi"/>
          <w:sz w:val="28"/>
          <w:szCs w:val="28"/>
          <w:lang w:eastAsia="en-US"/>
        </w:rPr>
        <w:t xml:space="preserve"> и Министр энергетики Республики Казахстан </w:t>
      </w:r>
      <w:r w:rsidRPr="008A1BD0">
        <w:rPr>
          <w:rFonts w:eastAsiaTheme="minorHAnsi"/>
          <w:sz w:val="28"/>
          <w:szCs w:val="28"/>
          <w:lang w:eastAsia="en-US"/>
        </w:rPr>
        <w:t>Болат</w:t>
      </w:r>
      <w:r w:rsidRPr="008A1BD0">
        <w:rPr>
          <w:rFonts w:eastAsiaTheme="minorHAnsi"/>
          <w:sz w:val="28"/>
          <w:szCs w:val="28"/>
          <w:lang w:eastAsia="en-US"/>
        </w:rPr>
        <w:t xml:space="preserve"> </w:t>
      </w:r>
      <w:r w:rsidRPr="008A1BD0">
        <w:rPr>
          <w:rFonts w:eastAsiaTheme="minorHAnsi"/>
          <w:sz w:val="28"/>
          <w:szCs w:val="28"/>
          <w:lang w:eastAsia="en-US"/>
        </w:rPr>
        <w:t>Акчулаков</w:t>
      </w:r>
      <w:r w:rsidRPr="008A1BD0">
        <w:rPr>
          <w:rFonts w:eastAsiaTheme="minorHAnsi"/>
          <w:sz w:val="28"/>
          <w:szCs w:val="28"/>
          <w:lang w:eastAsia="en-US"/>
        </w:rPr>
        <w:t xml:space="preserve"> на рабочей встрече обсудили двустороннее сотрудничество стран в сфере ТЭК.</w:t>
      </w:r>
    </w:p>
    <w:p w:rsidR="00011E6E" w:rsidRPr="008A1BD0" w:rsidP="00AE2893" w14:paraId="5018AF65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Одной из тем встречи стало сотрудничество в газовой сфере. Стороны обозначили потенциал по углублению сотрудничества в части газификации северных и восточных регионов Республики Казахстан.</w:t>
      </w:r>
    </w:p>
    <w:p w:rsidR="00011E6E" w:rsidRPr="008A1BD0" w:rsidP="00AE2893" w14:paraId="5E0D9107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Отдельно министры обсудили сотрудничество в электроэнергетической сфере. В октябре прошлого года "Системный оператор Единой энергетической системы России" получил статус наблюдателя при Координационном Электроэнергетическом Совете Центральной Азии. Николай </w:t>
      </w:r>
      <w:r w:rsidRPr="008A1BD0">
        <w:rPr>
          <w:rFonts w:eastAsiaTheme="minorHAnsi"/>
          <w:sz w:val="28"/>
          <w:szCs w:val="28"/>
          <w:lang w:eastAsia="en-US"/>
        </w:rPr>
        <w:t>Шульгинов</w:t>
      </w:r>
      <w:r w:rsidRPr="008A1BD0">
        <w:rPr>
          <w:rFonts w:eastAsiaTheme="minorHAnsi"/>
          <w:sz w:val="28"/>
          <w:szCs w:val="28"/>
          <w:lang w:eastAsia="en-US"/>
        </w:rPr>
        <w:t xml:space="preserve"> предложил усилить взаимодействие в этой сфере.</w:t>
      </w:r>
    </w:p>
    <w:p w:rsidR="00011E6E" w:rsidRPr="008A1BD0" w:rsidP="00AE2893" w14:paraId="0D69EC79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Николай </w:t>
      </w:r>
      <w:r w:rsidRPr="008A1BD0">
        <w:rPr>
          <w:rFonts w:eastAsiaTheme="minorHAnsi"/>
          <w:sz w:val="28"/>
          <w:szCs w:val="28"/>
          <w:lang w:eastAsia="en-US"/>
        </w:rPr>
        <w:t>Шульгинов</w:t>
      </w:r>
      <w:r w:rsidRPr="008A1BD0">
        <w:rPr>
          <w:rFonts w:eastAsiaTheme="minorHAnsi"/>
          <w:sz w:val="28"/>
          <w:szCs w:val="28"/>
          <w:lang w:eastAsia="en-US"/>
        </w:rPr>
        <w:t xml:space="preserve"> и </w:t>
      </w:r>
      <w:r w:rsidRPr="008A1BD0">
        <w:rPr>
          <w:rFonts w:eastAsiaTheme="minorHAnsi"/>
          <w:sz w:val="28"/>
          <w:szCs w:val="28"/>
          <w:lang w:eastAsia="en-US"/>
        </w:rPr>
        <w:t>Болат</w:t>
      </w:r>
      <w:r w:rsidRPr="008A1BD0">
        <w:rPr>
          <w:rFonts w:eastAsiaTheme="minorHAnsi"/>
          <w:sz w:val="28"/>
          <w:szCs w:val="28"/>
          <w:lang w:eastAsia="en-US"/>
        </w:rPr>
        <w:t xml:space="preserve"> </w:t>
      </w:r>
      <w:r w:rsidRPr="008A1BD0">
        <w:rPr>
          <w:rFonts w:eastAsiaTheme="minorHAnsi"/>
          <w:sz w:val="28"/>
          <w:szCs w:val="28"/>
          <w:lang w:eastAsia="en-US"/>
        </w:rPr>
        <w:t>Акчулаков</w:t>
      </w:r>
      <w:r w:rsidRPr="008A1BD0">
        <w:rPr>
          <w:rFonts w:eastAsiaTheme="minorHAnsi"/>
          <w:sz w:val="28"/>
          <w:szCs w:val="28"/>
          <w:lang w:eastAsia="en-US"/>
        </w:rPr>
        <w:t xml:space="preserve"> обсудили и партнерство стран в нефтяной сфере, в том числе транзит казахстанской нефти через территорию России.</w:t>
      </w:r>
    </w:p>
    <w:p w:rsidR="00AD3336" w:rsidRPr="008A1BD0" w:rsidP="00AE2893" w14:paraId="2D1F24EA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E6E" w:rsidRPr="008A1BD0" w:rsidP="00AE2893" w14:paraId="282851BB" w14:textId="401FCC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ТАДЖИКИСТАН</w:t>
      </w:r>
    </w:p>
    <w:p w:rsidR="00011E6E" w:rsidRPr="008A1BD0" w:rsidP="00AE2893" w14:paraId="274528F1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A1BD0">
        <w:rPr>
          <w:rFonts w:eastAsiaTheme="minorHAnsi"/>
          <w:b/>
          <w:sz w:val="28"/>
          <w:szCs w:val="28"/>
          <w:lang w:eastAsia="en-US"/>
        </w:rPr>
        <w:t>Таджикистан экспортировал в первом квартале текущего года электроэнергию на сумму более $7,3 млн, сообщает Агентство по статистике при президенте Республики Таджикистан.</w:t>
      </w:r>
    </w:p>
    <w:p w:rsidR="00011E6E" w:rsidRPr="008A1BD0" w:rsidP="00AE2893" w14:paraId="234063AB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Это на 15% или на $2,4 млн меньше по сравнению с январем-мартом 2021 года.</w:t>
      </w:r>
    </w:p>
    <w:p w:rsidR="00011E6E" w:rsidRPr="008A1BD0" w:rsidP="00AE2893" w14:paraId="783C60D9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За этот период в республике произведено более 5,3 млрд </w:t>
      </w:r>
      <w:r w:rsidRPr="008A1BD0">
        <w:rPr>
          <w:rFonts w:eastAsiaTheme="minorHAnsi"/>
          <w:sz w:val="28"/>
          <w:szCs w:val="28"/>
          <w:lang w:eastAsia="en-US"/>
        </w:rPr>
        <w:t>кВт·</w:t>
      </w:r>
      <w:r w:rsidRPr="008A1BD0">
        <w:rPr>
          <w:rFonts w:eastAsiaTheme="minorHAnsi"/>
          <w:sz w:val="28"/>
          <w:szCs w:val="28"/>
          <w:lang w:eastAsia="en-US"/>
        </w:rPr>
        <w:t>ч</w:t>
      </w:r>
      <w:r w:rsidRPr="008A1BD0">
        <w:rPr>
          <w:rFonts w:eastAsiaTheme="minorHAnsi"/>
          <w:sz w:val="28"/>
          <w:szCs w:val="28"/>
          <w:lang w:eastAsia="en-US"/>
        </w:rPr>
        <w:t xml:space="preserve">  электроэнергии</w:t>
      </w:r>
      <w:r w:rsidRPr="008A1BD0">
        <w:rPr>
          <w:rFonts w:eastAsiaTheme="minorHAnsi"/>
          <w:sz w:val="28"/>
          <w:szCs w:val="28"/>
          <w:lang w:eastAsia="en-US"/>
        </w:rPr>
        <w:t>, что на 5,6% больше, чем в первом квартале 2021 года.</w:t>
      </w:r>
    </w:p>
    <w:p w:rsidR="00011E6E" w:rsidRPr="008A1BD0" w:rsidP="00AE2893" w14:paraId="3F5C5AD8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Таджикская электроэнергия, по данным ОАХК «Барки </w:t>
      </w:r>
      <w:r w:rsidRPr="008A1BD0">
        <w:rPr>
          <w:rFonts w:eastAsiaTheme="minorHAnsi"/>
          <w:sz w:val="28"/>
          <w:szCs w:val="28"/>
          <w:lang w:eastAsia="en-US"/>
        </w:rPr>
        <w:t>Точик</w:t>
      </w:r>
      <w:r w:rsidRPr="008A1BD0">
        <w:rPr>
          <w:rFonts w:eastAsiaTheme="minorHAnsi"/>
          <w:sz w:val="28"/>
          <w:szCs w:val="28"/>
          <w:lang w:eastAsia="en-US"/>
        </w:rPr>
        <w:t>», в осенне-зимний период (октябрь-апрель) поставляется исключительно в Афганистан.</w:t>
      </w:r>
    </w:p>
    <w:p w:rsidR="00011E6E" w:rsidRPr="008A1BD0" w:rsidP="00AE2893" w14:paraId="5515ED9B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 В этот период Афганистан получает ежесуточно до 40 МВт, что по расчетам специалистов ОАХК «Барки </w:t>
      </w:r>
      <w:r w:rsidRPr="008A1BD0">
        <w:rPr>
          <w:rFonts w:eastAsiaTheme="minorHAnsi"/>
          <w:sz w:val="28"/>
          <w:szCs w:val="28"/>
          <w:lang w:eastAsia="en-US"/>
        </w:rPr>
        <w:t>Точик</w:t>
      </w:r>
      <w:r w:rsidRPr="008A1BD0">
        <w:rPr>
          <w:rFonts w:eastAsiaTheme="minorHAnsi"/>
          <w:sz w:val="28"/>
          <w:szCs w:val="28"/>
          <w:lang w:eastAsia="en-US"/>
        </w:rPr>
        <w:t>», «не влияет на общий баланс энергоснабжения в стране».</w:t>
      </w:r>
    </w:p>
    <w:p w:rsidR="00011E6E" w:rsidRPr="008A1BD0" w:rsidP="00AE2893" w14:paraId="454924AE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Ожидается, что с начала апреля ежесуточный объем поставок в Афганистан увеличится до 400 МВт. Также с наступлением весны начнется экспорт таджикского электричества в Узбекистан.</w:t>
      </w:r>
    </w:p>
    <w:p w:rsidR="00011E6E" w:rsidRPr="008A1BD0" w:rsidP="00AE2893" w14:paraId="22110B18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>Афганистан платит за каждый киловатт-час таджикской электроэнергии 4,67 центов, а Узбекистан – 2 цента.</w:t>
      </w:r>
    </w:p>
    <w:p w:rsidR="00011E6E" w:rsidRPr="008A1BD0" w:rsidP="00AE2893" w14:paraId="02E35012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Согласно подписанным договоренностям, Таджикистан в 2022 году обязался поставлять 1,5 млрд </w:t>
      </w:r>
      <w:r w:rsidRPr="008A1BD0">
        <w:rPr>
          <w:rFonts w:eastAsiaTheme="minorHAnsi"/>
          <w:sz w:val="28"/>
          <w:szCs w:val="28"/>
          <w:lang w:eastAsia="en-US"/>
        </w:rPr>
        <w:t>кВт·</w:t>
      </w:r>
      <w:r w:rsidRPr="008A1BD0">
        <w:rPr>
          <w:rFonts w:eastAsiaTheme="minorHAnsi"/>
          <w:sz w:val="28"/>
          <w:szCs w:val="28"/>
          <w:lang w:eastAsia="en-US"/>
        </w:rPr>
        <w:t>ч</w:t>
      </w:r>
      <w:r w:rsidRPr="008A1BD0">
        <w:rPr>
          <w:rFonts w:eastAsiaTheme="minorHAnsi"/>
          <w:sz w:val="28"/>
          <w:szCs w:val="28"/>
          <w:lang w:eastAsia="en-US"/>
        </w:rPr>
        <w:t xml:space="preserve">  электроэнергии</w:t>
      </w:r>
      <w:r w:rsidRPr="008A1BD0">
        <w:rPr>
          <w:rFonts w:eastAsiaTheme="minorHAnsi"/>
          <w:sz w:val="28"/>
          <w:szCs w:val="28"/>
          <w:lang w:eastAsia="en-US"/>
        </w:rPr>
        <w:t xml:space="preserve"> в Афганистан и 1,4 млрд </w:t>
      </w:r>
      <w:r w:rsidRPr="008A1BD0">
        <w:rPr>
          <w:rFonts w:eastAsiaTheme="minorHAnsi"/>
          <w:sz w:val="28"/>
          <w:szCs w:val="28"/>
          <w:lang w:eastAsia="en-US"/>
        </w:rPr>
        <w:t>кВт·ч</w:t>
      </w:r>
      <w:r w:rsidRPr="008A1BD0">
        <w:rPr>
          <w:rFonts w:eastAsiaTheme="minorHAnsi"/>
          <w:sz w:val="28"/>
          <w:szCs w:val="28"/>
          <w:lang w:eastAsia="en-US"/>
        </w:rPr>
        <w:t xml:space="preserve">  в Узбекистан.</w:t>
      </w:r>
    </w:p>
    <w:p w:rsidR="00011E6E" w:rsidRPr="008A1BD0" w:rsidP="00AE2893" w14:paraId="6583666E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BD0">
        <w:rPr>
          <w:rFonts w:eastAsiaTheme="minorHAnsi"/>
          <w:sz w:val="28"/>
          <w:szCs w:val="28"/>
          <w:lang w:eastAsia="en-US"/>
        </w:rPr>
        <w:t xml:space="preserve">Руководство «Барки </w:t>
      </w:r>
      <w:r w:rsidRPr="008A1BD0">
        <w:rPr>
          <w:rFonts w:eastAsiaTheme="minorHAnsi"/>
          <w:sz w:val="28"/>
          <w:szCs w:val="28"/>
          <w:lang w:eastAsia="en-US"/>
        </w:rPr>
        <w:t>Точик</w:t>
      </w:r>
      <w:r w:rsidRPr="008A1BD0">
        <w:rPr>
          <w:rFonts w:eastAsiaTheme="minorHAnsi"/>
          <w:sz w:val="28"/>
          <w:szCs w:val="28"/>
          <w:lang w:eastAsia="en-US"/>
        </w:rPr>
        <w:t>» в середине февраля сообщило на пресс-конференции, что задолженность афганской электроэнергетической компании за электричества сократилась с $33 млн в начале 2022 года до $27 млн.</w:t>
      </w:r>
    </w:p>
    <w:p w:rsidR="00011E6E" w:rsidRPr="008A1BD0" w:rsidP="00AE2893" w14:paraId="1F0135A2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E6E" w:rsidRPr="00AE2893" w:rsidP="00AE2893" w14:paraId="7DFE845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sectPr w:rsidSect="008364B1">
      <w:headerReference w:type="default" r:id="rId8"/>
      <w:footerReference w:type="default" r:id="rId9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0002A" w:rsidRPr="00075A0B" w14:paraId="69908A3F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9A3DA3">
          <w:rPr>
            <w:rFonts w:ascii="Times New Roman" w:hAnsi="Times New Roman" w:cs="Times New Roman"/>
            <w:noProof/>
          </w:rPr>
          <w:t>21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0002A" w14:paraId="6914874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3"/>
      <w:gridCol w:w="7832"/>
    </w:tblGrid>
    <w:tr w14:paraId="70CAED75" w14:textId="77777777" w:rsidTr="009437D6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235" w:type="dxa"/>
        </w:tcPr>
        <w:p w:rsidR="00A0002A" w:rsidP="009437D6" w14:paraId="1560C859" w14:textId="77777777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7278029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A0002A" w:rsidP="005F127E" w14:paraId="3CF2AAEA" w14:textId="77777777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A0002A" w:rsidP="005F127E" w14:paraId="4493AFC5" w14:textId="77777777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:rsidR="00A0002A" w:rsidRPr="009437D6" w:rsidP="009437D6" w14:paraId="340499FD" w14:textId="77777777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856DB"/>
    <w:multiLevelType w:val="multilevel"/>
    <w:tmpl w:val="992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23479"/>
    <w:multiLevelType w:val="hybridMultilevel"/>
    <w:tmpl w:val="6EB8FCA8"/>
    <w:lvl w:ilvl="0">
      <w:start w:val="26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C38D0"/>
    <w:multiLevelType w:val="multilevel"/>
    <w:tmpl w:val="6B6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17312A"/>
    <w:multiLevelType w:val="multilevel"/>
    <w:tmpl w:val="9906F7B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5">
    <w:nsid w:val="10A0747E"/>
    <w:multiLevelType w:val="hybridMultilevel"/>
    <w:tmpl w:val="3E4A0D6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A6C39"/>
    <w:multiLevelType w:val="multilevel"/>
    <w:tmpl w:val="050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8">
    <w:nsid w:val="1D63280E"/>
    <w:multiLevelType w:val="hybridMultilevel"/>
    <w:tmpl w:val="29B0B63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dark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32B19"/>
    <w:multiLevelType w:val="multilevel"/>
    <w:tmpl w:val="2A54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370F0"/>
    <w:multiLevelType w:val="hybridMultilevel"/>
    <w:tmpl w:val="3B5A45C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07208E"/>
    <w:multiLevelType w:val="hybridMultilevel"/>
    <w:tmpl w:val="38A44F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4E2D"/>
    <w:multiLevelType w:val="hybridMultilevel"/>
    <w:tmpl w:val="E34A0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21B"/>
    <w:multiLevelType w:val="hybridMultilevel"/>
    <w:tmpl w:val="2688B590"/>
    <w:lvl w:ilvl="0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5CF200F"/>
    <w:multiLevelType w:val="hybridMultilevel"/>
    <w:tmpl w:val="3C1C6EF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275C29"/>
    <w:multiLevelType w:val="hybridMultilevel"/>
    <w:tmpl w:val="9BD601D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A012D7"/>
    <w:multiLevelType w:val="hybridMultilevel"/>
    <w:tmpl w:val="F1B8B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41C08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8">
    <w:nsid w:val="2CEA400E"/>
    <w:multiLevelType w:val="hybridMultilevel"/>
    <w:tmpl w:val="23F4AC3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2524FB"/>
    <w:multiLevelType w:val="hybridMultilevel"/>
    <w:tmpl w:val="5980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038A2"/>
    <w:multiLevelType w:val="hybridMultilevel"/>
    <w:tmpl w:val="54BC2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B12FD"/>
    <w:multiLevelType w:val="hybridMultilevel"/>
    <w:tmpl w:val="54B89E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E7056F"/>
    <w:multiLevelType w:val="hybridMultilevel"/>
    <w:tmpl w:val="36D6118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A201F1C"/>
    <w:multiLevelType w:val="multilevel"/>
    <w:tmpl w:val="66345EB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25">
    <w:nsid w:val="3D4F3717"/>
    <w:multiLevelType w:val="multilevel"/>
    <w:tmpl w:val="8048D3FA"/>
    <w:lvl w:ilvl="0">
      <w:start w:val="10"/>
      <w:numFmt w:val="decimal"/>
      <w:lvlText w:val="%1."/>
      <w:lvlJc w:val="left"/>
      <w:pPr>
        <w:ind w:left="352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6">
    <w:nsid w:val="41E07489"/>
    <w:multiLevelType w:val="multilevel"/>
    <w:tmpl w:val="14903DDA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27">
    <w:nsid w:val="425B58D0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28">
    <w:nsid w:val="444B36C7"/>
    <w:multiLevelType w:val="hybridMultilevel"/>
    <w:tmpl w:val="55F64072"/>
    <w:lvl w:ilvl="0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9">
    <w:nsid w:val="487B4945"/>
    <w:multiLevelType w:val="hybridMultilevel"/>
    <w:tmpl w:val="515A4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E7452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1">
    <w:nsid w:val="4E0E24C9"/>
    <w:multiLevelType w:val="hybridMultilevel"/>
    <w:tmpl w:val="89BEE0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0AD3DAD"/>
    <w:multiLevelType w:val="multilevel"/>
    <w:tmpl w:val="911AFE16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3973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33">
    <w:nsid w:val="552D657A"/>
    <w:multiLevelType w:val="hybridMultilevel"/>
    <w:tmpl w:val="7A2080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91540"/>
    <w:multiLevelType w:val="multilevel"/>
    <w:tmpl w:val="DD9EB4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5">
    <w:nsid w:val="5F4B0CB6"/>
    <w:multiLevelType w:val="multilevel"/>
    <w:tmpl w:val="B348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EE77BE"/>
    <w:multiLevelType w:val="hybridMultilevel"/>
    <w:tmpl w:val="B382F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8562A"/>
    <w:multiLevelType w:val="hybridMultilevel"/>
    <w:tmpl w:val="A5E606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DA6334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9">
    <w:nsid w:val="65077E86"/>
    <w:multiLevelType w:val="hybridMultilevel"/>
    <w:tmpl w:val="704C6D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41">
    <w:nsid w:val="71DE2494"/>
    <w:multiLevelType w:val="hybridMultilevel"/>
    <w:tmpl w:val="16A4DD66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D5AD9"/>
    <w:multiLevelType w:val="hybridMultilevel"/>
    <w:tmpl w:val="D0D4C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55765"/>
    <w:multiLevelType w:val="multilevel"/>
    <w:tmpl w:val="FE46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AD5F7B"/>
    <w:multiLevelType w:val="hybridMultilevel"/>
    <w:tmpl w:val="9DCC133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8F2AA3"/>
    <w:multiLevelType w:val="hybridMultilevel"/>
    <w:tmpl w:val="3A0C4802"/>
    <w:lvl w:ilvl="0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0B1EBF"/>
    <w:multiLevelType w:val="hybridMultilevel"/>
    <w:tmpl w:val="F8EC2686"/>
    <w:lvl w:ilvl="0">
      <w:start w:val="0"/>
      <w:numFmt w:val="bullet"/>
      <w:lvlText w:val=""/>
      <w:lvlJc w:val="left"/>
      <w:pPr>
        <w:ind w:left="927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BE551C6"/>
    <w:multiLevelType w:val="hybridMultilevel"/>
    <w:tmpl w:val="ECF8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129E7"/>
    <w:multiLevelType w:val="hybridMultilevel"/>
    <w:tmpl w:val="E278C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0"/>
  </w:num>
  <w:num w:numId="5">
    <w:abstractNumId w:val="11"/>
  </w:num>
  <w:num w:numId="6">
    <w:abstractNumId w:val="28"/>
  </w:num>
  <w:num w:numId="7">
    <w:abstractNumId w:val="43"/>
  </w:num>
  <w:num w:numId="8">
    <w:abstractNumId w:val="9"/>
  </w:num>
  <w:num w:numId="9">
    <w:abstractNumId w:val="3"/>
  </w:num>
  <w:num w:numId="10">
    <w:abstractNumId w:val="4"/>
  </w:num>
  <w:num w:numId="11">
    <w:abstractNumId w:val="37"/>
  </w:num>
  <w:num w:numId="12">
    <w:abstractNumId w:val="39"/>
  </w:num>
  <w:num w:numId="13">
    <w:abstractNumId w:val="18"/>
  </w:num>
  <w:num w:numId="14">
    <w:abstractNumId w:val="31"/>
  </w:num>
  <w:num w:numId="15">
    <w:abstractNumId w:val="1"/>
  </w:num>
  <w:num w:numId="16">
    <w:abstractNumId w:val="41"/>
  </w:num>
  <w:num w:numId="17">
    <w:abstractNumId w:val="19"/>
  </w:num>
  <w:num w:numId="18">
    <w:abstractNumId w:val="16"/>
  </w:num>
  <w:num w:numId="19">
    <w:abstractNumId w:val="47"/>
  </w:num>
  <w:num w:numId="20">
    <w:abstractNumId w:val="36"/>
  </w:num>
  <w:num w:numId="21">
    <w:abstractNumId w:val="29"/>
  </w:num>
  <w:num w:numId="22">
    <w:abstractNumId w:val="15"/>
  </w:num>
  <w:num w:numId="23">
    <w:abstractNumId w:val="21"/>
  </w:num>
  <w:num w:numId="24">
    <w:abstractNumId w:val="44"/>
  </w:num>
  <w:num w:numId="25">
    <w:abstractNumId w:val="33"/>
  </w:num>
  <w:num w:numId="26">
    <w:abstractNumId w:val="48"/>
  </w:num>
  <w:num w:numId="27">
    <w:abstractNumId w:val="12"/>
  </w:num>
  <w:num w:numId="28">
    <w:abstractNumId w:val="42"/>
  </w:num>
  <w:num w:numId="29">
    <w:abstractNumId w:val="14"/>
  </w:num>
  <w:num w:numId="30">
    <w:abstractNumId w:val="2"/>
  </w:num>
  <w:num w:numId="31">
    <w:abstractNumId w:val="22"/>
  </w:num>
  <w:num w:numId="32">
    <w:abstractNumId w:val="35"/>
  </w:num>
  <w:num w:numId="33">
    <w:abstractNumId w:val="0"/>
  </w:num>
  <w:num w:numId="34">
    <w:abstractNumId w:val="6"/>
  </w:num>
  <w:num w:numId="35">
    <w:abstractNumId w:val="25"/>
  </w:num>
  <w:num w:numId="36">
    <w:abstractNumId w:val="26"/>
  </w:num>
  <w:num w:numId="37">
    <w:abstractNumId w:val="32"/>
  </w:num>
  <w:num w:numId="38">
    <w:abstractNumId w:val="8"/>
  </w:num>
  <w:num w:numId="39">
    <w:abstractNumId w:val="24"/>
  </w:num>
  <w:num w:numId="40">
    <w:abstractNumId w:val="10"/>
  </w:num>
  <w:num w:numId="41">
    <w:abstractNumId w:val="34"/>
  </w:num>
  <w:num w:numId="42">
    <w:abstractNumId w:val="45"/>
  </w:num>
  <w:num w:numId="43">
    <w:abstractNumId w:val="23"/>
  </w:num>
  <w:num w:numId="44">
    <w:abstractNumId w:val="17"/>
  </w:num>
  <w:num w:numId="45">
    <w:abstractNumId w:val="38"/>
  </w:num>
  <w:num w:numId="46">
    <w:abstractNumId w:val="30"/>
  </w:num>
  <w:num w:numId="47">
    <w:abstractNumId w:val="40"/>
  </w:num>
  <w:num w:numId="48">
    <w:abstractNumId w:val="27"/>
  </w:num>
  <w:num w:numId="49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7CC5"/>
    <w:rsid w:val="00040A73"/>
    <w:rsid w:val="00041418"/>
    <w:rsid w:val="00042141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13A4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74C"/>
    <w:rsid w:val="000F6A36"/>
    <w:rsid w:val="000F7637"/>
    <w:rsid w:val="00100A07"/>
    <w:rsid w:val="00102867"/>
    <w:rsid w:val="00103E5D"/>
    <w:rsid w:val="00103EBF"/>
    <w:rsid w:val="00104FF6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32F2"/>
    <w:rsid w:val="001344E6"/>
    <w:rsid w:val="0013632E"/>
    <w:rsid w:val="00143DB9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43E4"/>
    <w:rsid w:val="002E4CF9"/>
    <w:rsid w:val="002E4D7C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3BCD"/>
    <w:rsid w:val="0032434F"/>
    <w:rsid w:val="00325437"/>
    <w:rsid w:val="00325CA9"/>
    <w:rsid w:val="00325D3D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4C46"/>
    <w:rsid w:val="00347E27"/>
    <w:rsid w:val="003507C0"/>
    <w:rsid w:val="00350BC9"/>
    <w:rsid w:val="00351963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FF1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79A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5229"/>
    <w:rsid w:val="005953CD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047AA"/>
    <w:rsid w:val="00610FF5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41370"/>
    <w:rsid w:val="006423D3"/>
    <w:rsid w:val="00642DF4"/>
    <w:rsid w:val="00643405"/>
    <w:rsid w:val="0064481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5268"/>
    <w:rsid w:val="00672A7E"/>
    <w:rsid w:val="006732B9"/>
    <w:rsid w:val="00674105"/>
    <w:rsid w:val="00677ED6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24D"/>
    <w:rsid w:val="006A1A33"/>
    <w:rsid w:val="006A2C8D"/>
    <w:rsid w:val="006A3A88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16E2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60E4"/>
    <w:rsid w:val="006D732A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EEB"/>
    <w:rsid w:val="00714DCA"/>
    <w:rsid w:val="00715ADF"/>
    <w:rsid w:val="0071630F"/>
    <w:rsid w:val="00717CF6"/>
    <w:rsid w:val="00721F87"/>
    <w:rsid w:val="00722FBC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45FD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1E02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1E30"/>
    <w:rsid w:val="0085220C"/>
    <w:rsid w:val="008541DE"/>
    <w:rsid w:val="00854D8B"/>
    <w:rsid w:val="00856F20"/>
    <w:rsid w:val="0086113D"/>
    <w:rsid w:val="00861CD9"/>
    <w:rsid w:val="00862F90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59D9"/>
    <w:rsid w:val="008C618C"/>
    <w:rsid w:val="008C65AC"/>
    <w:rsid w:val="008D0222"/>
    <w:rsid w:val="008D134B"/>
    <w:rsid w:val="008D1FF5"/>
    <w:rsid w:val="008D250F"/>
    <w:rsid w:val="008D339E"/>
    <w:rsid w:val="008D3500"/>
    <w:rsid w:val="008D7A53"/>
    <w:rsid w:val="008D7F55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978"/>
    <w:rsid w:val="00935183"/>
    <w:rsid w:val="00936844"/>
    <w:rsid w:val="00937577"/>
    <w:rsid w:val="0093791F"/>
    <w:rsid w:val="00942B01"/>
    <w:rsid w:val="00942D73"/>
    <w:rsid w:val="009437D6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75C6"/>
    <w:rsid w:val="009B7719"/>
    <w:rsid w:val="009C0DC5"/>
    <w:rsid w:val="009C1F47"/>
    <w:rsid w:val="009C3F4D"/>
    <w:rsid w:val="009C4072"/>
    <w:rsid w:val="009C4C1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3B6"/>
    <w:rsid w:val="00A23008"/>
    <w:rsid w:val="00A23548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E09B0"/>
    <w:rsid w:val="00AE2893"/>
    <w:rsid w:val="00AE458B"/>
    <w:rsid w:val="00AE55E0"/>
    <w:rsid w:val="00AE7375"/>
    <w:rsid w:val="00AF1FF2"/>
    <w:rsid w:val="00AF4346"/>
    <w:rsid w:val="00AF6284"/>
    <w:rsid w:val="00AF75D3"/>
    <w:rsid w:val="00B005A3"/>
    <w:rsid w:val="00B01F44"/>
    <w:rsid w:val="00B025A4"/>
    <w:rsid w:val="00B0282E"/>
    <w:rsid w:val="00B03A64"/>
    <w:rsid w:val="00B1145C"/>
    <w:rsid w:val="00B116AC"/>
    <w:rsid w:val="00B11D47"/>
    <w:rsid w:val="00B12D8B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BEB"/>
    <w:rsid w:val="00B5777F"/>
    <w:rsid w:val="00B57B3B"/>
    <w:rsid w:val="00B57D6A"/>
    <w:rsid w:val="00B60EEB"/>
    <w:rsid w:val="00B635EC"/>
    <w:rsid w:val="00B63905"/>
    <w:rsid w:val="00B6520F"/>
    <w:rsid w:val="00B65932"/>
    <w:rsid w:val="00B65CEB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2375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659"/>
    <w:rsid w:val="00C36773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218B"/>
    <w:rsid w:val="00C821C5"/>
    <w:rsid w:val="00C828F5"/>
    <w:rsid w:val="00C82DFF"/>
    <w:rsid w:val="00C86D09"/>
    <w:rsid w:val="00C878D9"/>
    <w:rsid w:val="00C87F13"/>
    <w:rsid w:val="00C87F5E"/>
    <w:rsid w:val="00C9028C"/>
    <w:rsid w:val="00C90FFD"/>
    <w:rsid w:val="00C91DFF"/>
    <w:rsid w:val="00C91F93"/>
    <w:rsid w:val="00C94D54"/>
    <w:rsid w:val="00C96C58"/>
    <w:rsid w:val="00C96C63"/>
    <w:rsid w:val="00C96ED2"/>
    <w:rsid w:val="00C977B6"/>
    <w:rsid w:val="00CA041E"/>
    <w:rsid w:val="00CA08DE"/>
    <w:rsid w:val="00CA2A40"/>
    <w:rsid w:val="00CA41F4"/>
    <w:rsid w:val="00CB28C1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3C45"/>
    <w:rsid w:val="00CD430E"/>
    <w:rsid w:val="00CD4BBB"/>
    <w:rsid w:val="00CD5BA5"/>
    <w:rsid w:val="00CD6033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106E"/>
    <w:rsid w:val="00D82D64"/>
    <w:rsid w:val="00D83BDC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E001DB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4203"/>
    <w:rsid w:val="00E6780F"/>
    <w:rsid w:val="00E712C1"/>
    <w:rsid w:val="00E713D3"/>
    <w:rsid w:val="00E71C24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75C"/>
    <w:rsid w:val="00EC2BDC"/>
    <w:rsid w:val="00EC47F9"/>
    <w:rsid w:val="00EC511C"/>
    <w:rsid w:val="00EC5F06"/>
    <w:rsid w:val="00EC6303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7026D"/>
    <w:rsid w:val="00F70972"/>
    <w:rsid w:val="00F72337"/>
    <w:rsid w:val="00F7248E"/>
    <w:rsid w:val="00F73728"/>
    <w:rsid w:val="00F73DC7"/>
    <w:rsid w:val="00F73E49"/>
    <w:rsid w:val="00F74E78"/>
    <w:rsid w:val="00F75F96"/>
    <w:rsid w:val="00F770E3"/>
    <w:rsid w:val="00F7731E"/>
    <w:rsid w:val="00F775EF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90A"/>
    <w:rsid w:val="00FC4ADB"/>
    <w:rsid w:val="00FD0E52"/>
    <w:rsid w:val="00FD1248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C66"/>
  </w:style>
  <w:style w:type="paragraph" w:styleId="Heading1">
    <w:name w:val="heading 1"/>
    <w:basedOn w:val="Normal"/>
    <w:next w:val="Normal"/>
    <w:link w:val="1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hAnsi="Times New Roman" w:eastAsiaTheme="majorEastAsia" w:cs="Times New Roman"/>
      <w:bCs/>
      <w:iCs/>
      <w:sz w:val="30"/>
      <w:szCs w:val="30"/>
      <w:lang w:eastAsia="ru-RU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маркированный"/>
    <w:basedOn w:val="Normal"/>
    <w:link w:val="a1"/>
    <w:uiPriority w:val="34"/>
    <w:qFormat/>
    <w:rsid w:val="006C362D"/>
    <w:pPr>
      <w:ind w:left="720"/>
      <w:contextualSpacing/>
    </w:pPr>
  </w:style>
  <w:style w:type="paragraph" w:styleId="Header">
    <w:name w:val="header"/>
    <w:basedOn w:val="Normal"/>
    <w:link w:val="a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rsid w:val="00AD7754"/>
  </w:style>
  <w:style w:type="paragraph" w:styleId="Footer">
    <w:name w:val="footer"/>
    <w:basedOn w:val="Normal"/>
    <w:link w:val="a0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D7754"/>
  </w:style>
  <w:style w:type="table" w:styleId="TableGrid">
    <w:name w:val="Table Grid"/>
    <w:basedOn w:val="TableNormal"/>
    <w:uiPriority w:val="3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Абзац списка Знак"/>
    <w:aliases w:val="маркированный Знак"/>
    <w:link w:val="ListParagraph"/>
    <w:uiPriority w:val="34"/>
    <w:locked/>
    <w:rsid w:val="00682876"/>
  </w:style>
  <w:style w:type="character" w:styleId="Hyperlink">
    <w:name w:val="Hyperlink"/>
    <w:basedOn w:val="DefaultParagraphFont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2">
    <w:name w:val="a"/>
    <w:basedOn w:val="Normal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A5325B"/>
    <w:rPr>
      <w:b/>
      <w:bCs/>
    </w:rPr>
  </w:style>
  <w:style w:type="character" w:customStyle="1" w:styleId="4">
    <w:name w:val="Заголовок 4 Знак"/>
    <w:basedOn w:val="DefaultParagraphFont"/>
    <w:link w:val="Heading4"/>
    <w:uiPriority w:val="9"/>
    <w:rsid w:val="00E833A0"/>
    <w:rPr>
      <w:rFonts w:ascii="Times New Roman" w:hAnsi="Times New Roman" w:eastAsiaTheme="majorEastAsia" w:cs="Times New Roman"/>
      <w:bCs/>
      <w:iCs/>
      <w:sz w:val="30"/>
      <w:szCs w:val="30"/>
      <w:lang w:eastAsia="ru-RU"/>
    </w:rPr>
  </w:style>
  <w:style w:type="paragraph" w:styleId="NormalWeb">
    <w:name w:val="Normal (Web)"/>
    <w:basedOn w:val="Normal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DefaultParagraphFont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Обычный!!"/>
    <w:basedOn w:val="Normal"/>
    <w:link w:val="a5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бычный!! Знак"/>
    <w:basedOn w:val="DefaultParagraphFont"/>
    <w:link w:val="a4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76938"/>
    <w:rPr>
      <w:sz w:val="16"/>
      <w:szCs w:val="16"/>
    </w:rPr>
  </w:style>
  <w:style w:type="paragraph" w:styleId="CommentText">
    <w:name w:val="annotation text"/>
    <w:basedOn w:val="Normal"/>
    <w:link w:val="a6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DefaultParagraphFont"/>
    <w:link w:val="CommentText"/>
    <w:uiPriority w:val="99"/>
    <w:semiHidden/>
    <w:rsid w:val="00C76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7"/>
    <w:uiPriority w:val="99"/>
    <w:semiHidden/>
    <w:unhideWhenUsed/>
    <w:rsid w:val="00C76938"/>
    <w:rPr>
      <w:b/>
      <w:bCs/>
    </w:rPr>
  </w:style>
  <w:style w:type="character" w:customStyle="1" w:styleId="a7">
    <w:name w:val="Тема примечания Знак"/>
    <w:basedOn w:val="a6"/>
    <w:link w:val="CommentSubject"/>
    <w:uiPriority w:val="99"/>
    <w:semiHidden/>
    <w:rsid w:val="00C76938"/>
    <w:rPr>
      <w:b/>
      <w:bCs/>
      <w:sz w:val="20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94F51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hAnsi="Times New Roman" w:eastAsiaTheme="minorEastAsia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NoSpacing">
    <w:name w:val="No Spacing"/>
    <w:link w:val="a9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DefaultParagraphFont"/>
    <w:link w:val="NoSpacing"/>
    <w:uiPriority w:val="1"/>
    <w:rsid w:val="001963D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13EF"/>
    <w:pPr>
      <w:spacing w:after="100"/>
      <w:ind w:left="440"/>
    </w:pPr>
  </w:style>
  <w:style w:type="paragraph" w:styleId="Subtitle">
    <w:name w:val="Subtitle"/>
    <w:basedOn w:val="Normal"/>
    <w:next w:val="Normal"/>
    <w:link w:val="a11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11">
    <w:name w:val="Подзаголовок Знак"/>
    <w:basedOn w:val="DefaultParagraphFont"/>
    <w:link w:val="Subtitle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Normal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DefaultParagraphFont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a12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12">
    <w:name w:val="Текст Знак"/>
    <w:basedOn w:val="DefaultParagraphFont"/>
    <w:link w:val="PlainText"/>
    <w:uiPriority w:val="99"/>
    <w:rsid w:val="00C6011E"/>
    <w:rPr>
      <w:rFonts w:ascii="Calibri" w:hAnsi="Calibri" w:cs="Times New Roman"/>
      <w:lang w:eastAsia="ru-RU"/>
    </w:rPr>
  </w:style>
  <w:style w:type="paragraph" w:customStyle="1" w:styleId="a13">
    <w:name w:val="Полнотекст_ЗАГОЛОВОК"/>
    <w:basedOn w:val="Normal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Normal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14">
    <w:name w:val="Полнотекст_СМИ"/>
    <w:basedOn w:val="Normal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DefaultParagraphFont"/>
    <w:rsid w:val="00C6011E"/>
  </w:style>
  <w:style w:type="character" w:customStyle="1" w:styleId="updated">
    <w:name w:val="updated"/>
    <w:basedOn w:val="DefaultParagraphFont"/>
    <w:rsid w:val="00C6011E"/>
  </w:style>
  <w:style w:type="character" w:customStyle="1" w:styleId="text-nowrap">
    <w:name w:val="text-nowrap"/>
    <w:basedOn w:val="DefaultParagraphFont"/>
    <w:rsid w:val="00C6011E"/>
  </w:style>
  <w:style w:type="character" w:customStyle="1" w:styleId="9">
    <w:name w:val="Заголовок 9 Знак"/>
    <w:basedOn w:val="DefaultParagraphFont"/>
    <w:link w:val="Heading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">
    <w:name w:val="Основной текст 22"/>
    <w:basedOn w:val="Normal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Дата1"/>
    <w:basedOn w:val="DefaultParagraphFont"/>
    <w:rsid w:val="00284A27"/>
  </w:style>
  <w:style w:type="paragraph" w:customStyle="1" w:styleId="simple-share">
    <w:name w:val="simple-share"/>
    <w:basedOn w:val="Normal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DefaultParagraphFont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Normal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1">
    <w:name w:val="Абзац списка1"/>
    <w:aliases w:val="List Paragraph_0,Цветная заливка - Акцент 31,Цветной список - Акцент 11,№ статьи"/>
    <w:basedOn w:val="Normal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№2_"/>
    <w:link w:val="23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3">
    <w:name w:val="Заголовок №2"/>
    <w:basedOn w:val="Normal"/>
    <w:link w:val="20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Normal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Normal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DefaultParagraphFont"/>
    <w:rsid w:val="00E93AEA"/>
  </w:style>
  <w:style w:type="character" w:customStyle="1" w:styleId="day">
    <w:name w:val="day"/>
    <w:basedOn w:val="DefaultParagraphFont"/>
    <w:rsid w:val="006D5813"/>
  </w:style>
  <w:style w:type="character" w:customStyle="1" w:styleId="month">
    <w:name w:val="month"/>
    <w:basedOn w:val="DefaultParagraphFont"/>
    <w:rsid w:val="006D5813"/>
  </w:style>
  <w:style w:type="character" w:customStyle="1" w:styleId="year">
    <w:name w:val="year"/>
    <w:basedOn w:val="DefaultParagraphFont"/>
    <w:rsid w:val="006D5813"/>
  </w:style>
  <w:style w:type="character" w:customStyle="1" w:styleId="extended-textshort">
    <w:name w:val="extended-text__short"/>
    <w:basedOn w:val="DefaultParagraphFont"/>
    <w:rsid w:val="006E079A"/>
  </w:style>
  <w:style w:type="character" w:styleId="FollowedHyperlink">
    <w:name w:val="FollowedHyperlink"/>
    <w:basedOn w:val="DefaultParagraphFont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Normal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Normal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DefaultParagraphFont"/>
    <w:rsid w:val="00367FE6"/>
  </w:style>
  <w:style w:type="paragraph" w:customStyle="1" w:styleId="b-incuttext">
    <w:name w:val="b-incut__text"/>
    <w:basedOn w:val="Normal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DefaultParagraphFont"/>
    <w:rsid w:val="00367FE6"/>
  </w:style>
  <w:style w:type="character" w:customStyle="1" w:styleId="5">
    <w:name w:val="Заголовок 5 Знак"/>
    <w:basedOn w:val="DefaultParagraphFont"/>
    <w:link w:val="Heading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Normal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Normal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DefaultParagraphFont"/>
    <w:rsid w:val="00A36158"/>
  </w:style>
  <w:style w:type="paragraph" w:styleId="FootnoteText">
    <w:name w:val="footnote text"/>
    <w:basedOn w:val="Normal"/>
    <w:link w:val="a1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15">
    <w:name w:val="Текст сноски Знак"/>
    <w:basedOn w:val="DefaultParagraphFont"/>
    <w:link w:val="FootnoteText"/>
    <w:uiPriority w:val="99"/>
    <w:semiHidden/>
    <w:rsid w:val="00BC46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462A"/>
    <w:rPr>
      <w:vertAlign w:val="superscript"/>
    </w:rPr>
  </w:style>
  <w:style w:type="paragraph" w:styleId="EndnoteText">
    <w:name w:val="endnote text"/>
    <w:basedOn w:val="Normal"/>
    <w:link w:val="a16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16">
    <w:name w:val="Текст концевой сноски Знак"/>
    <w:basedOn w:val="DefaultParagraphFont"/>
    <w:link w:val="EndnoteText"/>
    <w:uiPriority w:val="99"/>
    <w:semiHidden/>
    <w:rsid w:val="00BC46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462A"/>
    <w:rPr>
      <w:vertAlign w:val="superscript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arka.am/ru/news/economy/poetapnaya_liberalizatsiya_energorynka_armenii_startuet_s_1_fevralya_2022_goda_zamministra/" TargetMode="External" /><Relationship Id="rId7" Type="http://schemas.openxmlformats.org/officeDocument/2006/relationships/hyperlink" Target="tel:017-2021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7D41-48DD-44A6-BFC2-E557F842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21</Pages>
  <Words>6226</Words>
  <Characters>35490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Анашев Аслан</cp:lastModifiedBy>
  <cp:revision>64</cp:revision>
  <cp:lastPrinted>2021-02-16T04:18:00Z</cp:lastPrinted>
  <dcterms:created xsi:type="dcterms:W3CDTF">2022-03-29T10:55:00Z</dcterms:created>
  <dcterms:modified xsi:type="dcterms:W3CDTF">2022-05-26T10:26:00Z</dcterms:modified>
</cp:coreProperties>
</file>