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4685" w14:textId="77777777" w:rsidR="00820E9B" w:rsidRDefault="00820E9B"/>
    <w:p w14:paraId="35C44CC9" w14:textId="16A35814" w:rsidR="00AE32BE" w:rsidRPr="00636AF4" w:rsidRDefault="00AE32BE" w:rsidP="00AE32BE">
      <w:pPr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636AF4">
        <w:rPr>
          <w:rFonts w:ascii="Times New Roman" w:eastAsiaTheme="minorHAnsi" w:hAnsi="Times New Roman"/>
          <w:b/>
          <w:sz w:val="28"/>
          <w:szCs w:val="28"/>
          <w:lang w:val="en-US"/>
        </w:rPr>
        <w:t>The meeting held on May 31, 2021.</w:t>
      </w:r>
    </w:p>
    <w:p w14:paraId="33CE0765" w14:textId="46340BAA" w:rsidR="00AE32BE" w:rsidRPr="00AE32BE" w:rsidRDefault="00AE32BE" w:rsidP="00AE32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AE32B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Company’s Board of Directors considered the following items on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31 </w:t>
      </w:r>
      <w:r w:rsidR="00BC32E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May </w:t>
      </w:r>
      <w:r w:rsidR="00BC32EB" w:rsidRPr="00AE32BE">
        <w:rPr>
          <w:rFonts w:ascii="Times New Roman" w:eastAsia="Times New Roman" w:hAnsi="Times New Roman"/>
          <w:sz w:val="28"/>
          <w:szCs w:val="28"/>
          <w:lang w:val="en-US" w:eastAsia="ru-RU"/>
        </w:rPr>
        <w:t>of</w:t>
      </w:r>
      <w:r w:rsidRPr="00AE32B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21</w:t>
      </w:r>
      <w:r w:rsidRPr="00AE32B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in accordance with “</w:t>
      </w:r>
      <w:proofErr w:type="spellStart"/>
      <w:r w:rsidRPr="00AE32BE">
        <w:rPr>
          <w:rFonts w:ascii="Times New Roman" w:eastAsia="Times New Roman" w:hAnsi="Times New Roman"/>
          <w:sz w:val="28"/>
          <w:szCs w:val="28"/>
          <w:lang w:val="en-US" w:eastAsia="ru-RU"/>
        </w:rPr>
        <w:t>Samruk</w:t>
      </w:r>
      <w:proofErr w:type="spellEnd"/>
      <w:r w:rsidRPr="00AE32BE">
        <w:rPr>
          <w:rFonts w:ascii="Times New Roman" w:eastAsia="Times New Roman" w:hAnsi="Times New Roman"/>
          <w:sz w:val="28"/>
          <w:szCs w:val="28"/>
          <w:lang w:val="en-US" w:eastAsia="ru-RU"/>
        </w:rPr>
        <w:t>-Energy” JSC Charter, the Regulations on the Board of Directors of “</w:t>
      </w:r>
      <w:proofErr w:type="spellStart"/>
      <w:r w:rsidRPr="00AE32BE">
        <w:rPr>
          <w:rFonts w:ascii="Times New Roman" w:eastAsia="Times New Roman" w:hAnsi="Times New Roman"/>
          <w:sz w:val="28"/>
          <w:szCs w:val="28"/>
          <w:lang w:val="en-US" w:eastAsia="ru-RU"/>
        </w:rPr>
        <w:t>Samruk</w:t>
      </w:r>
      <w:proofErr w:type="spellEnd"/>
      <w:r w:rsidRPr="00AE32B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-Energy” JSC, the Republic of Kazakhstan Law "On </w:t>
      </w:r>
      <w:r w:rsidRPr="00AE32B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joint-stock companies":</w:t>
      </w:r>
    </w:p>
    <w:p w14:paraId="12E6D24B" w14:textId="77777777" w:rsidR="00AE32BE" w:rsidRDefault="00AE32BE" w:rsidP="00BC32EB">
      <w:pPr>
        <w:spacing w:after="0"/>
        <w:rPr>
          <w:rFonts w:ascii="Times New Roman" w:eastAsiaTheme="minorHAnsi" w:hAnsi="Times New Roman"/>
          <w:bCs/>
          <w:sz w:val="28"/>
          <w:szCs w:val="28"/>
          <w:lang w:val="en-US"/>
        </w:rPr>
      </w:pPr>
    </w:p>
    <w:p w14:paraId="32AA4406" w14:textId="581EC58C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- 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>The r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eport of the Chairman of the Management Board (CEO) of the Company on the Company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>’s operations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for the past period.</w:t>
      </w:r>
    </w:p>
    <w:p w14:paraId="49007584" w14:textId="0409C7D5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- 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>The r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eport of the Managing Director for Econom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>y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and Finance (CFO) of the Company.</w:t>
      </w:r>
    </w:p>
    <w:p w14:paraId="31A932E7" w14:textId="05AD89AC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- On approval of the Company's Budget for the first calendar year (2021), planned by the Company's development plan (business plan) for 2021-2025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with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adjustments.</w:t>
      </w:r>
    </w:p>
    <w:p w14:paraId="43129B9D" w14:textId="7C138902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- On approval of the report on the 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>execution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of the Action Plan for the implementation of the Company's Development Strategy for 2018-2028 based on the results of the 1st quarter of 2021.</w:t>
      </w:r>
    </w:p>
    <w:p w14:paraId="3BE8ABC1" w14:textId="77777777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- Approval of the integrated annual report on the results of the Company's activities for 2020.</w:t>
      </w:r>
    </w:p>
    <w:p w14:paraId="6811DD28" w14:textId="0BC39EE9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- On consideration of the risk management report with a description and analysis of the Company's key risks, as well as information on the implementation of plans and programs 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for mitigating 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the Company's risks for the 1st quarter of 2021.</w:t>
      </w:r>
    </w:p>
    <w:p w14:paraId="105E43C4" w14:textId="58121417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- On preliminary approval of amendments to the 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Company’s 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Charter.</w:t>
      </w:r>
    </w:p>
    <w:p w14:paraId="0B5A6FD4" w14:textId="77777777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- Report on the activities of the Internal Audit Service of the Company for the 1st quarter of 2021.</w:t>
      </w:r>
    </w:p>
    <w:p w14:paraId="2780BF48" w14:textId="1231A583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- On the appointment of </w:t>
      </w:r>
      <w:r w:rsidR="008B6894">
        <w:rPr>
          <w:rFonts w:ascii="Times New Roman" w:eastAsiaTheme="minorHAnsi" w:hAnsi="Times New Roman"/>
          <w:bCs/>
          <w:sz w:val="28"/>
          <w:szCs w:val="28"/>
          <w:lang w:val="en-US"/>
        </w:rPr>
        <w:t>2</w:t>
      </w:r>
      <w:r w:rsidR="008B6894" w:rsidRPr="008B6894">
        <w:rPr>
          <w:rFonts w:ascii="Times New Roman" w:eastAsiaTheme="minorHAnsi" w:hAnsi="Times New Roman"/>
          <w:bCs/>
          <w:sz w:val="28"/>
          <w:szCs w:val="28"/>
          <w:vertAlign w:val="superscript"/>
          <w:lang w:val="en-US"/>
        </w:rPr>
        <w:t>nd</w:t>
      </w:r>
      <w:r w:rsidR="008B6894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level 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Chief Auditor and the</w:t>
      </w:r>
      <w:r w:rsidR="008B6894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1</w:t>
      </w:r>
      <w:r w:rsidR="008B6894" w:rsidRPr="008B6894">
        <w:rPr>
          <w:rFonts w:ascii="Times New Roman" w:eastAsiaTheme="minorHAnsi" w:hAnsi="Times New Roman"/>
          <w:bCs/>
          <w:sz w:val="28"/>
          <w:szCs w:val="28"/>
          <w:vertAlign w:val="superscript"/>
          <w:lang w:val="en-US"/>
        </w:rPr>
        <w:t>st</w:t>
      </w:r>
      <w:r w:rsidR="008B6894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level 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Auditor of the Internal Audit Service of the Company.</w:t>
      </w:r>
    </w:p>
    <w:p w14:paraId="1136E787" w14:textId="472CF2CE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- On the appointment of </w:t>
      </w:r>
      <w:r w:rsidR="008B6894">
        <w:rPr>
          <w:rFonts w:ascii="Times New Roman" w:eastAsiaTheme="minorHAnsi" w:hAnsi="Times New Roman"/>
          <w:bCs/>
          <w:sz w:val="28"/>
          <w:szCs w:val="28"/>
          <w:lang w:val="en-US"/>
        </w:rPr>
        <w:t>1</w:t>
      </w:r>
      <w:r w:rsidR="008B6894" w:rsidRPr="008B6894">
        <w:rPr>
          <w:rFonts w:ascii="Times New Roman" w:eastAsiaTheme="minorHAnsi" w:hAnsi="Times New Roman"/>
          <w:bCs/>
          <w:sz w:val="28"/>
          <w:szCs w:val="28"/>
          <w:vertAlign w:val="superscript"/>
          <w:lang w:val="en-US"/>
        </w:rPr>
        <w:t>st</w:t>
      </w:r>
      <w:r w:rsidR="008B6894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level 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Chief Auditor of the Internal Audit Service of the Company.</w:t>
      </w:r>
    </w:p>
    <w:p w14:paraId="025CECA1" w14:textId="71D8A19F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- On the payment of remuneration to the</w:t>
      </w:r>
      <w:r w:rsidR="008B6894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Director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General </w:t>
      </w:r>
      <w:r w:rsidR="008B6894">
        <w:rPr>
          <w:rFonts w:ascii="Times New Roman" w:eastAsiaTheme="minorHAnsi" w:hAnsi="Times New Roman"/>
          <w:bCs/>
          <w:sz w:val="28"/>
          <w:szCs w:val="28"/>
          <w:lang w:val="en-US"/>
        </w:rPr>
        <w:t>“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Energy Solutions Center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”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LLP based on the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2020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results.</w:t>
      </w:r>
    </w:p>
    <w:p w14:paraId="24B7C044" w14:textId="77777777" w:rsidR="00BC32EB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- On changing the Roadmap of the Digital Transformation program and the checklist of key results for 2020-2023</w:t>
      </w:r>
      <w:r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under the project SKE.03.01 P "Introduction of A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utomatic Load and Frequency </w:t>
      </w:r>
      <w:proofErr w:type="gramStart"/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control</w:t>
      </w:r>
      <w:proofErr w:type="gramEnd"/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” </w:t>
      </w:r>
    </w:p>
    <w:p w14:paraId="78B1016B" w14:textId="674841F5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On consideration of the issue of closing the project “Implementation of a system for oil-free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s start-up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of boiler units (</w:t>
      </w:r>
      <w:proofErr w:type="spellStart"/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Plasm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otron</w:t>
      </w:r>
      <w:proofErr w:type="spellEnd"/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)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.</w:t>
      </w:r>
    </w:p>
    <w:p w14:paraId="39905DE8" w14:textId="27AB2C7F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- On the conclusion of a Long-term contract for the purchase and sale of 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electricity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between 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“</w:t>
      </w:r>
      <w:proofErr w:type="spellStart"/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Ekibastuz</w:t>
      </w:r>
      <w:proofErr w:type="spellEnd"/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SDPP-1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”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LLP and 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“</w:t>
      </w:r>
      <w:proofErr w:type="spellStart"/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Ekib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ast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uzFerroAlloys</w:t>
      </w:r>
      <w:proofErr w:type="spellEnd"/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”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LLP.</w:t>
      </w:r>
    </w:p>
    <w:p w14:paraId="726F66D1" w14:textId="77777777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lastRenderedPageBreak/>
        <w:t>- On approval of the Report on the implementation of the Company's Development Plan for the 1st quarter of 2021.</w:t>
      </w:r>
    </w:p>
    <w:p w14:paraId="36C86274" w14:textId="20E4B2D5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- On consideration of the report on the 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utilization 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of investments in the investment projects of the Company based on the results of the 1st quarter of 2021.</w:t>
      </w:r>
    </w:p>
    <w:p w14:paraId="4075BFCD" w14:textId="591A450A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- On consideration of the Report on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the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work 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performed in the field </w:t>
      </w:r>
      <w:proofErr w:type="gramStart"/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of  health</w:t>
      </w:r>
      <w:proofErr w:type="gramEnd"/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, safety and workplace injuries 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for the 1st quarter of 2021 and the Report on work in the field of environmental protection for the 1st quarter of 2021.</w:t>
      </w:r>
    </w:p>
    <w:p w14:paraId="004BF624" w14:textId="77777777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- On approval of the report on the work of the Compliance Service for the 1st quarter of 2021.</w:t>
      </w:r>
    </w:p>
    <w:p w14:paraId="7D2E6E4F" w14:textId="526A9306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- 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Appraisal of performance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of the Compliance Service of the Company based on 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performance results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for the 1st quarter of 2021.</w:t>
      </w:r>
    </w:p>
    <w:p w14:paraId="794AC57B" w14:textId="11CC5BA7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- Evaluation of the effectiveness of 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work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of</w:t>
      </w:r>
      <w:proofErr w:type="spellEnd"/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the Internal Audit Service of the Company and its head based on the results of the 1st quarter of 2021. 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Payment of b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onuses for employees of the Internal Audit Service of the Company based on the results of the 1st quarter of 2021.</w:t>
      </w:r>
    </w:p>
    <w:p w14:paraId="448706C8" w14:textId="1332B541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- On payment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of bonuses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to the Corporate Secretary of the Company based on 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performance results 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for the 1st quarter of 2021.</w:t>
      </w:r>
    </w:p>
    <w:p w14:paraId="0B1BED51" w14:textId="5474CD6E" w:rsidR="00AE32BE" w:rsidRPr="00AE32BE" w:rsidRDefault="00AE32BE" w:rsidP="00BC32EB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val="en-US"/>
        </w:rPr>
      </w:pP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- On approval of the Report on self-assessment of 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>performance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of the Board of Directors and its committees, the Chairman, members of the Board of Directors and the Corporate Secretary of the Company based on 2019-2020</w:t>
      </w:r>
      <w:r w:rsidR="00BC32EB">
        <w:rPr>
          <w:rFonts w:ascii="Times New Roman" w:eastAsiaTheme="minorHAnsi" w:hAnsi="Times New Roman"/>
          <w:bCs/>
          <w:sz w:val="28"/>
          <w:szCs w:val="28"/>
          <w:lang w:val="en-US"/>
        </w:rPr>
        <w:t xml:space="preserve"> results</w:t>
      </w:r>
      <w:r w:rsidRPr="00AE32BE">
        <w:rPr>
          <w:rFonts w:ascii="Times New Roman" w:eastAsiaTheme="minorHAnsi" w:hAnsi="Times New Roman"/>
          <w:bCs/>
          <w:sz w:val="28"/>
          <w:szCs w:val="28"/>
          <w:lang w:val="en-US"/>
        </w:rPr>
        <w:t>.</w:t>
      </w:r>
    </w:p>
    <w:p w14:paraId="5BD71506" w14:textId="77777777" w:rsidR="00BC32EB" w:rsidRPr="00636AF4" w:rsidRDefault="00BC32EB" w:rsidP="00BC32EB">
      <w:pPr>
        <w:spacing w:after="0"/>
        <w:rPr>
          <w:rFonts w:ascii="Times New Roman" w:eastAsiaTheme="minorHAnsi" w:hAnsi="Times New Roman"/>
          <w:b/>
          <w:sz w:val="28"/>
          <w:szCs w:val="28"/>
          <w:lang w:val="en-US"/>
        </w:rPr>
      </w:pPr>
    </w:p>
    <w:p w14:paraId="4E85CF94" w14:textId="77F06171" w:rsidR="00AE32BE" w:rsidRPr="00636AF4" w:rsidRDefault="00AE32BE" w:rsidP="00BC32EB">
      <w:pPr>
        <w:spacing w:after="0"/>
        <w:rPr>
          <w:rFonts w:ascii="Times New Roman" w:eastAsiaTheme="minorHAnsi" w:hAnsi="Times New Roman"/>
          <w:b/>
          <w:sz w:val="28"/>
          <w:szCs w:val="28"/>
          <w:lang w:val="en-US"/>
        </w:rPr>
      </w:pPr>
      <w:r w:rsidRPr="00636AF4">
        <w:rPr>
          <w:rFonts w:ascii="Times New Roman" w:eastAsiaTheme="minorHAnsi" w:hAnsi="Times New Roman"/>
          <w:b/>
          <w:sz w:val="28"/>
          <w:szCs w:val="28"/>
          <w:lang w:val="en-US"/>
        </w:rPr>
        <w:t>The following members of the Board of Directors participated:</w:t>
      </w:r>
    </w:p>
    <w:p w14:paraId="7E79422B" w14:textId="1FF9DFA9" w:rsidR="00AE32BE" w:rsidRPr="00636AF4" w:rsidRDefault="00AE32BE" w:rsidP="00BC32EB">
      <w:pPr>
        <w:spacing w:after="0"/>
        <w:rPr>
          <w:rFonts w:ascii="Times New Roman" w:eastAsiaTheme="minorHAnsi" w:hAnsi="Times New Roman"/>
          <w:b/>
          <w:sz w:val="28"/>
          <w:szCs w:val="28"/>
          <w:lang w:val="en-US"/>
        </w:rPr>
      </w:pPr>
      <w:proofErr w:type="spellStart"/>
      <w:r w:rsidRPr="00636AF4">
        <w:rPr>
          <w:rFonts w:ascii="Times New Roman" w:eastAsiaTheme="minorHAnsi" w:hAnsi="Times New Roman"/>
          <w:b/>
          <w:sz w:val="28"/>
          <w:szCs w:val="28"/>
          <w:lang w:val="en-US"/>
        </w:rPr>
        <w:t>Akchulakov</w:t>
      </w:r>
      <w:proofErr w:type="spellEnd"/>
      <w:r w:rsidRPr="00636AF4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B.U., Kravchenko A.N., Andreas </w:t>
      </w:r>
      <w:proofErr w:type="spellStart"/>
      <w:r w:rsidRPr="00636AF4">
        <w:rPr>
          <w:rFonts w:ascii="Times New Roman" w:eastAsiaTheme="minorHAnsi" w:hAnsi="Times New Roman"/>
          <w:b/>
          <w:sz w:val="28"/>
          <w:szCs w:val="28"/>
          <w:lang w:val="en-US"/>
        </w:rPr>
        <w:t>Sto</w:t>
      </w:r>
      <w:r w:rsidR="00BC32EB" w:rsidRPr="00636AF4">
        <w:rPr>
          <w:rFonts w:ascii="Times New Roman" w:eastAsiaTheme="minorHAnsi" w:hAnsi="Times New Roman"/>
          <w:b/>
          <w:sz w:val="28"/>
          <w:szCs w:val="28"/>
          <w:lang w:val="en-US"/>
        </w:rPr>
        <w:t>e</w:t>
      </w:r>
      <w:r w:rsidRPr="00636AF4">
        <w:rPr>
          <w:rFonts w:ascii="Times New Roman" w:eastAsiaTheme="minorHAnsi" w:hAnsi="Times New Roman"/>
          <w:b/>
          <w:sz w:val="28"/>
          <w:szCs w:val="28"/>
          <w:lang w:val="en-US"/>
        </w:rPr>
        <w:t>rzel</w:t>
      </w:r>
      <w:proofErr w:type="spellEnd"/>
      <w:r w:rsidRPr="00636AF4">
        <w:rPr>
          <w:rFonts w:ascii="Times New Roman" w:eastAsiaTheme="minorHAnsi" w:hAnsi="Times New Roman"/>
          <w:b/>
          <w:sz w:val="28"/>
          <w:szCs w:val="28"/>
          <w:lang w:val="en-US"/>
        </w:rPr>
        <w:t>,</w:t>
      </w:r>
    </w:p>
    <w:p w14:paraId="5B486BF2" w14:textId="0CEC70EC" w:rsidR="00E814AE" w:rsidRPr="00636AF4" w:rsidRDefault="00AE32BE" w:rsidP="00BC32EB">
      <w:pPr>
        <w:spacing w:after="0"/>
        <w:rPr>
          <w:b/>
          <w:lang w:val="en-US"/>
        </w:rPr>
      </w:pPr>
      <w:r w:rsidRPr="00636AF4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Joaquin Galindo, </w:t>
      </w:r>
      <w:proofErr w:type="spellStart"/>
      <w:r w:rsidRPr="00636AF4">
        <w:rPr>
          <w:rFonts w:ascii="Times New Roman" w:eastAsiaTheme="minorHAnsi" w:hAnsi="Times New Roman"/>
          <w:b/>
          <w:sz w:val="28"/>
          <w:szCs w:val="28"/>
          <w:lang w:val="en-US"/>
        </w:rPr>
        <w:t>Yesimkhanov</w:t>
      </w:r>
      <w:proofErr w:type="spellEnd"/>
      <w:r w:rsidRPr="00636AF4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S.K.</w:t>
      </w:r>
    </w:p>
    <w:sectPr w:rsidR="00E814AE" w:rsidRPr="0063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AE"/>
    <w:rsid w:val="001875B2"/>
    <w:rsid w:val="00636AF4"/>
    <w:rsid w:val="00820E9B"/>
    <w:rsid w:val="008B6894"/>
    <w:rsid w:val="00AE32BE"/>
    <w:rsid w:val="00B007BE"/>
    <w:rsid w:val="00BC32EB"/>
    <w:rsid w:val="00E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9BBF"/>
  <w15:chartTrackingRefBased/>
  <w15:docId w15:val="{B13F68F3-00BD-40B1-A697-E2164354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Nurlanova Laura</cp:lastModifiedBy>
  <cp:revision>3</cp:revision>
  <dcterms:created xsi:type="dcterms:W3CDTF">2023-08-10T17:45:00Z</dcterms:created>
  <dcterms:modified xsi:type="dcterms:W3CDTF">2023-08-10T17:46:00Z</dcterms:modified>
</cp:coreProperties>
</file>