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DEDD8" w14:textId="450AC66A" w:rsidR="00F82ACB" w:rsidRPr="00F82ACB" w:rsidRDefault="00D31098" w:rsidP="00D31098">
      <w:pPr>
        <w:spacing w:line="252" w:lineRule="auto"/>
        <w:rPr>
          <w:b/>
          <w:bCs/>
          <w:sz w:val="28"/>
          <w:szCs w:val="28"/>
          <w:lang w:val="en-US"/>
        </w:rPr>
      </w:pPr>
      <w:r w:rsidRPr="00D31098">
        <w:rPr>
          <w:rFonts w:eastAsiaTheme="minorHAnsi"/>
          <w:b/>
          <w:sz w:val="28"/>
          <w:szCs w:val="28"/>
          <w:lang w:val="en-US" w:eastAsia="en-US"/>
        </w:rPr>
        <w:t xml:space="preserve">       </w:t>
      </w:r>
      <w:r w:rsidR="00F82ACB" w:rsidRPr="00F82ACB">
        <w:rPr>
          <w:b/>
          <w:bCs/>
          <w:sz w:val="28"/>
          <w:szCs w:val="28"/>
          <w:lang w:val="en-US"/>
        </w:rPr>
        <w:t xml:space="preserve">The meeting of the Board of Directors dated </w:t>
      </w:r>
      <w:r w:rsidR="00F82ACB">
        <w:rPr>
          <w:b/>
          <w:bCs/>
          <w:sz w:val="28"/>
          <w:szCs w:val="28"/>
          <w:lang w:val="en-US"/>
        </w:rPr>
        <w:t>December 23</w:t>
      </w:r>
      <w:r w:rsidR="00F82ACB" w:rsidRPr="00F82ACB">
        <w:rPr>
          <w:b/>
          <w:bCs/>
          <w:sz w:val="28"/>
          <w:szCs w:val="28"/>
          <w:lang w:val="en-US"/>
        </w:rPr>
        <w:t>, 2025.</w:t>
      </w:r>
    </w:p>
    <w:p w14:paraId="22BA2ADF" w14:textId="77777777" w:rsidR="00F82ACB" w:rsidRPr="00F82ACB" w:rsidRDefault="00F82ACB" w:rsidP="00F82ACB">
      <w:pPr>
        <w:ind w:firstLine="567"/>
        <w:jc w:val="both"/>
        <w:rPr>
          <w:sz w:val="28"/>
          <w:szCs w:val="28"/>
          <w:lang w:val="en-US"/>
        </w:rPr>
      </w:pPr>
    </w:p>
    <w:p w14:paraId="18DAC1D2" w14:textId="77777777" w:rsidR="00D31098" w:rsidRDefault="00F82ACB" w:rsidP="00D31098">
      <w:pPr>
        <w:ind w:firstLine="567"/>
        <w:jc w:val="both"/>
        <w:rPr>
          <w:bCs/>
          <w:sz w:val="28"/>
          <w:szCs w:val="28"/>
          <w:lang w:val="en-US"/>
        </w:rPr>
      </w:pPr>
      <w:r w:rsidRPr="00F82ACB">
        <w:rPr>
          <w:sz w:val="28"/>
          <w:szCs w:val="28"/>
          <w:lang w:val="en-US"/>
        </w:rPr>
        <w:t xml:space="preserve">The Company’s Board of Directors addressed the following agenda items on </w:t>
      </w:r>
      <w:r>
        <w:rPr>
          <w:sz w:val="28"/>
          <w:szCs w:val="28"/>
          <w:lang w:val="en-US"/>
        </w:rPr>
        <w:t>December 23, 2025</w:t>
      </w:r>
      <w:r w:rsidRPr="00F82ACB">
        <w:rPr>
          <w:sz w:val="28"/>
          <w:szCs w:val="28"/>
          <w:lang w:val="en-US"/>
        </w:rPr>
        <w:t xml:space="preserve">, in accordance with “Samruk-Energy” JSC Charter, Regulations on the Board of Directors of “Samruk-Energy” JSC, </w:t>
      </w:r>
      <w:proofErr w:type="gramStart"/>
      <w:r w:rsidRPr="00F82ACB">
        <w:rPr>
          <w:sz w:val="28"/>
          <w:szCs w:val="28"/>
          <w:lang w:val="en-US"/>
        </w:rPr>
        <w:t xml:space="preserve">the Republic of Kazakhstan law "On </w:t>
      </w:r>
      <w:r w:rsidRPr="00F82ACB">
        <w:rPr>
          <w:bCs/>
          <w:sz w:val="28"/>
          <w:szCs w:val="28"/>
          <w:lang w:val="en-US"/>
        </w:rPr>
        <w:t>joint-stock</w:t>
      </w:r>
      <w:proofErr w:type="gramEnd"/>
      <w:r w:rsidRPr="00F82ACB">
        <w:rPr>
          <w:bCs/>
          <w:sz w:val="28"/>
          <w:szCs w:val="28"/>
          <w:lang w:val="en-US"/>
        </w:rPr>
        <w:t xml:space="preserve"> companies":</w:t>
      </w:r>
    </w:p>
    <w:p w14:paraId="59E160AC" w14:textId="0E997910" w:rsidR="00D67D10" w:rsidRPr="00D67D10" w:rsidRDefault="00D31098" w:rsidP="00D31098">
      <w:pPr>
        <w:ind w:firstLine="567"/>
        <w:jc w:val="both"/>
        <w:rPr>
          <w:sz w:val="28"/>
          <w:szCs w:val="28"/>
          <w:lang w:val="en-US"/>
        </w:rPr>
      </w:pPr>
      <w:r w:rsidRPr="00D31098">
        <w:rPr>
          <w:bCs/>
          <w:sz w:val="28"/>
          <w:szCs w:val="28"/>
          <w:lang w:val="en-US"/>
        </w:rPr>
        <w:t xml:space="preserve">- </w:t>
      </w:r>
      <w:r w:rsidR="00D67D10" w:rsidRPr="00D67D10">
        <w:rPr>
          <w:sz w:val="28"/>
          <w:szCs w:val="28"/>
          <w:lang w:val="en-US"/>
        </w:rPr>
        <w:t>Performance report and assessment of the Internal Audit Service of the Company for Q4 2025. Determination of bonuses for employees of the Internal Audit Service of the Company based on Q4 2025 results.</w:t>
      </w:r>
    </w:p>
    <w:p w14:paraId="364696F4" w14:textId="7026C0C6" w:rsidR="00D67D10" w:rsidRPr="00D67D10" w:rsidRDefault="00D67D10" w:rsidP="00D31098">
      <w:pPr>
        <w:pStyle w:val="a3"/>
        <w:numPr>
          <w:ilvl w:val="0"/>
          <w:numId w:val="1"/>
        </w:numPr>
        <w:spacing w:before="0" w:beforeAutospacing="0" w:after="0" w:afterAutospacing="0"/>
        <w:ind w:left="0" w:firstLine="709"/>
        <w:jc w:val="both"/>
        <w:rPr>
          <w:sz w:val="28"/>
          <w:szCs w:val="28"/>
          <w:lang w:val="en-US"/>
        </w:rPr>
      </w:pPr>
      <w:r w:rsidRPr="00D67D10">
        <w:rPr>
          <w:sz w:val="28"/>
          <w:szCs w:val="28"/>
          <w:lang w:val="en-US"/>
        </w:rPr>
        <w:t>Performance report and assessment of the Internal Audit Service of the Company for 2025. Determination of bonuses for employees of the Internal Audit Service of the Company at the expense of labor cost savings based on the annual performance review.</w:t>
      </w:r>
    </w:p>
    <w:p w14:paraId="4D19DAC4" w14:textId="19BE610C"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Approval of the report on the work of the Compliance Service of the Company for Q4 2025 and 2025. Assessment of the performance of employees of the Compliance Service of the Company for Q4 2025 and 2025.</w:t>
      </w:r>
    </w:p>
    <w:p w14:paraId="73EA8005" w14:textId="469177DD"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 xml:space="preserve">Approval of the 2026 work plan of the Compliance Service of the Company and employees’ goal </w:t>
      </w:r>
      <w:r w:rsidR="00B10C68">
        <w:rPr>
          <w:sz w:val="28"/>
          <w:szCs w:val="28"/>
          <w:lang w:val="en-US"/>
        </w:rPr>
        <w:t xml:space="preserve">maps </w:t>
      </w:r>
      <w:r w:rsidRPr="00D67D10">
        <w:rPr>
          <w:sz w:val="28"/>
          <w:szCs w:val="28"/>
          <w:lang w:val="en-US"/>
        </w:rPr>
        <w:t>of the Compliance Service of the Company.</w:t>
      </w:r>
    </w:p>
    <w:p w14:paraId="063E3276" w14:textId="38D8359F"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Approval of the 2026 training plan for employees of the Compliance Service of the Company.</w:t>
      </w:r>
    </w:p>
    <w:p w14:paraId="1B22890C" w14:textId="598DF425"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Approval of the Company’s Materiality Matrix.</w:t>
      </w:r>
    </w:p>
    <w:p w14:paraId="16F06355" w14:textId="79C8A82C"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 xml:space="preserve">Approval of the Ombudsman’s </w:t>
      </w:r>
      <w:r w:rsidR="00B10C68">
        <w:rPr>
          <w:sz w:val="28"/>
          <w:szCs w:val="28"/>
          <w:lang w:val="en-US"/>
        </w:rPr>
        <w:t>performance</w:t>
      </w:r>
      <w:r w:rsidRPr="00D67D10">
        <w:rPr>
          <w:sz w:val="28"/>
          <w:szCs w:val="28"/>
          <w:lang w:val="en-US"/>
        </w:rPr>
        <w:t xml:space="preserve"> report and assessment of the effectiveness of achieved objectives for Q4 of the current year and for 2025. Performance review and determination of bonuses for the Ombudsman based on Q4 2025 results and for 2025.</w:t>
      </w:r>
    </w:p>
    <w:p w14:paraId="1F1F82C8" w14:textId="0E5737DF"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 xml:space="preserve">Approval of the Ombudsman’s Goal </w:t>
      </w:r>
      <w:r w:rsidR="00B10C68">
        <w:rPr>
          <w:sz w:val="28"/>
          <w:szCs w:val="28"/>
          <w:lang w:val="en-US"/>
        </w:rPr>
        <w:t>map</w:t>
      </w:r>
      <w:r w:rsidRPr="00D67D10">
        <w:rPr>
          <w:sz w:val="28"/>
          <w:szCs w:val="28"/>
          <w:lang w:val="en-US"/>
        </w:rPr>
        <w:t xml:space="preserve"> for 2026.</w:t>
      </w:r>
    </w:p>
    <w:p w14:paraId="16E8F066" w14:textId="4D58639D"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Assessment of the Corporate Secretary’s performance for Q4 2025 and 2025. Determination of bonuses for the Corporate Secretary based on Q4 2025 results and for 2025.</w:t>
      </w:r>
    </w:p>
    <w:p w14:paraId="015B464F" w14:textId="7F1B67A6"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 xml:space="preserve">Approval of the Corporate Secretary’s Goal </w:t>
      </w:r>
      <w:r w:rsidR="00B10C68">
        <w:rPr>
          <w:sz w:val="28"/>
          <w:szCs w:val="28"/>
          <w:lang w:val="en-US"/>
        </w:rPr>
        <w:t>map</w:t>
      </w:r>
      <w:r w:rsidRPr="00D67D10">
        <w:rPr>
          <w:sz w:val="28"/>
          <w:szCs w:val="28"/>
          <w:lang w:val="en-US"/>
        </w:rPr>
        <w:t xml:space="preserve"> for Q1–Q4 2026.</w:t>
      </w:r>
    </w:p>
    <w:p w14:paraId="25A50298" w14:textId="353648A7"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Conducting a self-assessment of the Board of Directors and its Committees, the Chairman, members of the Board of Directors, and the Corporate Secretary of the Company based on 2025 results.</w:t>
      </w:r>
    </w:p>
    <w:p w14:paraId="4661360B" w14:textId="7E8E00B6"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Approval of the 2026 work plan of the Board of Directors.</w:t>
      </w:r>
    </w:p>
    <w:p w14:paraId="698904C6" w14:textId="26043078"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Approval of the Rules for forming the composition of Boards of Directors / Supervisory Boards of the Company’s subsidiaries.</w:t>
      </w:r>
    </w:p>
    <w:p w14:paraId="48890502" w14:textId="09C420CC"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Consideration of the report on information security (cybersecurity), including analysis and assessment of the adequacy of the Company’s internal controls regarding the protection and maintenance of IT systems and infrastructure.</w:t>
      </w:r>
    </w:p>
    <w:p w14:paraId="4B91F8D7" w14:textId="442AE43D"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Approval of the 2026 action plan to achieve zero workplace injuries in the Company’s group of companies.</w:t>
      </w:r>
    </w:p>
    <w:p w14:paraId="3A042526" w14:textId="3C82BF7E"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Approval of the 2026 environmental management action plan in the Company’s group of companies.</w:t>
      </w:r>
    </w:p>
    <w:p w14:paraId="4C1202DD" w14:textId="7EF91B9D"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lastRenderedPageBreak/>
        <w:t>Adoption of amendments to the Rules on remuneration and bonuses for managerial staff, employees of the Internal Audit Service, Compliance Service, Corporate Secretary, and Ombudsman of the Company.</w:t>
      </w:r>
    </w:p>
    <w:p w14:paraId="6A04ACE1" w14:textId="35A543E2"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Approval of the Company’s revised Rules for providing social support to employees.</w:t>
      </w:r>
    </w:p>
    <w:p w14:paraId="50691059" w14:textId="2029F3AB"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Adoption of amendments and additions to the Regulations on the Compliance Service of the Company and job descriptions of the Compliance Service employees.</w:t>
      </w:r>
    </w:p>
    <w:p w14:paraId="69A513A6" w14:textId="0475B44D" w:rsidR="00D67D10" w:rsidRPr="00D67D10" w:rsidRDefault="00D67D10" w:rsidP="00D31098">
      <w:pPr>
        <w:pStyle w:val="a3"/>
        <w:numPr>
          <w:ilvl w:val="0"/>
          <w:numId w:val="1"/>
        </w:numPr>
        <w:ind w:left="0" w:firstLine="709"/>
        <w:jc w:val="both"/>
        <w:rPr>
          <w:sz w:val="28"/>
          <w:szCs w:val="28"/>
          <w:lang w:val="en-US"/>
        </w:rPr>
      </w:pPr>
      <w:r w:rsidRPr="00D67D10">
        <w:rPr>
          <w:sz w:val="28"/>
          <w:szCs w:val="28"/>
          <w:lang w:val="en-US"/>
        </w:rPr>
        <w:t>Conducting the final performance review of the Head and Compliance Officer of the Company’s Compliance Service for 2025.</w:t>
      </w:r>
    </w:p>
    <w:p w14:paraId="7CEFC807" w14:textId="7F263308" w:rsidR="00D67D10" w:rsidRPr="00D67D10" w:rsidRDefault="00D67D10" w:rsidP="00D31098">
      <w:pPr>
        <w:pStyle w:val="a3"/>
        <w:numPr>
          <w:ilvl w:val="0"/>
          <w:numId w:val="1"/>
        </w:numPr>
        <w:ind w:left="0" w:firstLine="709"/>
        <w:jc w:val="both"/>
        <w:rPr>
          <w:sz w:val="28"/>
          <w:szCs w:val="28"/>
          <w:lang w:val="en-US"/>
        </w:rPr>
      </w:pPr>
      <w:proofErr w:type="gramStart"/>
      <w:r w:rsidRPr="00D67D10">
        <w:rPr>
          <w:sz w:val="28"/>
          <w:szCs w:val="28"/>
          <w:lang w:val="en-US"/>
        </w:rPr>
        <w:t xml:space="preserve">Determination of the quantitative composition and term of office of the Board of Directors of Ust-Kamenogorsk HPP JSC, election of members (including an independent director) and the Chairman of the Board of Directors, as well as determination of the amount and conditions of remuneration and reimbursement of expenses for members of the Board of Directors of Ust-Kamenogorsk HPP JSC for performing their </w:t>
      </w:r>
      <w:r w:rsidR="00B10C68">
        <w:rPr>
          <w:sz w:val="28"/>
          <w:szCs w:val="28"/>
          <w:lang w:val="en-US"/>
        </w:rPr>
        <w:t>job responsibilities</w:t>
      </w:r>
      <w:r w:rsidRPr="00D67D10">
        <w:rPr>
          <w:sz w:val="28"/>
          <w:szCs w:val="28"/>
          <w:lang w:val="en-US"/>
        </w:rPr>
        <w:t>.</w:t>
      </w:r>
      <w:proofErr w:type="gramEnd"/>
    </w:p>
    <w:p w14:paraId="15D9B6FF" w14:textId="6EACD32E" w:rsidR="00D67D10" w:rsidRDefault="00D67D10" w:rsidP="00D31098">
      <w:pPr>
        <w:pStyle w:val="a3"/>
        <w:numPr>
          <w:ilvl w:val="0"/>
          <w:numId w:val="1"/>
        </w:numPr>
        <w:ind w:left="0" w:firstLine="709"/>
        <w:jc w:val="both"/>
        <w:rPr>
          <w:sz w:val="28"/>
          <w:szCs w:val="28"/>
          <w:lang w:val="en-US"/>
        </w:rPr>
      </w:pPr>
      <w:r w:rsidRPr="00D67D10">
        <w:rPr>
          <w:sz w:val="28"/>
          <w:szCs w:val="28"/>
          <w:lang w:val="en-US"/>
        </w:rPr>
        <w:t xml:space="preserve">Execution of Amendment №1 to the Credit Line Agreement №SKL-104-23 dated 8 June </w:t>
      </w:r>
      <w:proofErr w:type="gramStart"/>
      <w:r w:rsidRPr="00D67D10">
        <w:rPr>
          <w:sz w:val="28"/>
          <w:szCs w:val="28"/>
          <w:lang w:val="en-US"/>
        </w:rPr>
        <w:t>2023,</w:t>
      </w:r>
      <w:proofErr w:type="gramEnd"/>
      <w:r w:rsidRPr="00D67D10">
        <w:rPr>
          <w:sz w:val="28"/>
          <w:szCs w:val="28"/>
          <w:lang w:val="en-US"/>
        </w:rPr>
        <w:t xml:space="preserve"> concluded between </w:t>
      </w:r>
      <w:r w:rsidR="00B10C68">
        <w:rPr>
          <w:sz w:val="28"/>
          <w:szCs w:val="28"/>
          <w:lang w:val="en-US"/>
        </w:rPr>
        <w:t>APP (</w:t>
      </w:r>
      <w:r w:rsidRPr="00D67D10">
        <w:rPr>
          <w:sz w:val="28"/>
          <w:szCs w:val="28"/>
          <w:lang w:val="en-US"/>
        </w:rPr>
        <w:t>ALES</w:t>
      </w:r>
      <w:r w:rsidR="00B10C68">
        <w:rPr>
          <w:sz w:val="28"/>
          <w:szCs w:val="28"/>
          <w:lang w:val="en-US"/>
        </w:rPr>
        <w:t>)</w:t>
      </w:r>
      <w:r w:rsidRPr="00D67D10">
        <w:rPr>
          <w:sz w:val="28"/>
          <w:szCs w:val="28"/>
          <w:lang w:val="en-US"/>
        </w:rPr>
        <w:t xml:space="preserve"> JSC and Development Bank of Kazakhstan JSC.</w:t>
      </w:r>
    </w:p>
    <w:p w14:paraId="0B5430E1" w14:textId="77777777" w:rsidR="000F35C1" w:rsidRDefault="000F35C1" w:rsidP="000F35C1">
      <w:pPr>
        <w:pStyle w:val="a3"/>
        <w:numPr>
          <w:ilvl w:val="0"/>
          <w:numId w:val="1"/>
        </w:numPr>
        <w:ind w:left="0" w:firstLine="709"/>
        <w:jc w:val="both"/>
        <w:rPr>
          <w:sz w:val="28"/>
          <w:szCs w:val="28"/>
          <w:lang w:val="en-US"/>
        </w:rPr>
      </w:pPr>
      <w:r w:rsidRPr="000F35C1">
        <w:rPr>
          <w:sz w:val="28"/>
          <w:szCs w:val="28"/>
          <w:lang w:val="en-US"/>
        </w:rPr>
        <w:t>On the approval of the Consolidated Risk register,  consolidated Risk map, the Action plan for the management of key risks with the determination of tolerance levels for each key risk, and the Passports of the Company</w:t>
      </w:r>
      <w:r>
        <w:rPr>
          <w:sz w:val="28"/>
          <w:szCs w:val="28"/>
          <w:lang w:val="en-US"/>
        </w:rPr>
        <w:t>’s key risk indicators for 2026;</w:t>
      </w:r>
    </w:p>
    <w:p w14:paraId="6B71329B" w14:textId="77777777" w:rsidR="002A235C" w:rsidRPr="00D67D10" w:rsidRDefault="002A235C" w:rsidP="00E1068B">
      <w:pPr>
        <w:ind w:firstLine="709"/>
        <w:jc w:val="both"/>
        <w:rPr>
          <w:rFonts w:eastAsiaTheme="minorHAnsi"/>
          <w:sz w:val="28"/>
          <w:szCs w:val="28"/>
          <w:lang w:val="en-US" w:eastAsia="en-US"/>
        </w:rPr>
      </w:pPr>
    </w:p>
    <w:p w14:paraId="1F898C6D" w14:textId="39D20EC3" w:rsidR="00D31098" w:rsidRDefault="00F82ACB" w:rsidP="00E1068B">
      <w:pPr>
        <w:ind w:firstLine="709"/>
        <w:rPr>
          <w:b/>
          <w:bCs/>
          <w:sz w:val="28"/>
          <w:szCs w:val="28"/>
          <w:lang w:val="en-US"/>
        </w:rPr>
      </w:pPr>
      <w:r w:rsidRPr="00F82ACB">
        <w:rPr>
          <w:b/>
          <w:bCs/>
          <w:sz w:val="28"/>
          <w:szCs w:val="28"/>
          <w:lang w:val="en-US"/>
        </w:rPr>
        <w:t xml:space="preserve">The following members of the Board of Directors </w:t>
      </w:r>
      <w:r>
        <w:rPr>
          <w:b/>
          <w:bCs/>
          <w:sz w:val="28"/>
          <w:szCs w:val="28"/>
          <w:lang w:val="en-US"/>
        </w:rPr>
        <w:t>voted</w:t>
      </w:r>
      <w:r w:rsidRPr="00F82ACB">
        <w:rPr>
          <w:b/>
          <w:bCs/>
          <w:sz w:val="28"/>
          <w:szCs w:val="28"/>
          <w:lang w:val="en-US"/>
        </w:rPr>
        <w:t xml:space="preserve">: </w:t>
      </w:r>
      <w:r w:rsidRPr="00F82ACB">
        <w:rPr>
          <w:b/>
          <w:bCs/>
          <w:sz w:val="28"/>
          <w:szCs w:val="28"/>
          <w:lang w:val="en-US"/>
        </w:rPr>
        <w:br/>
      </w:r>
      <w:r w:rsidR="00E1068B" w:rsidRPr="00E1068B">
        <w:rPr>
          <w:b/>
          <w:bCs/>
          <w:sz w:val="28"/>
          <w:szCs w:val="28"/>
          <w:lang w:val="en-US"/>
        </w:rPr>
        <w:t xml:space="preserve">          </w:t>
      </w:r>
      <w:bookmarkStart w:id="0" w:name="_GoBack"/>
      <w:bookmarkEnd w:id="0"/>
      <w:r w:rsidRPr="00F82ACB">
        <w:rPr>
          <w:b/>
          <w:bCs/>
          <w:sz w:val="28"/>
          <w:szCs w:val="28"/>
          <w:lang w:val="en-US"/>
        </w:rPr>
        <w:t xml:space="preserve">Kazutin N.Yu., Ogay A.V., </w:t>
      </w:r>
      <w:r w:rsidR="000F35C1" w:rsidRPr="00F82ACB">
        <w:rPr>
          <w:b/>
          <w:bCs/>
          <w:sz w:val="28"/>
          <w:szCs w:val="28"/>
          <w:lang w:val="en-US"/>
        </w:rPr>
        <w:t>Moldabayev</w:t>
      </w:r>
      <w:r w:rsidRPr="00F82ACB">
        <w:rPr>
          <w:b/>
          <w:bCs/>
          <w:sz w:val="28"/>
          <w:szCs w:val="28"/>
          <w:lang w:val="en-US"/>
        </w:rPr>
        <w:t xml:space="preserve"> K.T., Maxutov K.B., </w:t>
      </w:r>
    </w:p>
    <w:p w14:paraId="6E4865F8" w14:textId="53B1EBFE" w:rsidR="00F82ACB" w:rsidRPr="00F82ACB" w:rsidRDefault="00F82ACB" w:rsidP="00E1068B">
      <w:pPr>
        <w:ind w:firstLine="709"/>
        <w:rPr>
          <w:b/>
          <w:bCs/>
          <w:sz w:val="28"/>
          <w:szCs w:val="28"/>
          <w:lang w:val="en-US"/>
        </w:rPr>
      </w:pPr>
      <w:r w:rsidRPr="00F82ACB">
        <w:rPr>
          <w:b/>
          <w:bCs/>
          <w:sz w:val="28"/>
          <w:szCs w:val="28"/>
          <w:lang w:val="en-US"/>
        </w:rPr>
        <w:t xml:space="preserve">Kashkinbekov A.K., </w:t>
      </w:r>
      <w:r w:rsidR="000F35C1" w:rsidRPr="00F82ACB">
        <w:rPr>
          <w:b/>
          <w:bCs/>
          <w:sz w:val="28"/>
          <w:szCs w:val="28"/>
          <w:lang w:val="en-US"/>
        </w:rPr>
        <w:t>Zhubayev</w:t>
      </w:r>
      <w:r w:rsidRPr="00F82ACB">
        <w:rPr>
          <w:b/>
          <w:bCs/>
          <w:sz w:val="28"/>
          <w:szCs w:val="28"/>
          <w:lang w:val="en-US"/>
        </w:rPr>
        <w:t xml:space="preserve"> A.S., Atamkulova G.T.</w:t>
      </w:r>
    </w:p>
    <w:p w14:paraId="13554259" w14:textId="77777777" w:rsidR="002A235C" w:rsidRPr="00F82ACB" w:rsidRDefault="002A235C" w:rsidP="000F35C1">
      <w:pPr>
        <w:spacing w:after="160" w:line="252" w:lineRule="auto"/>
        <w:rPr>
          <w:rFonts w:asciiTheme="minorHAnsi" w:eastAsiaTheme="minorHAnsi" w:hAnsiTheme="minorHAnsi" w:cstheme="minorBidi"/>
          <w:sz w:val="22"/>
          <w:szCs w:val="22"/>
          <w:lang w:val="en-US" w:eastAsia="en-US"/>
        </w:rPr>
      </w:pPr>
    </w:p>
    <w:p w14:paraId="48DEFAAB" w14:textId="77777777" w:rsidR="002A235C" w:rsidRPr="00F82ACB" w:rsidRDefault="002A235C" w:rsidP="002A235C">
      <w:pPr>
        <w:ind w:firstLine="709"/>
        <w:jc w:val="both"/>
        <w:rPr>
          <w:rFonts w:eastAsiaTheme="minorHAnsi"/>
          <w:sz w:val="28"/>
          <w:szCs w:val="28"/>
          <w:lang w:val="en-US" w:eastAsia="en-US"/>
        </w:rPr>
      </w:pPr>
    </w:p>
    <w:p w14:paraId="2D4354A7" w14:textId="77777777" w:rsidR="00404695" w:rsidRPr="00F82ACB" w:rsidRDefault="00404695">
      <w:pPr>
        <w:rPr>
          <w:lang w:val="en-US"/>
        </w:rPr>
      </w:pPr>
    </w:p>
    <w:sectPr w:rsidR="00404695" w:rsidRPr="00F82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E7315"/>
    <w:multiLevelType w:val="hybridMultilevel"/>
    <w:tmpl w:val="1236EABC"/>
    <w:lvl w:ilvl="0" w:tplc="3A5A09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041390"/>
    <w:multiLevelType w:val="hybridMultilevel"/>
    <w:tmpl w:val="84D08B86"/>
    <w:lvl w:ilvl="0" w:tplc="CB66C154">
      <w:start w:val="1"/>
      <w:numFmt w:val="bullet"/>
      <w:lvlText w:val=""/>
      <w:lvlJc w:val="left"/>
      <w:pPr>
        <w:ind w:left="4046" w:hanging="360"/>
      </w:pPr>
      <w:rPr>
        <w:rFonts w:ascii="Symbol" w:hAnsi="Symbol" w:hint="default"/>
      </w:rPr>
    </w:lvl>
    <w:lvl w:ilvl="1" w:tplc="04190003" w:tentative="1">
      <w:start w:val="1"/>
      <w:numFmt w:val="bullet"/>
      <w:lvlText w:val="o"/>
      <w:lvlJc w:val="left"/>
      <w:pPr>
        <w:ind w:left="4766" w:hanging="360"/>
      </w:pPr>
      <w:rPr>
        <w:rFonts w:ascii="Courier New" w:hAnsi="Courier New" w:cs="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5C"/>
    <w:rsid w:val="000F35C1"/>
    <w:rsid w:val="002A235C"/>
    <w:rsid w:val="00404695"/>
    <w:rsid w:val="00B10C68"/>
    <w:rsid w:val="00D31098"/>
    <w:rsid w:val="00D67D10"/>
    <w:rsid w:val="00E1068B"/>
    <w:rsid w:val="00F82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CA58"/>
  <w15:chartTrackingRefBased/>
  <w15:docId w15:val="{E871DEDD-3637-4F5C-ACDE-99128EEB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3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7D10"/>
    <w:pPr>
      <w:spacing w:before="100" w:beforeAutospacing="1" w:after="100" w:afterAutospacing="1"/>
    </w:pPr>
  </w:style>
  <w:style w:type="paragraph" w:styleId="a4">
    <w:name w:val="List Paragraph"/>
    <w:basedOn w:val="a"/>
    <w:uiPriority w:val="34"/>
    <w:qFormat/>
    <w:rsid w:val="00B10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00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dc:creator>
  <cp:keywords/>
  <dc:description/>
  <cp:lastModifiedBy>Байузакова Айгерим</cp:lastModifiedBy>
  <cp:revision>7</cp:revision>
  <dcterms:created xsi:type="dcterms:W3CDTF">2025-12-17T07:29:00Z</dcterms:created>
  <dcterms:modified xsi:type="dcterms:W3CDTF">2025-12-23T10:36:00Z</dcterms:modified>
</cp:coreProperties>
</file>