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1C" w:rsidRPr="00B3791C" w:rsidRDefault="00B3791C" w:rsidP="00B379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746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91C">
        <w:rPr>
          <w:rFonts w:ascii="Times New Roman" w:hAnsi="Times New Roman" w:cs="Times New Roman"/>
          <w:b/>
          <w:sz w:val="28"/>
          <w:szCs w:val="28"/>
        </w:rPr>
        <w:t xml:space="preserve">Заседание Совета директоров от </w:t>
      </w:r>
      <w:r w:rsidR="0077460D">
        <w:rPr>
          <w:rFonts w:ascii="Times New Roman" w:hAnsi="Times New Roman" w:cs="Times New Roman"/>
          <w:b/>
          <w:sz w:val="28"/>
          <w:szCs w:val="28"/>
        </w:rPr>
        <w:t>6 августа</w:t>
      </w:r>
      <w:r w:rsidRPr="00B3791C"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</w:p>
    <w:p w:rsidR="00B3791C" w:rsidRPr="00B3791C" w:rsidRDefault="00B3791C" w:rsidP="00B37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77460D">
        <w:rPr>
          <w:rFonts w:ascii="Times New Roman" w:eastAsia="Times New Roman" w:hAnsi="Times New Roman" w:cs="Times New Roman"/>
          <w:sz w:val="28"/>
          <w:szCs w:val="28"/>
          <w:lang w:eastAsia="ru-RU"/>
        </w:rPr>
        <w:t>6 августа</w:t>
      </w:r>
      <w:r w:rsidRPr="00B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в соответствии с Уставом </w:t>
      </w:r>
      <w:r w:rsidRPr="00B3791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B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B3791C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B37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t xml:space="preserve"> </w:t>
      </w:r>
      <w:r w:rsidR="00B3791C">
        <w:rPr>
          <w:rFonts w:ascii="Times New Roman" w:hAnsi="Times New Roman" w:cs="Times New Roman"/>
          <w:sz w:val="28"/>
          <w:szCs w:val="28"/>
        </w:rPr>
        <w:t>Отчет Председателя Пра</w:t>
      </w:r>
      <w:r>
        <w:rPr>
          <w:rFonts w:ascii="Times New Roman" w:hAnsi="Times New Roman" w:cs="Times New Roman"/>
          <w:sz w:val="28"/>
          <w:szCs w:val="28"/>
        </w:rPr>
        <w:t>вления за отчетный период;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Отчет руководящего работника по вопросам экономики и фи</w:t>
      </w:r>
      <w:r>
        <w:rPr>
          <w:rFonts w:ascii="Times New Roman" w:hAnsi="Times New Roman" w:cs="Times New Roman"/>
          <w:sz w:val="28"/>
          <w:szCs w:val="28"/>
        </w:rPr>
        <w:t>нансов за отчетный период;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2024-2033 годы по итогам </w:t>
      </w:r>
      <w:r>
        <w:rPr>
          <w:rFonts w:ascii="Times New Roman" w:hAnsi="Times New Roman" w:cs="Times New Roman"/>
          <w:sz w:val="28"/>
          <w:szCs w:val="28"/>
        </w:rPr>
        <w:t>работы за 1 полугодие 2025 года;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Об утверждении мотивационных карт ключевых показателей деятельности руководящих работников Общества на 2025 год с учетом корректиров</w:t>
      </w:r>
      <w:r>
        <w:rPr>
          <w:rFonts w:ascii="Times New Roman" w:hAnsi="Times New Roman" w:cs="Times New Roman"/>
          <w:sz w:val="28"/>
          <w:szCs w:val="28"/>
        </w:rPr>
        <w:t>ок;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Дорожной карты по совершенствованию системы управления устойчивым развитием Общества на 2025 года </w:t>
      </w:r>
      <w:r>
        <w:rPr>
          <w:rFonts w:ascii="Times New Roman" w:hAnsi="Times New Roman" w:cs="Times New Roman"/>
          <w:sz w:val="28"/>
          <w:szCs w:val="28"/>
        </w:rPr>
        <w:t>по итогам 1 полугодия 2025 года;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Об установлении лимитов Общества по балансовым и внебалансовым обязательствам на банки-контрагенты, пр</w:t>
      </w:r>
      <w:r>
        <w:rPr>
          <w:rFonts w:ascii="Times New Roman" w:hAnsi="Times New Roman" w:cs="Times New Roman"/>
          <w:sz w:val="28"/>
          <w:szCs w:val="28"/>
        </w:rPr>
        <w:t>евышающих рассчитанное значение;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по </w:t>
      </w:r>
      <w:r>
        <w:rPr>
          <w:rFonts w:ascii="Times New Roman" w:hAnsi="Times New Roman" w:cs="Times New Roman"/>
          <w:sz w:val="28"/>
          <w:szCs w:val="28"/>
        </w:rPr>
        <w:t>итогам 1-го полугодия 2025 года;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Об утверждении правил по управлению проектами и мероприятиями капитальных вло</w:t>
      </w:r>
      <w:r>
        <w:rPr>
          <w:rFonts w:ascii="Times New Roman" w:hAnsi="Times New Roman" w:cs="Times New Roman"/>
          <w:sz w:val="28"/>
          <w:szCs w:val="28"/>
        </w:rPr>
        <w:t>жений Общества;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 заключении договора гарантии между Обществом и АО «Самрук-Қазына» на сумму, не превышающую 135 000 000 000 (сто тридцать пять миллиардов) тенге в рамках проекта «Реконструкция Алматинской ТЭЦ-3»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791C" w:rsidRDefault="0077460D" w:rsidP="00B37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91C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Председателя Наблюдательного совета ТОО «Ereymentau Wind Power», избрании Председателя и члена Наблюдательного совета ТОО «Ereymentau Wind Power», определении срока их полномочий, размера и условий выплаты вознаграждения и компенсации расходов за исполнение ими своих </w:t>
      </w:r>
      <w:r w:rsidR="00EB443A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EB443A" w:rsidRPr="00EB443A" w:rsidRDefault="00EB443A" w:rsidP="00EB44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43A">
        <w:rPr>
          <w:rFonts w:ascii="Times New Roman" w:hAnsi="Times New Roman" w:cs="Times New Roman"/>
          <w:sz w:val="28"/>
          <w:szCs w:val="28"/>
        </w:rPr>
        <w:t>О некоторых вопросах инвестиционного проекта «Модернизация блока №3» ТОО Экибастузская ГРЭС-1 имени Б. Нуржанова.</w:t>
      </w:r>
    </w:p>
    <w:p w:rsidR="00EB443A" w:rsidRDefault="00EB443A" w:rsidP="00EB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0D" w:rsidRPr="00B3791C" w:rsidRDefault="0077460D" w:rsidP="00774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7460D" w:rsidRPr="00B3791C" w:rsidRDefault="0077460D" w:rsidP="00774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77460D" w:rsidRPr="00B3791C" w:rsidRDefault="0077460D" w:rsidP="0077460D">
      <w:pPr>
        <w:spacing w:after="0" w:line="240" w:lineRule="auto"/>
        <w:ind w:firstLine="567"/>
        <w:jc w:val="both"/>
        <w:rPr>
          <w:sz w:val="28"/>
          <w:szCs w:val="28"/>
        </w:rPr>
      </w:pPr>
      <w:r w:rsidRPr="00B3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5E2F4A" w:rsidRDefault="005E2F4A"/>
    <w:sectPr w:rsidR="005E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C"/>
    <w:rsid w:val="005E2F4A"/>
    <w:rsid w:val="0077460D"/>
    <w:rsid w:val="00B3791C"/>
    <w:rsid w:val="00E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75FD-5EE8-477C-9711-6E86060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2025-07-29T07:02:00Z</dcterms:created>
  <dcterms:modified xsi:type="dcterms:W3CDTF">2025-07-29T08:51:00Z</dcterms:modified>
</cp:coreProperties>
</file>