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FC" w:rsidRDefault="00620548" w:rsidP="005C6FFC">
      <w:pPr>
        <w:jc w:val="center"/>
        <w:rPr>
          <w:b/>
          <w:color w:val="000000"/>
          <w:sz w:val="28"/>
          <w:szCs w:val="28"/>
          <w:lang w:val="ru-RU"/>
        </w:rPr>
      </w:pPr>
      <w:r w:rsidRPr="005C6FFC">
        <w:rPr>
          <w:b/>
          <w:color w:val="000000"/>
          <w:sz w:val="28"/>
          <w:szCs w:val="28"/>
          <w:lang w:val="ru-RU"/>
        </w:rPr>
        <w:t xml:space="preserve">Информация о практике, установленной в АО </w:t>
      </w:r>
      <w:proofErr w:type="spellStart"/>
      <w:r w:rsidRPr="005C6FFC">
        <w:rPr>
          <w:b/>
          <w:color w:val="000000"/>
          <w:sz w:val="28"/>
          <w:szCs w:val="28"/>
          <w:lang w:val="ru-RU"/>
        </w:rPr>
        <w:t>Самрук-Энерго</w:t>
      </w:r>
      <w:proofErr w:type="spellEnd"/>
      <w:r w:rsidR="00E06BA7">
        <w:rPr>
          <w:b/>
          <w:color w:val="000000"/>
          <w:sz w:val="28"/>
          <w:szCs w:val="28"/>
          <w:lang w:val="ru-RU"/>
        </w:rPr>
        <w:t>,</w:t>
      </w:r>
      <w:r w:rsidRPr="005C6FFC">
        <w:rPr>
          <w:b/>
          <w:color w:val="000000"/>
          <w:sz w:val="28"/>
          <w:szCs w:val="28"/>
          <w:lang w:val="ru-RU"/>
        </w:rPr>
        <w:t xml:space="preserve"> по сохранению независимости аудитора</w:t>
      </w:r>
    </w:p>
    <w:p w:rsidR="00D75706" w:rsidRDefault="00D75706" w:rsidP="005C6FFC">
      <w:pPr>
        <w:jc w:val="center"/>
        <w:rPr>
          <w:b/>
          <w:color w:val="000000"/>
          <w:sz w:val="28"/>
          <w:szCs w:val="28"/>
          <w:lang w:val="ru-RU"/>
        </w:rPr>
      </w:pPr>
      <w:bookmarkStart w:id="0" w:name="_GoBack"/>
      <w:bookmarkEnd w:id="0"/>
    </w:p>
    <w:p w:rsidR="005C6FFC" w:rsidRPr="005C6FFC" w:rsidRDefault="00620548" w:rsidP="005C6FFC">
      <w:pPr>
        <w:jc w:val="both"/>
        <w:rPr>
          <w:color w:val="000000"/>
          <w:sz w:val="28"/>
          <w:szCs w:val="28"/>
          <w:lang w:val="ru-RU"/>
        </w:rPr>
      </w:pPr>
      <w:r w:rsidRPr="005C6FFC">
        <w:rPr>
          <w:color w:val="000000"/>
          <w:sz w:val="28"/>
          <w:szCs w:val="28"/>
          <w:lang w:val="ru-RU"/>
        </w:rPr>
        <w:t xml:space="preserve">• В соответствии </w:t>
      </w:r>
      <w:r w:rsidR="005C6FFC" w:rsidRPr="005C6FFC">
        <w:rPr>
          <w:color w:val="000000"/>
          <w:sz w:val="28"/>
          <w:szCs w:val="28"/>
          <w:lang w:val="ru-RU"/>
        </w:rPr>
        <w:t>с пунктом 26 статьи</w:t>
      </w:r>
      <w:r w:rsidRPr="005C6FFC">
        <w:rPr>
          <w:color w:val="000000"/>
          <w:sz w:val="28"/>
          <w:szCs w:val="28"/>
          <w:lang w:val="ru-RU"/>
        </w:rPr>
        <w:t xml:space="preserve"> 11</w:t>
      </w:r>
      <w:r w:rsidR="005C6FFC" w:rsidRPr="005C6FFC">
        <w:rPr>
          <w:color w:val="000000"/>
          <w:sz w:val="28"/>
          <w:szCs w:val="28"/>
          <w:lang w:val="ru-RU"/>
        </w:rPr>
        <w:t xml:space="preserve"> </w:t>
      </w:r>
      <w:r w:rsidRPr="005C6FFC">
        <w:rPr>
          <w:color w:val="000000"/>
          <w:sz w:val="28"/>
          <w:szCs w:val="28"/>
          <w:lang w:val="ru-RU"/>
        </w:rPr>
        <w:t>Политики АО «</w:t>
      </w:r>
      <w:proofErr w:type="spellStart"/>
      <w:r w:rsidRPr="005C6FFC">
        <w:rPr>
          <w:color w:val="000000"/>
          <w:sz w:val="28"/>
          <w:szCs w:val="28"/>
          <w:lang w:val="ru-RU"/>
        </w:rPr>
        <w:t>Самрук-Энерго</w:t>
      </w:r>
      <w:proofErr w:type="spellEnd"/>
      <w:r w:rsidRPr="005C6FFC">
        <w:rPr>
          <w:color w:val="000000"/>
          <w:sz w:val="28"/>
          <w:szCs w:val="28"/>
          <w:lang w:val="ru-RU"/>
        </w:rPr>
        <w:t>» (далее – Общество) в области привлечения услуг аудиторских организаций, утвержденной решением Совета Директоров Общества от 2</w:t>
      </w:r>
      <w:r w:rsidR="005C6FFC" w:rsidRPr="005C6FFC">
        <w:rPr>
          <w:color w:val="000000"/>
          <w:sz w:val="28"/>
          <w:szCs w:val="28"/>
          <w:lang w:val="ru-RU"/>
        </w:rPr>
        <w:t>3</w:t>
      </w:r>
      <w:r w:rsidRPr="005C6FFC">
        <w:rPr>
          <w:color w:val="000000"/>
          <w:sz w:val="28"/>
          <w:szCs w:val="28"/>
          <w:lang w:val="ru-RU"/>
        </w:rPr>
        <w:t xml:space="preserve"> </w:t>
      </w:r>
      <w:r w:rsidR="005C6FFC" w:rsidRPr="005C6FFC">
        <w:rPr>
          <w:color w:val="000000"/>
          <w:sz w:val="28"/>
          <w:szCs w:val="28"/>
          <w:lang w:val="ru-RU"/>
        </w:rPr>
        <w:t>сентября</w:t>
      </w:r>
      <w:r w:rsidRPr="005C6FFC">
        <w:rPr>
          <w:color w:val="000000"/>
          <w:sz w:val="28"/>
          <w:szCs w:val="28"/>
          <w:lang w:val="ru-RU"/>
        </w:rPr>
        <w:t xml:space="preserve"> 20</w:t>
      </w:r>
      <w:r w:rsidR="005C6FFC" w:rsidRPr="005C6FFC">
        <w:rPr>
          <w:color w:val="000000"/>
          <w:sz w:val="28"/>
          <w:szCs w:val="28"/>
          <w:lang w:val="ru-RU"/>
        </w:rPr>
        <w:t>21</w:t>
      </w:r>
      <w:r w:rsidRPr="005C6FFC">
        <w:rPr>
          <w:color w:val="000000"/>
          <w:sz w:val="28"/>
          <w:szCs w:val="28"/>
          <w:lang w:val="ru-RU"/>
        </w:rPr>
        <w:t xml:space="preserve"> года, Общество должно требовать от Аудитора следования принципу ротации партнера по проекту (несущего основную ответственность за аудит) каждые пять лет. План преемственности по достижению этого результата должен быть </w:t>
      </w:r>
      <w:r w:rsidRPr="00D75706">
        <w:rPr>
          <w:color w:val="000000"/>
          <w:sz w:val="28"/>
          <w:szCs w:val="28"/>
          <w:lang w:val="ru-RU"/>
        </w:rPr>
        <w:t>подготовлен Аудитором и представлен Комитету по аудиту</w:t>
      </w:r>
      <w:r w:rsidR="00D75706" w:rsidRPr="00D75706">
        <w:rPr>
          <w:sz w:val="28"/>
          <w:szCs w:val="28"/>
          <w:lang w:val="kk-KZ"/>
        </w:rPr>
        <w:t xml:space="preserve"> </w:t>
      </w:r>
      <w:r w:rsidR="00D75706" w:rsidRPr="00D75706">
        <w:rPr>
          <w:sz w:val="28"/>
          <w:szCs w:val="28"/>
          <w:lang w:val="kk-KZ"/>
        </w:rPr>
        <w:t xml:space="preserve">и </w:t>
      </w:r>
      <w:r w:rsidR="00D75706" w:rsidRPr="00D75706">
        <w:rPr>
          <w:spacing w:val="-2"/>
          <w:sz w:val="28"/>
          <w:szCs w:val="28"/>
          <w:lang w:val="ru-RU"/>
        </w:rPr>
        <w:t>Руководителю, курирующему деятельность по экономике и финансам Общества</w:t>
      </w:r>
      <w:r w:rsidR="00D75706" w:rsidRPr="00D75706">
        <w:rPr>
          <w:sz w:val="28"/>
          <w:szCs w:val="28"/>
          <w:lang w:val="kk-KZ"/>
        </w:rPr>
        <w:t>,</w:t>
      </w:r>
      <w:r w:rsidRPr="005C6FFC">
        <w:rPr>
          <w:color w:val="000000"/>
          <w:sz w:val="28"/>
          <w:szCs w:val="28"/>
          <w:lang w:val="ru-RU"/>
        </w:rPr>
        <w:t xml:space="preserve"> для рассмотрения не позднее, чем за один год до проведения ротации. </w:t>
      </w:r>
    </w:p>
    <w:p w:rsidR="005C6FFC" w:rsidRDefault="00620548" w:rsidP="005C6FFC">
      <w:pPr>
        <w:jc w:val="both"/>
        <w:rPr>
          <w:color w:val="000000"/>
          <w:sz w:val="28"/>
          <w:szCs w:val="28"/>
          <w:lang w:val="ru-RU"/>
        </w:rPr>
      </w:pPr>
      <w:r w:rsidRPr="005C6FFC">
        <w:rPr>
          <w:color w:val="000000"/>
          <w:sz w:val="28"/>
          <w:szCs w:val="28"/>
          <w:lang w:val="ru-RU"/>
        </w:rPr>
        <w:t xml:space="preserve">• В соответствии </w:t>
      </w:r>
      <w:r w:rsidR="005C6FFC" w:rsidRPr="005C6FFC">
        <w:rPr>
          <w:color w:val="000000"/>
          <w:sz w:val="28"/>
          <w:szCs w:val="28"/>
          <w:lang w:val="ru-RU"/>
        </w:rPr>
        <w:t xml:space="preserve">с </w:t>
      </w:r>
      <w:r w:rsidR="005C6FFC" w:rsidRPr="005C6FFC">
        <w:rPr>
          <w:color w:val="000000"/>
          <w:sz w:val="28"/>
          <w:szCs w:val="28"/>
          <w:lang w:val="ru-RU"/>
        </w:rPr>
        <w:t>пунктом 2</w:t>
      </w:r>
      <w:r w:rsidR="005C6FFC" w:rsidRPr="005C6FFC">
        <w:rPr>
          <w:color w:val="000000"/>
          <w:sz w:val="28"/>
          <w:szCs w:val="28"/>
          <w:lang w:val="ru-RU"/>
        </w:rPr>
        <w:t>7</w:t>
      </w:r>
      <w:r w:rsidR="005C6FFC" w:rsidRPr="005C6FFC">
        <w:rPr>
          <w:color w:val="000000"/>
          <w:sz w:val="28"/>
          <w:szCs w:val="28"/>
          <w:lang w:val="ru-RU"/>
        </w:rPr>
        <w:t xml:space="preserve"> статьи 1</w:t>
      </w:r>
      <w:r w:rsidR="005C6FFC" w:rsidRPr="005C6FFC">
        <w:rPr>
          <w:color w:val="000000"/>
          <w:sz w:val="28"/>
          <w:szCs w:val="28"/>
          <w:lang w:val="ru-RU"/>
        </w:rPr>
        <w:t>2</w:t>
      </w:r>
      <w:r w:rsidR="005C6FFC" w:rsidRPr="005C6FFC">
        <w:rPr>
          <w:color w:val="000000"/>
          <w:sz w:val="28"/>
          <w:szCs w:val="28"/>
          <w:lang w:val="ru-RU"/>
        </w:rPr>
        <w:t xml:space="preserve"> </w:t>
      </w:r>
      <w:r w:rsidRPr="005C6FFC">
        <w:rPr>
          <w:color w:val="000000"/>
          <w:sz w:val="28"/>
          <w:szCs w:val="28"/>
          <w:lang w:val="ru-RU"/>
        </w:rPr>
        <w:t xml:space="preserve">Политики Общества в области привлечения услуг аудиторских организаций, утвержденной решением Совета Директоров Общества </w:t>
      </w:r>
      <w:r w:rsidR="005C6FFC" w:rsidRPr="005C6FFC">
        <w:rPr>
          <w:color w:val="000000"/>
          <w:sz w:val="28"/>
          <w:szCs w:val="28"/>
          <w:lang w:val="ru-RU"/>
        </w:rPr>
        <w:t xml:space="preserve">от 23 сентября 2021 </w:t>
      </w:r>
      <w:r w:rsidRPr="005C6FFC">
        <w:rPr>
          <w:color w:val="000000"/>
          <w:sz w:val="28"/>
          <w:szCs w:val="28"/>
          <w:lang w:val="ru-RU"/>
        </w:rPr>
        <w:t xml:space="preserve">года, в случае, если предполагается </w:t>
      </w:r>
      <w:r w:rsidRPr="00D75706">
        <w:rPr>
          <w:color w:val="000000"/>
          <w:sz w:val="28"/>
          <w:szCs w:val="28"/>
          <w:lang w:val="ru-RU"/>
        </w:rPr>
        <w:t>назначение (избрание) на должность члена Прав</w:t>
      </w:r>
      <w:r w:rsidR="00D75706">
        <w:rPr>
          <w:color w:val="000000"/>
          <w:sz w:val="28"/>
          <w:szCs w:val="28"/>
          <w:lang w:val="ru-RU"/>
        </w:rPr>
        <w:t xml:space="preserve">ления, управляющего директора, </w:t>
      </w:r>
      <w:r w:rsidRPr="00D75706">
        <w:rPr>
          <w:color w:val="000000"/>
          <w:sz w:val="28"/>
          <w:szCs w:val="28"/>
          <w:lang w:val="ru-RU"/>
        </w:rPr>
        <w:t xml:space="preserve">главного бухгалтера Общества </w:t>
      </w:r>
      <w:r w:rsidR="00D75706" w:rsidRPr="00D75706">
        <w:rPr>
          <w:spacing w:val="-6"/>
          <w:sz w:val="28"/>
          <w:szCs w:val="28"/>
          <w:lang w:val="ru-RU" w:eastAsia="ru-RU"/>
        </w:rPr>
        <w:t xml:space="preserve">или руководителя Службы внутреннего аудита </w:t>
      </w:r>
      <w:r w:rsidRPr="005C6FFC">
        <w:rPr>
          <w:color w:val="000000"/>
          <w:sz w:val="28"/>
          <w:szCs w:val="28"/>
          <w:lang w:val="ru-RU"/>
        </w:rPr>
        <w:t xml:space="preserve">лица, участвующего в обязательном аудите Общества в качестве работника Аудитора или принимавшего участие в обязательном аудите Общества в качестве работника Аудитора в течение двух лет, предшествовавших дате его назначения (избрания) в Общество, в целях исключения конфликта интересов требуется получить предварительное одобрение Комитета по аудиту по предлагаемому кандидату для дальнейшего рассмотрения вопроса о его назначении (избрании) </w:t>
      </w:r>
    </w:p>
    <w:p w:rsidR="005C6FFC" w:rsidRDefault="00620548" w:rsidP="005C6FFC">
      <w:pPr>
        <w:jc w:val="both"/>
        <w:rPr>
          <w:color w:val="000000"/>
          <w:sz w:val="28"/>
          <w:szCs w:val="28"/>
          <w:lang w:val="ru-RU"/>
        </w:rPr>
      </w:pPr>
      <w:r w:rsidRPr="005C6FFC">
        <w:rPr>
          <w:color w:val="000000"/>
          <w:sz w:val="28"/>
          <w:szCs w:val="28"/>
          <w:lang w:val="ru-RU"/>
        </w:rPr>
        <w:t xml:space="preserve">• В соответствии </w:t>
      </w:r>
      <w:r w:rsidR="005C6FFC">
        <w:rPr>
          <w:color w:val="000000"/>
          <w:sz w:val="28"/>
          <w:szCs w:val="28"/>
          <w:lang w:val="ru-RU"/>
        </w:rPr>
        <w:t xml:space="preserve">с </w:t>
      </w:r>
      <w:r w:rsidR="005C6FFC" w:rsidRPr="005C6FFC">
        <w:rPr>
          <w:color w:val="000000"/>
          <w:sz w:val="28"/>
          <w:szCs w:val="28"/>
          <w:lang w:val="ru-RU"/>
        </w:rPr>
        <w:t>пунктом 2</w:t>
      </w:r>
      <w:r w:rsidR="005C6FFC">
        <w:rPr>
          <w:color w:val="000000"/>
          <w:sz w:val="28"/>
          <w:szCs w:val="28"/>
          <w:lang w:val="ru-RU"/>
        </w:rPr>
        <w:t>8</w:t>
      </w:r>
      <w:r w:rsidR="005C6FFC" w:rsidRPr="005C6FFC">
        <w:rPr>
          <w:color w:val="000000"/>
          <w:sz w:val="28"/>
          <w:szCs w:val="28"/>
          <w:lang w:val="ru-RU"/>
        </w:rPr>
        <w:t xml:space="preserve"> статьи 1</w:t>
      </w:r>
      <w:r w:rsidR="005C6FFC">
        <w:rPr>
          <w:color w:val="000000"/>
          <w:sz w:val="28"/>
          <w:szCs w:val="28"/>
          <w:lang w:val="ru-RU"/>
        </w:rPr>
        <w:t>3</w:t>
      </w:r>
      <w:r w:rsidR="005C6FFC" w:rsidRPr="005C6FFC">
        <w:rPr>
          <w:color w:val="000000"/>
          <w:sz w:val="28"/>
          <w:szCs w:val="28"/>
          <w:lang w:val="ru-RU"/>
        </w:rPr>
        <w:t xml:space="preserve"> </w:t>
      </w:r>
      <w:r w:rsidRPr="005C6FFC">
        <w:rPr>
          <w:color w:val="000000"/>
          <w:sz w:val="28"/>
          <w:szCs w:val="28"/>
          <w:lang w:val="ru-RU"/>
        </w:rPr>
        <w:t xml:space="preserve">Политики Общества в области привлечения услуг аудиторских организаций, утвержденной решением Совета Директоров Общества </w:t>
      </w:r>
      <w:r w:rsidR="005C6FFC" w:rsidRPr="005C6FFC">
        <w:rPr>
          <w:color w:val="000000"/>
          <w:sz w:val="28"/>
          <w:szCs w:val="28"/>
          <w:lang w:val="ru-RU"/>
        </w:rPr>
        <w:t xml:space="preserve">от 23 сентября 2021 </w:t>
      </w:r>
      <w:r w:rsidRPr="005C6FFC">
        <w:rPr>
          <w:color w:val="000000"/>
          <w:sz w:val="28"/>
          <w:szCs w:val="28"/>
          <w:lang w:val="ru-RU"/>
        </w:rPr>
        <w:t xml:space="preserve">года, ежегодно Внешний аудитор подтверждает Комитету по аудиту Совета Директоров Общества, что: </w:t>
      </w:r>
    </w:p>
    <w:p w:rsidR="005C6FFC" w:rsidRDefault="00620548" w:rsidP="00D75706">
      <w:pPr>
        <w:jc w:val="both"/>
        <w:rPr>
          <w:color w:val="000000"/>
          <w:sz w:val="28"/>
          <w:szCs w:val="28"/>
          <w:lang w:val="ru-RU"/>
        </w:rPr>
      </w:pPr>
      <w:r w:rsidRPr="005C6FFC">
        <w:rPr>
          <w:color w:val="000000"/>
          <w:sz w:val="28"/>
          <w:szCs w:val="28"/>
          <w:lang w:val="ru-RU"/>
        </w:rPr>
        <w:t xml:space="preserve">- независимость Аудитора была сохранена; </w:t>
      </w:r>
    </w:p>
    <w:p w:rsidR="005C6FFC" w:rsidRDefault="00620548" w:rsidP="00D75706">
      <w:pPr>
        <w:jc w:val="both"/>
        <w:rPr>
          <w:color w:val="000000"/>
          <w:sz w:val="28"/>
          <w:szCs w:val="28"/>
          <w:lang w:val="ru-RU"/>
        </w:rPr>
      </w:pPr>
      <w:r w:rsidRPr="005C6FFC">
        <w:rPr>
          <w:color w:val="000000"/>
          <w:sz w:val="28"/>
          <w:szCs w:val="28"/>
          <w:lang w:val="ru-RU"/>
        </w:rPr>
        <w:t xml:space="preserve">- Аудитор и его партнеры не имеют никаких финансовых интересов в компаниях, входящих в Группу; </w:t>
      </w:r>
    </w:p>
    <w:p w:rsidR="005C6FFC" w:rsidRDefault="00620548" w:rsidP="00D75706">
      <w:pPr>
        <w:jc w:val="both"/>
        <w:rPr>
          <w:color w:val="000000"/>
          <w:sz w:val="28"/>
          <w:szCs w:val="28"/>
          <w:lang w:val="ru-RU"/>
        </w:rPr>
      </w:pPr>
      <w:r w:rsidRPr="005C6FFC">
        <w:rPr>
          <w:color w:val="000000"/>
          <w:sz w:val="28"/>
          <w:szCs w:val="28"/>
          <w:lang w:val="ru-RU"/>
        </w:rPr>
        <w:t xml:space="preserve">- члены аудиторской группы не имеют никаких финансовых интересов в Обществе; </w:t>
      </w:r>
    </w:p>
    <w:p w:rsidR="005C6FFC" w:rsidRDefault="00620548" w:rsidP="00D75706">
      <w:pPr>
        <w:jc w:val="both"/>
        <w:rPr>
          <w:color w:val="000000"/>
          <w:sz w:val="28"/>
          <w:szCs w:val="28"/>
          <w:lang w:val="ru-RU"/>
        </w:rPr>
      </w:pPr>
      <w:r w:rsidRPr="005C6FFC">
        <w:rPr>
          <w:color w:val="000000"/>
          <w:sz w:val="28"/>
          <w:szCs w:val="28"/>
          <w:lang w:val="ru-RU"/>
        </w:rPr>
        <w:t xml:space="preserve">- за исключением случаев, предусмотренных настоящей Политикой, не существует никаких иных случаев оказания услуг между Обществом и Аудитором; </w:t>
      </w:r>
    </w:p>
    <w:p w:rsidR="005C6FFC" w:rsidRDefault="00620548" w:rsidP="00D75706">
      <w:pPr>
        <w:jc w:val="both"/>
        <w:rPr>
          <w:color w:val="000000"/>
          <w:sz w:val="28"/>
          <w:szCs w:val="28"/>
          <w:lang w:val="ru-RU"/>
        </w:rPr>
      </w:pPr>
      <w:r w:rsidRPr="005C6FFC">
        <w:rPr>
          <w:color w:val="000000"/>
          <w:sz w:val="28"/>
          <w:szCs w:val="28"/>
          <w:lang w:val="ru-RU"/>
        </w:rPr>
        <w:t xml:space="preserve">- никакая часть вознаграждения, выплачиваемая Обществом Аудитору, не уплачивается на основе возникновения чрезвычайных ситуаций; </w:t>
      </w:r>
    </w:p>
    <w:p w:rsidR="005C6FFC" w:rsidRDefault="00620548" w:rsidP="00D75706">
      <w:pPr>
        <w:jc w:val="both"/>
        <w:rPr>
          <w:color w:val="000000"/>
          <w:sz w:val="28"/>
          <w:szCs w:val="28"/>
          <w:lang w:val="ru-RU"/>
        </w:rPr>
      </w:pPr>
      <w:r w:rsidRPr="005C6FFC">
        <w:rPr>
          <w:color w:val="000000"/>
          <w:sz w:val="28"/>
          <w:szCs w:val="28"/>
          <w:lang w:val="ru-RU"/>
        </w:rPr>
        <w:t xml:space="preserve">- общая сумма вознаграждения, полученная Аудитором по каждой оказанной Обществу услуге, не оказала существенного влияния на финансовую независимость Аудитора от Общества или Группы, порог которого, согласно Правилам профессиональной этики Ассоциации Присяжных Сертифицированных Бухгалтеров Соединенного Королевства Великобритании и Северной Ирландии (the ACCA Rules of Professional Conduct), не должен превышать 15 процентов от общих доходов Аудитора; </w:t>
      </w:r>
    </w:p>
    <w:p w:rsidR="00620548" w:rsidRPr="005C6FFC" w:rsidRDefault="00620548" w:rsidP="00D75706">
      <w:pPr>
        <w:jc w:val="both"/>
        <w:rPr>
          <w:color w:val="000000"/>
          <w:sz w:val="28"/>
          <w:szCs w:val="28"/>
          <w:lang w:val="ru-RU"/>
        </w:rPr>
      </w:pPr>
      <w:r w:rsidRPr="005C6FFC">
        <w:rPr>
          <w:color w:val="000000"/>
          <w:sz w:val="28"/>
          <w:szCs w:val="28"/>
          <w:lang w:val="ru-RU"/>
        </w:rPr>
        <w:t>- нет никаких споров между Обществом и Аудитором.</w:t>
      </w:r>
    </w:p>
    <w:sectPr w:rsidR="00620548" w:rsidRPr="005C6FFC" w:rsidSect="00D7570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E4748C"/>
    <w:multiLevelType w:val="hybridMultilevel"/>
    <w:tmpl w:val="7FB4B6E0"/>
    <w:lvl w:ilvl="0" w:tplc="A844B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48"/>
    <w:rsid w:val="005C6FFC"/>
    <w:rsid w:val="00620548"/>
    <w:rsid w:val="00D75706"/>
    <w:rsid w:val="00E06BA7"/>
    <w:rsid w:val="00F94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BCB63-7EE8-48E0-9428-E1BC4286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548"/>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маркированный,AC List 01,Bullet Points,без абзаца,ПАРАГРАФ,Заголовок_3,Мой Список,Bullet_IRAO,List Paragraph_0,Bullets before"/>
    <w:basedOn w:val="a"/>
    <w:link w:val="a4"/>
    <w:uiPriority w:val="34"/>
    <w:qFormat/>
    <w:rsid w:val="00620548"/>
    <w:pPr>
      <w:ind w:left="708"/>
    </w:pPr>
  </w:style>
  <w:style w:type="character" w:customStyle="1" w:styleId="a4">
    <w:name w:val="Абзац списка Знак"/>
    <w:aliases w:val="-Абзац списка Знак,маркированный Знак,AC List 01 Знак,Bullet Points Знак,без абзаца Знак,ПАРАГРАФ Знак,Заголовок_3 Знак,Мой Список Знак,Bullet_IRAO Знак,List Paragraph_0 Знак,Bullets before Знак"/>
    <w:link w:val="a3"/>
    <w:uiPriority w:val="34"/>
    <w:rsid w:val="0062054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Исалиева Гулжайнат</dc:creator>
  <cp:keywords/>
  <dc:description/>
  <cp:lastModifiedBy>Исалиева Гулжайнат</cp:lastModifiedBy>
  <cp:revision>2</cp:revision>
  <dcterms:created xsi:type="dcterms:W3CDTF">2022-06-08T08:58:00Z</dcterms:created>
  <dcterms:modified xsi:type="dcterms:W3CDTF">2022-06-08T09:44:00Z</dcterms:modified>
</cp:coreProperties>
</file>