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JANUARY-APRIL 2021</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A234DF"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May,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6348F4"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0507480" w:history="1">
            <w:r w:rsidR="006348F4" w:rsidRPr="00175408">
              <w:rPr>
                <w:rStyle w:val="aa"/>
                <w:b/>
              </w:rPr>
              <w:t xml:space="preserve">SECTION </w:t>
            </w:r>
          </w:hyperlink>
          <w:hyperlink w:anchor="_Toc70507480" w:history="1">
            <w:r w:rsidR="006348F4" w:rsidRPr="00175408">
              <w:rPr>
                <w:rStyle w:val="aa"/>
                <w:b/>
                <w:lang w:val="en-US"/>
              </w:rPr>
              <w:t xml:space="preserve">I </w:t>
            </w:r>
          </w:hyperlink>
          <w:r w:rsidR="006348F4">
            <w:rPr>
              <w:webHidden/>
            </w:rPr>
            <w:tab/>
          </w:r>
          <w:r w:rsidR="006348F4">
            <w:rPr>
              <w:webHidden/>
            </w:rPr>
            <w:fldChar w:fldCharType="begin"/>
          </w:r>
          <w:r w:rsidR="006348F4">
            <w:rPr>
              <w:webHidden/>
            </w:rPr>
            <w:instrText xml:space="preserve"> PAGEREF _Toc70507480 \h </w:instrText>
          </w:r>
          <w:r w:rsidR="006348F4">
            <w:rPr>
              <w:webHidden/>
            </w:rPr>
          </w:r>
          <w:r w:rsidR="006348F4">
            <w:rPr>
              <w:webHidden/>
            </w:rPr>
            <w:fldChar w:fldCharType="separate"/>
          </w:r>
          <w:hyperlink w:anchor="_Toc70507480" w:history="1">
            <w:r w:rsidR="006348F4">
              <w:rPr>
                <w:webHidden/>
              </w:rPr>
              <w:t>4</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1" w:history="1">
            <w:r w:rsidR="006348F4" w:rsidRPr="00175408">
              <w:rPr>
                <w:rStyle w:val="aa"/>
                <w:b/>
              </w:rPr>
              <w:t xml:space="preserve">1. </w:t>
            </w:r>
          </w:hyperlink>
          <w:r w:rsidR="006348F4">
            <w:rPr>
              <w:rFonts w:asciiTheme="minorHAnsi" w:hAnsiTheme="minorHAnsi" w:cstheme="minorBidi"/>
              <w:sz w:val="22"/>
              <w:szCs w:val="22"/>
              <w:lang w:eastAsia="ru-RU"/>
            </w:rPr>
            <w:tab/>
          </w:r>
          <w:hyperlink w:anchor="_Toc70507481" w:history="1">
            <w:r w:rsidR="006348F4" w:rsidRPr="00175408">
              <w:rPr>
                <w:rStyle w:val="aa"/>
                <w:b/>
              </w:rPr>
              <w:t xml:space="preserve">Production of electricity in the UES of Kazakhstan </w:t>
            </w:r>
          </w:hyperlink>
          <w:r w:rsidR="006348F4">
            <w:rPr>
              <w:webHidden/>
            </w:rPr>
            <w:tab/>
          </w:r>
          <w:r w:rsidR="006348F4">
            <w:rPr>
              <w:webHidden/>
            </w:rPr>
            <w:fldChar w:fldCharType="begin"/>
          </w:r>
          <w:r w:rsidR="006348F4">
            <w:rPr>
              <w:webHidden/>
            </w:rPr>
            <w:instrText xml:space="preserve"> PAGEREF _Toc70507481 \h </w:instrText>
          </w:r>
          <w:r w:rsidR="006348F4">
            <w:rPr>
              <w:webHidden/>
            </w:rPr>
          </w:r>
          <w:r w:rsidR="006348F4">
            <w:rPr>
              <w:webHidden/>
            </w:rPr>
            <w:fldChar w:fldCharType="separate"/>
          </w:r>
          <w:hyperlink w:anchor="_Toc70507481" w:history="1">
            <w:r w:rsidR="006348F4">
              <w:rPr>
                <w:webHidden/>
              </w:rPr>
              <w:t>4</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2" w:history="1">
            <w:r w:rsidR="006348F4" w:rsidRPr="00175408">
              <w:rPr>
                <w:rStyle w:val="aa"/>
                <w:i/>
              </w:rPr>
              <w:t xml:space="preserve">Electricity generation by regions of the Republic of Kazakhstan </w:t>
            </w:r>
          </w:hyperlink>
          <w:r w:rsidR="006348F4">
            <w:rPr>
              <w:webHidden/>
            </w:rPr>
            <w:tab/>
          </w:r>
          <w:r w:rsidR="006348F4">
            <w:rPr>
              <w:webHidden/>
            </w:rPr>
            <w:fldChar w:fldCharType="begin"/>
          </w:r>
          <w:r w:rsidR="006348F4">
            <w:rPr>
              <w:webHidden/>
            </w:rPr>
            <w:instrText xml:space="preserve"> PAGEREF _Toc70507482 \h </w:instrText>
          </w:r>
          <w:r w:rsidR="006348F4">
            <w:rPr>
              <w:webHidden/>
            </w:rPr>
          </w:r>
          <w:r w:rsidR="006348F4">
            <w:rPr>
              <w:webHidden/>
            </w:rPr>
            <w:fldChar w:fldCharType="separate"/>
          </w:r>
          <w:hyperlink w:anchor="_Toc70507482" w:history="1">
            <w:r w:rsidR="006348F4">
              <w:rPr>
                <w:webHidden/>
              </w:rPr>
              <w:t>4</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3" w:history="1">
            <w:r w:rsidR="006348F4" w:rsidRPr="00175408">
              <w:rPr>
                <w:rStyle w:val="aa"/>
                <w:b/>
              </w:rPr>
              <w:t xml:space="preserve">2. </w:t>
            </w:r>
          </w:hyperlink>
          <w:r w:rsidR="006348F4">
            <w:rPr>
              <w:rFonts w:asciiTheme="minorHAnsi" w:hAnsiTheme="minorHAnsi" w:cstheme="minorBidi"/>
              <w:sz w:val="22"/>
              <w:szCs w:val="22"/>
              <w:lang w:eastAsia="ru-RU"/>
            </w:rPr>
            <w:tab/>
          </w:r>
          <w:hyperlink w:anchor="_Toc70507483" w:history="1">
            <w:r w:rsidR="006348F4" w:rsidRPr="00175408">
              <w:rPr>
                <w:rStyle w:val="aa"/>
                <w:b/>
              </w:rPr>
              <w:t xml:space="preserve">Electricity consumption in the UES of Kazakhstan </w:t>
            </w:r>
          </w:hyperlink>
          <w:r w:rsidR="006348F4">
            <w:rPr>
              <w:webHidden/>
            </w:rPr>
            <w:tab/>
          </w:r>
          <w:r w:rsidR="006348F4">
            <w:rPr>
              <w:webHidden/>
            </w:rPr>
            <w:fldChar w:fldCharType="begin"/>
          </w:r>
          <w:r w:rsidR="006348F4">
            <w:rPr>
              <w:webHidden/>
            </w:rPr>
            <w:instrText xml:space="preserve"> PAGEREF _Toc70507483 \h </w:instrText>
          </w:r>
          <w:r w:rsidR="006348F4">
            <w:rPr>
              <w:webHidden/>
            </w:rPr>
          </w:r>
          <w:r w:rsidR="006348F4">
            <w:rPr>
              <w:webHidden/>
            </w:rPr>
            <w:fldChar w:fldCharType="separate"/>
          </w:r>
          <w:hyperlink w:anchor="_Toc70507483" w:history="1">
            <w:r w:rsidR="006348F4">
              <w:rPr>
                <w:webHidden/>
              </w:rPr>
              <w:t>5</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4" w:history="1">
            <w:r w:rsidR="006348F4" w:rsidRPr="00175408">
              <w:rPr>
                <w:rStyle w:val="aa"/>
                <w:i/>
              </w:rPr>
              <w:t xml:space="preserve">Consumption of electrical energy by zones and regions </w:t>
            </w:r>
          </w:hyperlink>
          <w:r w:rsidR="006348F4">
            <w:rPr>
              <w:webHidden/>
            </w:rPr>
            <w:tab/>
          </w:r>
          <w:r w:rsidR="006348F4">
            <w:rPr>
              <w:webHidden/>
            </w:rPr>
            <w:fldChar w:fldCharType="begin"/>
          </w:r>
          <w:r w:rsidR="006348F4">
            <w:rPr>
              <w:webHidden/>
            </w:rPr>
            <w:instrText xml:space="preserve"> PAGEREF _Toc70507484 \h </w:instrText>
          </w:r>
          <w:r w:rsidR="006348F4">
            <w:rPr>
              <w:webHidden/>
            </w:rPr>
          </w:r>
          <w:r w:rsidR="006348F4">
            <w:rPr>
              <w:webHidden/>
            </w:rPr>
            <w:fldChar w:fldCharType="separate"/>
          </w:r>
          <w:hyperlink w:anchor="_Toc70507484" w:history="1">
            <w:r w:rsidR="006348F4">
              <w:rPr>
                <w:webHidden/>
              </w:rPr>
              <w:t>5</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5" w:history="1">
            <w:r w:rsidR="006348F4" w:rsidRPr="00175408">
              <w:rPr>
                <w:rStyle w:val="aa"/>
                <w:b/>
              </w:rPr>
              <w:t xml:space="preserve">3. </w:t>
            </w:r>
          </w:hyperlink>
          <w:r w:rsidR="006348F4">
            <w:rPr>
              <w:rFonts w:asciiTheme="minorHAnsi" w:hAnsiTheme="minorHAnsi" w:cstheme="minorBidi"/>
              <w:sz w:val="22"/>
              <w:szCs w:val="22"/>
              <w:lang w:eastAsia="ru-RU"/>
            </w:rPr>
            <w:tab/>
          </w:r>
          <w:hyperlink w:anchor="_Toc70507485" w:history="1">
            <w:r w:rsidR="006348F4" w:rsidRPr="00175408">
              <w:rPr>
                <w:rStyle w:val="aa"/>
                <w:b/>
              </w:rPr>
              <w:t xml:space="preserve">Results of the work </w:t>
            </w:r>
          </w:hyperlink>
          <w:hyperlink w:anchor="_Toc70507485" w:history="1">
            <w:r w:rsidR="00A234DF">
              <w:rPr>
                <w:rStyle w:val="aa"/>
                <w:b/>
              </w:rPr>
              <w:t xml:space="preserve">of the industry in January-April </w:t>
            </w:r>
          </w:hyperlink>
          <w:hyperlink w:anchor="_Toc70507485" w:history="1">
            <w:r w:rsidR="006348F4" w:rsidRPr="00175408">
              <w:rPr>
                <w:rStyle w:val="aa"/>
                <w:b/>
              </w:rPr>
              <w:t xml:space="preserve">2021 </w:t>
            </w:r>
          </w:hyperlink>
          <w:r w:rsidR="006348F4">
            <w:rPr>
              <w:webHidden/>
            </w:rPr>
            <w:tab/>
          </w:r>
          <w:r w:rsidR="006348F4">
            <w:rPr>
              <w:webHidden/>
            </w:rPr>
            <w:fldChar w:fldCharType="begin"/>
          </w:r>
          <w:r w:rsidR="006348F4">
            <w:rPr>
              <w:webHidden/>
            </w:rPr>
            <w:instrText xml:space="preserve"> PAGEREF _Toc70507485 \h </w:instrText>
          </w:r>
          <w:r w:rsidR="006348F4">
            <w:rPr>
              <w:webHidden/>
            </w:rPr>
          </w:r>
          <w:r w:rsidR="006348F4">
            <w:rPr>
              <w:webHidden/>
            </w:rPr>
            <w:fldChar w:fldCharType="separate"/>
          </w:r>
          <w:hyperlink w:anchor="_Toc70507485" w:history="1">
            <w:r w:rsidR="006348F4">
              <w:rPr>
                <w:webHidden/>
              </w:rPr>
              <w:t>6</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6" w:history="1">
            <w:r w:rsidR="006348F4" w:rsidRPr="00175408">
              <w:rPr>
                <w:rStyle w:val="aa"/>
                <w:i/>
              </w:rPr>
              <w:t xml:space="preserve">Electricity consumption by large consumers in Kazakhstan </w:t>
            </w:r>
          </w:hyperlink>
          <w:r w:rsidR="006348F4">
            <w:rPr>
              <w:webHidden/>
            </w:rPr>
            <w:tab/>
          </w:r>
          <w:r w:rsidR="006348F4">
            <w:rPr>
              <w:webHidden/>
            </w:rPr>
            <w:fldChar w:fldCharType="begin"/>
          </w:r>
          <w:r w:rsidR="006348F4">
            <w:rPr>
              <w:webHidden/>
            </w:rPr>
            <w:instrText xml:space="preserve"> PAGEREF _Toc70507486 \h </w:instrText>
          </w:r>
          <w:r w:rsidR="006348F4">
            <w:rPr>
              <w:webHidden/>
            </w:rPr>
          </w:r>
          <w:r w:rsidR="006348F4">
            <w:rPr>
              <w:webHidden/>
            </w:rPr>
            <w:fldChar w:fldCharType="separate"/>
          </w:r>
          <w:hyperlink w:anchor="_Toc70507486" w:history="1">
            <w:r w:rsidR="006348F4">
              <w:rPr>
                <w:webHidden/>
              </w:rPr>
              <w:t>7</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7" w:history="1">
            <w:r w:rsidR="006348F4" w:rsidRPr="00175408">
              <w:rPr>
                <w:rStyle w:val="aa"/>
                <w:b/>
              </w:rPr>
              <w:t xml:space="preserve">4. </w:t>
            </w:r>
          </w:hyperlink>
          <w:r w:rsidR="006348F4">
            <w:rPr>
              <w:rFonts w:asciiTheme="minorHAnsi" w:hAnsiTheme="minorHAnsi" w:cstheme="minorBidi"/>
              <w:sz w:val="22"/>
              <w:szCs w:val="22"/>
              <w:lang w:eastAsia="ru-RU"/>
            </w:rPr>
            <w:tab/>
          </w:r>
          <w:hyperlink w:anchor="_Toc70507487" w:history="1">
            <w:r w:rsidR="006348F4" w:rsidRPr="00175408">
              <w:rPr>
                <w:rStyle w:val="aa"/>
                <w:b/>
              </w:rPr>
              <w:t xml:space="preserve">Coal </w:t>
            </w:r>
          </w:hyperlink>
          <w:r w:rsidR="006348F4">
            <w:rPr>
              <w:webHidden/>
            </w:rPr>
            <w:tab/>
          </w:r>
          <w:r w:rsidR="006348F4">
            <w:rPr>
              <w:webHidden/>
            </w:rPr>
            <w:fldChar w:fldCharType="begin"/>
          </w:r>
          <w:r w:rsidR="006348F4">
            <w:rPr>
              <w:webHidden/>
            </w:rPr>
            <w:instrText xml:space="preserve"> PAGEREF _Toc70507487 \h </w:instrText>
          </w:r>
          <w:r w:rsidR="006348F4">
            <w:rPr>
              <w:webHidden/>
            </w:rPr>
          </w:r>
          <w:r w:rsidR="006348F4">
            <w:rPr>
              <w:webHidden/>
            </w:rPr>
            <w:fldChar w:fldCharType="separate"/>
          </w:r>
          <w:hyperlink w:anchor="_Toc70507487" w:history="1">
            <w:r w:rsidR="006348F4">
              <w:rPr>
                <w:webHidden/>
              </w:rPr>
              <w:t>8</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8" w:history="1">
            <w:r w:rsidR="006348F4" w:rsidRPr="00175408">
              <w:rPr>
                <w:rStyle w:val="aa"/>
                <w:i/>
              </w:rPr>
              <w:t xml:space="preserve">Thermal coal mining in Kazakhstan </w:t>
            </w:r>
          </w:hyperlink>
          <w:r w:rsidR="006348F4">
            <w:rPr>
              <w:webHidden/>
            </w:rPr>
            <w:tab/>
          </w:r>
          <w:r w:rsidR="006348F4">
            <w:rPr>
              <w:webHidden/>
            </w:rPr>
            <w:fldChar w:fldCharType="begin"/>
          </w:r>
          <w:r w:rsidR="006348F4">
            <w:rPr>
              <w:webHidden/>
            </w:rPr>
            <w:instrText xml:space="preserve"> PAGEREF _Toc70507488 \h </w:instrText>
          </w:r>
          <w:r w:rsidR="006348F4">
            <w:rPr>
              <w:webHidden/>
            </w:rPr>
          </w:r>
          <w:r w:rsidR="006348F4">
            <w:rPr>
              <w:webHidden/>
            </w:rPr>
            <w:fldChar w:fldCharType="separate"/>
          </w:r>
          <w:hyperlink w:anchor="_Toc70507488" w:history="1">
            <w:r w:rsidR="006348F4">
              <w:rPr>
                <w:webHidden/>
              </w:rPr>
              <w:t>8</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89" w:history="1">
            <w:r w:rsidR="006348F4" w:rsidRPr="00175408">
              <w:rPr>
                <w:rStyle w:val="aa"/>
                <w:i/>
              </w:rPr>
              <w:t xml:space="preserve">Coal mining Samruk-Energy JSC </w:t>
            </w:r>
          </w:hyperlink>
          <w:r w:rsidR="006348F4">
            <w:rPr>
              <w:webHidden/>
            </w:rPr>
            <w:tab/>
          </w:r>
          <w:r w:rsidR="006348F4">
            <w:rPr>
              <w:webHidden/>
            </w:rPr>
            <w:fldChar w:fldCharType="begin"/>
          </w:r>
          <w:r w:rsidR="006348F4">
            <w:rPr>
              <w:webHidden/>
            </w:rPr>
            <w:instrText xml:space="preserve"> PAGEREF _Toc70507489 \h </w:instrText>
          </w:r>
          <w:r w:rsidR="006348F4">
            <w:rPr>
              <w:webHidden/>
            </w:rPr>
          </w:r>
          <w:r w:rsidR="006348F4">
            <w:rPr>
              <w:webHidden/>
            </w:rPr>
            <w:fldChar w:fldCharType="separate"/>
          </w:r>
          <w:hyperlink w:anchor="_Toc70507489" w:history="1">
            <w:r w:rsidR="006348F4">
              <w:rPr>
                <w:webHidden/>
              </w:rPr>
              <w:t>8</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90" w:history="1">
            <w:r w:rsidR="006348F4" w:rsidRPr="00175408">
              <w:rPr>
                <w:rStyle w:val="aa"/>
                <w:i/>
              </w:rPr>
              <w:t xml:space="preserve">Coal sales Samruk-Energy JSC </w:t>
            </w:r>
          </w:hyperlink>
          <w:r w:rsidR="006348F4">
            <w:rPr>
              <w:webHidden/>
            </w:rPr>
            <w:tab/>
          </w:r>
          <w:r w:rsidR="006348F4">
            <w:rPr>
              <w:webHidden/>
            </w:rPr>
            <w:fldChar w:fldCharType="begin"/>
          </w:r>
          <w:r w:rsidR="006348F4">
            <w:rPr>
              <w:webHidden/>
            </w:rPr>
            <w:instrText xml:space="preserve"> PAGEREF _Toc70507490 \h </w:instrText>
          </w:r>
          <w:r w:rsidR="006348F4">
            <w:rPr>
              <w:webHidden/>
            </w:rPr>
          </w:r>
          <w:r w:rsidR="006348F4">
            <w:rPr>
              <w:webHidden/>
            </w:rPr>
            <w:fldChar w:fldCharType="separate"/>
          </w:r>
          <w:hyperlink w:anchor="_Toc70507490" w:history="1">
            <w:r w:rsidR="006348F4">
              <w:rPr>
                <w:webHidden/>
              </w:rPr>
              <w:t>9</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91" w:history="1">
            <w:r w:rsidR="006348F4" w:rsidRPr="00175408">
              <w:rPr>
                <w:rStyle w:val="aa"/>
                <w:b/>
              </w:rPr>
              <w:t xml:space="preserve">5. </w:t>
            </w:r>
          </w:hyperlink>
          <w:r w:rsidR="006348F4">
            <w:rPr>
              <w:rFonts w:asciiTheme="minorHAnsi" w:hAnsiTheme="minorHAnsi" w:cstheme="minorBidi"/>
              <w:sz w:val="22"/>
              <w:szCs w:val="22"/>
              <w:lang w:eastAsia="ru-RU"/>
            </w:rPr>
            <w:tab/>
          </w:r>
          <w:hyperlink w:anchor="_Toc70507491" w:history="1">
            <w:r w:rsidR="006348F4" w:rsidRPr="00175408">
              <w:rPr>
                <w:rStyle w:val="aa"/>
                <w:b/>
              </w:rPr>
              <w:t xml:space="preserve">Renewable energy sources </w:t>
            </w:r>
          </w:hyperlink>
          <w:r w:rsidR="006348F4">
            <w:rPr>
              <w:webHidden/>
            </w:rPr>
            <w:tab/>
          </w:r>
          <w:r w:rsidR="006348F4">
            <w:rPr>
              <w:webHidden/>
            </w:rPr>
            <w:fldChar w:fldCharType="begin"/>
          </w:r>
          <w:r w:rsidR="006348F4">
            <w:rPr>
              <w:webHidden/>
            </w:rPr>
            <w:instrText xml:space="preserve"> PAGEREF _Toc70507491 \h </w:instrText>
          </w:r>
          <w:r w:rsidR="006348F4">
            <w:rPr>
              <w:webHidden/>
            </w:rPr>
          </w:r>
          <w:r w:rsidR="006348F4">
            <w:rPr>
              <w:webHidden/>
            </w:rPr>
            <w:fldChar w:fldCharType="separate"/>
          </w:r>
          <w:hyperlink w:anchor="_Toc70507491" w:history="1">
            <w:r w:rsidR="006348F4">
              <w:rPr>
                <w:webHidden/>
              </w:rPr>
              <w:t>9</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492" w:history="1">
            <w:r w:rsidR="006348F4" w:rsidRPr="00175408">
              <w:rPr>
                <w:rStyle w:val="aa"/>
                <w:b/>
              </w:rPr>
              <w:t xml:space="preserve">6. </w:t>
            </w:r>
          </w:hyperlink>
          <w:r w:rsidR="006348F4">
            <w:rPr>
              <w:rFonts w:asciiTheme="minorHAnsi" w:hAnsiTheme="minorHAnsi" w:cstheme="minorBidi"/>
              <w:sz w:val="22"/>
              <w:szCs w:val="22"/>
              <w:lang w:eastAsia="ru-RU"/>
            </w:rPr>
            <w:tab/>
          </w:r>
          <w:hyperlink w:anchor="_Toc70507492" w:history="1">
            <w:r w:rsidR="006348F4" w:rsidRPr="00175408">
              <w:rPr>
                <w:rStyle w:val="aa"/>
                <w:b/>
              </w:rPr>
              <w:t xml:space="preserve">Centralized trading in electricity of KOREM JSC </w:t>
            </w:r>
          </w:hyperlink>
          <w:r w:rsidR="006348F4">
            <w:rPr>
              <w:webHidden/>
            </w:rPr>
            <w:tab/>
          </w:r>
          <w:r w:rsidR="006348F4">
            <w:rPr>
              <w:webHidden/>
            </w:rPr>
            <w:fldChar w:fldCharType="begin"/>
          </w:r>
          <w:r w:rsidR="006348F4">
            <w:rPr>
              <w:webHidden/>
            </w:rPr>
            <w:instrText xml:space="preserve"> PAGEREF _Toc70507492 \h </w:instrText>
          </w:r>
          <w:r w:rsidR="006348F4">
            <w:rPr>
              <w:webHidden/>
            </w:rPr>
          </w:r>
          <w:r w:rsidR="006348F4">
            <w:rPr>
              <w:webHidden/>
            </w:rPr>
            <w:fldChar w:fldCharType="separate"/>
          </w:r>
          <w:hyperlink w:anchor="_Toc70507492" w:history="1">
            <w:r w:rsidR="006348F4">
              <w:rPr>
                <w:webHidden/>
              </w:rPr>
              <w:t>10</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501" w:history="1">
            <w:r w:rsidR="006348F4" w:rsidRPr="00175408">
              <w:rPr>
                <w:rStyle w:val="aa"/>
                <w:b/>
              </w:rPr>
              <w:t xml:space="preserve">7. </w:t>
            </w:r>
          </w:hyperlink>
          <w:r w:rsidR="006348F4">
            <w:rPr>
              <w:rFonts w:asciiTheme="minorHAnsi" w:hAnsiTheme="minorHAnsi" w:cstheme="minorBidi"/>
              <w:sz w:val="22"/>
              <w:szCs w:val="22"/>
              <w:lang w:eastAsia="ru-RU"/>
            </w:rPr>
            <w:tab/>
          </w:r>
          <w:hyperlink w:anchor="_Toc70507501" w:history="1">
            <w:r w:rsidR="006348F4" w:rsidRPr="00175408">
              <w:rPr>
                <w:rStyle w:val="aa"/>
                <w:b/>
              </w:rPr>
              <w:t xml:space="preserve">Export-import of electrical energy </w:t>
            </w:r>
          </w:hyperlink>
          <w:r w:rsidR="006348F4">
            <w:rPr>
              <w:webHidden/>
            </w:rPr>
            <w:tab/>
          </w:r>
          <w:r w:rsidR="006348F4">
            <w:rPr>
              <w:webHidden/>
            </w:rPr>
            <w:fldChar w:fldCharType="begin"/>
          </w:r>
          <w:r w:rsidR="006348F4">
            <w:rPr>
              <w:webHidden/>
            </w:rPr>
            <w:instrText xml:space="preserve"> PAGEREF _Toc70507501 \h </w:instrText>
          </w:r>
          <w:r w:rsidR="006348F4">
            <w:rPr>
              <w:webHidden/>
            </w:rPr>
          </w:r>
          <w:r w:rsidR="006348F4">
            <w:rPr>
              <w:webHidden/>
            </w:rPr>
            <w:fldChar w:fldCharType="separate"/>
          </w:r>
          <w:hyperlink w:anchor="_Toc70507501" w:history="1">
            <w:r w:rsidR="006348F4">
              <w:rPr>
                <w:webHidden/>
              </w:rPr>
              <w:t>13</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502" w:history="1">
            <w:r w:rsidR="006348F4" w:rsidRPr="00175408">
              <w:rPr>
                <w:rStyle w:val="aa"/>
                <w:b/>
              </w:rPr>
              <w:t xml:space="preserve">SECTION II </w:t>
            </w:r>
          </w:hyperlink>
          <w:r w:rsidR="006348F4">
            <w:rPr>
              <w:webHidden/>
            </w:rPr>
            <w:tab/>
          </w:r>
          <w:r w:rsidR="006348F4">
            <w:rPr>
              <w:webHidden/>
            </w:rPr>
            <w:fldChar w:fldCharType="begin"/>
          </w:r>
          <w:r w:rsidR="006348F4">
            <w:rPr>
              <w:webHidden/>
            </w:rPr>
            <w:instrText xml:space="preserve"> PAGEREF _Toc70507502 \h </w:instrText>
          </w:r>
          <w:r w:rsidR="006348F4">
            <w:rPr>
              <w:webHidden/>
            </w:rPr>
          </w:r>
          <w:r w:rsidR="006348F4">
            <w:rPr>
              <w:webHidden/>
            </w:rPr>
            <w:fldChar w:fldCharType="separate"/>
          </w:r>
          <w:hyperlink w:anchor="_Toc70507502" w:history="1">
            <w:r w:rsidR="006348F4">
              <w:rPr>
                <w:webHidden/>
              </w:rPr>
              <w:t>14</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503" w:history="1">
            <w:r w:rsidR="006348F4" w:rsidRPr="00175408">
              <w:rPr>
                <w:rStyle w:val="aa"/>
                <w:b/>
              </w:rPr>
              <w:t xml:space="preserve">8. </w:t>
            </w:r>
          </w:hyperlink>
          <w:r w:rsidR="006348F4">
            <w:rPr>
              <w:rFonts w:asciiTheme="minorHAnsi" w:hAnsiTheme="minorHAnsi" w:cstheme="minorBidi"/>
              <w:sz w:val="22"/>
              <w:szCs w:val="22"/>
              <w:lang w:eastAsia="ru-RU"/>
            </w:rPr>
            <w:tab/>
          </w:r>
          <w:hyperlink w:anchor="_Toc70507503" w:history="1">
            <w:r w:rsidR="006348F4" w:rsidRPr="00175408">
              <w:rPr>
                <w:rStyle w:val="aa"/>
                <w:b/>
              </w:rPr>
              <w:t xml:space="preserve">Status of formation of the Common Electricity Market of the Eurasian Economic Union </w:t>
            </w:r>
          </w:hyperlink>
          <w:r w:rsidR="006348F4">
            <w:rPr>
              <w:webHidden/>
            </w:rPr>
            <w:tab/>
          </w:r>
          <w:r w:rsidR="006348F4">
            <w:rPr>
              <w:webHidden/>
            </w:rPr>
            <w:fldChar w:fldCharType="begin"/>
          </w:r>
          <w:r w:rsidR="006348F4">
            <w:rPr>
              <w:webHidden/>
            </w:rPr>
            <w:instrText xml:space="preserve"> PAGEREF _Toc70507503 \h </w:instrText>
          </w:r>
          <w:r w:rsidR="006348F4">
            <w:rPr>
              <w:webHidden/>
            </w:rPr>
          </w:r>
          <w:r w:rsidR="006348F4">
            <w:rPr>
              <w:webHidden/>
            </w:rPr>
            <w:fldChar w:fldCharType="separate"/>
          </w:r>
          <w:hyperlink w:anchor="_Toc70507503" w:history="1">
            <w:r w:rsidR="006348F4">
              <w:rPr>
                <w:webHidden/>
              </w:rPr>
              <w:t>14</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504" w:history="1">
            <w:r w:rsidR="006348F4" w:rsidRPr="00175408">
              <w:rPr>
                <w:rStyle w:val="aa"/>
                <w:b/>
              </w:rPr>
              <w:t xml:space="preserve">9. </w:t>
            </w:r>
          </w:hyperlink>
          <w:r w:rsidR="006348F4">
            <w:rPr>
              <w:rFonts w:asciiTheme="minorHAnsi" w:hAnsiTheme="minorHAnsi" w:cstheme="minorBidi"/>
              <w:sz w:val="22"/>
              <w:szCs w:val="22"/>
              <w:lang w:eastAsia="ru-RU"/>
            </w:rPr>
            <w:tab/>
          </w:r>
          <w:hyperlink w:anchor="_Toc70507504" w:history="1">
            <w:r w:rsidR="006348F4" w:rsidRPr="00175408">
              <w:rPr>
                <w:rStyle w:val="aa"/>
                <w:b/>
              </w:rPr>
              <w:t xml:space="preserve">Status of formation of the Electricity market of the CIS </w:t>
            </w:r>
          </w:hyperlink>
          <w:r w:rsidR="006348F4">
            <w:rPr>
              <w:webHidden/>
            </w:rPr>
            <w:tab/>
          </w:r>
          <w:r w:rsidR="006348F4">
            <w:rPr>
              <w:webHidden/>
            </w:rPr>
            <w:fldChar w:fldCharType="begin"/>
          </w:r>
          <w:r w:rsidR="006348F4">
            <w:rPr>
              <w:webHidden/>
            </w:rPr>
            <w:instrText xml:space="preserve"> PAGEREF _Toc70507504 \h </w:instrText>
          </w:r>
          <w:r w:rsidR="006348F4">
            <w:rPr>
              <w:webHidden/>
            </w:rPr>
          </w:r>
          <w:r w:rsidR="006348F4">
            <w:rPr>
              <w:webHidden/>
            </w:rPr>
            <w:fldChar w:fldCharType="separate"/>
          </w:r>
          <w:hyperlink w:anchor="_Toc70507504" w:history="1">
            <w:r w:rsidR="006348F4">
              <w:rPr>
                <w:webHidden/>
              </w:rPr>
              <w:t>14</w:t>
            </w:r>
          </w:hyperlink>
          <w:r w:rsidR="006348F4">
            <w:rPr>
              <w:webHidden/>
            </w:rPr>
            <w:fldChar w:fldCharType="end"/>
          </w:r>
        </w:p>
        <w:p w:rsidR="006348F4" w:rsidRDefault="00F21D47">
          <w:pPr>
            <w:pStyle w:val="11"/>
            <w:rPr>
              <w:rFonts w:asciiTheme="minorHAnsi" w:hAnsiTheme="minorHAnsi" w:cstheme="minorBidi"/>
              <w:sz w:val="22"/>
              <w:szCs w:val="22"/>
              <w:lang w:eastAsia="ru-RU"/>
            </w:rPr>
          </w:pPr>
          <w:hyperlink w:anchor="_Toc70507505" w:history="1">
            <w:r w:rsidR="006348F4" w:rsidRPr="00175408">
              <w:rPr>
                <w:rStyle w:val="aa"/>
                <w:b/>
              </w:rPr>
              <w:t xml:space="preserve">10. </w:t>
            </w:r>
          </w:hyperlink>
          <w:r w:rsidR="006348F4">
            <w:rPr>
              <w:rFonts w:asciiTheme="minorHAnsi" w:hAnsiTheme="minorHAnsi" w:cstheme="minorBidi"/>
              <w:sz w:val="22"/>
              <w:szCs w:val="22"/>
              <w:lang w:eastAsia="ru-RU"/>
            </w:rPr>
            <w:tab/>
          </w:r>
          <w:hyperlink w:anchor="_Toc70507505" w:history="1">
            <w:r w:rsidR="006348F4" w:rsidRPr="00175408">
              <w:rPr>
                <w:rStyle w:val="aa"/>
                <w:b/>
              </w:rPr>
              <w:t xml:space="preserve">Media review in the CIS countries </w:t>
            </w:r>
          </w:hyperlink>
          <w:r w:rsidR="006348F4">
            <w:rPr>
              <w:webHidden/>
            </w:rPr>
            <w:tab/>
          </w:r>
          <w:r w:rsidR="006348F4">
            <w:rPr>
              <w:webHidden/>
            </w:rPr>
            <w:fldChar w:fldCharType="begin"/>
          </w:r>
          <w:r w:rsidR="006348F4">
            <w:rPr>
              <w:webHidden/>
            </w:rPr>
            <w:instrText xml:space="preserve"> PAGEREF _Toc70507505 \h </w:instrText>
          </w:r>
          <w:r w:rsidR="006348F4">
            <w:rPr>
              <w:webHidden/>
            </w:rPr>
          </w:r>
          <w:r w:rsidR="006348F4">
            <w:rPr>
              <w:webHidden/>
            </w:rPr>
            <w:fldChar w:fldCharType="separate"/>
          </w:r>
          <w:hyperlink w:anchor="_Toc70507505" w:history="1">
            <w:r w:rsidR="006348F4">
              <w:rPr>
                <w:webHidden/>
              </w:rPr>
              <w:t>16</w:t>
            </w:r>
          </w:hyperlink>
          <w:r w:rsidR="006348F4">
            <w:rPr>
              <w:webHidden/>
            </w:rPr>
            <w:fldChar w:fldCharType="end"/>
          </w:r>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0507480"/>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0507481"/>
      <w:r w:rsidRPr="007F6813">
        <w:rPr>
          <w:rFonts w:ascii="Times New Roman" w:hAnsi="Times New Roman" w:cs="Times New Roman"/>
          <w:b/>
          <w:color w:val="auto"/>
        </w:rPr>
        <w:t>Electricity generation in the UES of Kazakhstan</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A234DF" w:rsidRPr="004B04DB" w:rsidRDefault="00A234DF" w:rsidP="00A234DF">
      <w:pPr>
        <w:spacing w:after="0" w:line="240" w:lineRule="auto"/>
        <w:ind w:firstLine="567"/>
        <w:jc w:val="both"/>
        <w:rPr>
          <w:rFonts w:ascii="Times New Roman" w:hAnsi="Times New Roman" w:cs="Times New Roman"/>
          <w:sz w:val="28"/>
        </w:rPr>
      </w:pPr>
      <w:r w:rsidRPr="004B04DB">
        <w:rPr>
          <w:rFonts w:ascii="Times New Roman" w:hAnsi="Times New Roman" w:cs="Times New Roman"/>
          <w:sz w:val="28"/>
        </w:rPr>
        <w:t>According to the System Operator, power plants of the Republic of Kazakhstan in January-April 2021 generated 40,036 million kWh of electricity, which is 6.4% more than the same period in 2020. A slight decrease in generation was observed only in the Western zone of the UES of Kazakhstan.</w:t>
      </w: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A234DF" w:rsidP="00BF417E">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January-April</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A234DF" w:rsidRPr="0091737D" w:rsidTr="00A234DF">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91737D" w:rsidRDefault="00A234DF" w:rsidP="00A234DF">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37613.9</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40036.3</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6.4%</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30606.1</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32735.8</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7.0%</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3350.0</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3549.9</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6.0%</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3018.1</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2749.5</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-8.9%</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328.3</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563.7</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71.7%</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310.4</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436.0</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40.5%</w:t>
            </w:r>
          </w:p>
        </w:tc>
      </w:tr>
      <w:tr w:rsidR="00A234DF" w:rsidRPr="0091737D" w:rsidTr="00A234DF">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1.4</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40.0%</w:t>
            </w:r>
          </w:p>
        </w:tc>
      </w:tr>
      <w:tr w:rsidR="00A234DF"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28641.3</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30967.9</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8.1%</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25174.7</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27461.6</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9.1%</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1108.9</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1068.5</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-3.6%</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2096.2</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1989.6</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-5.1%</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152.0</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287.8</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89.3%</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108.5</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159.0</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46.5%</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1.4</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40.0%</w:t>
            </w:r>
          </w:p>
        </w:tc>
      </w:tr>
      <w:tr w:rsidR="00A234DF"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4170.0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4305.8</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3.3%</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2896.1</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2999.4</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3.6%</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73.8</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106.3</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44.0%</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921.9</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759.9</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-17.6%</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77.2</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164.1</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112.6%</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201.0</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276.1</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37.4%</w:t>
            </w:r>
          </w:p>
        </w:tc>
      </w:tr>
      <w:tr w:rsidR="00A234DF"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4802.6</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4762.6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-0.8%</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2535.3</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2274.8</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-10.3%</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2167.3</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2375.1</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9.6%</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99.1</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111.8</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12.8%</w:t>
            </w:r>
          </w:p>
        </w:tc>
      </w:tr>
      <w:tr w:rsidR="00A234DF"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A234DF" w:rsidRPr="0091737D" w:rsidRDefault="00A234DF" w:rsidP="00A234DF">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A234DF" w:rsidRPr="0091737D" w:rsidRDefault="00A234DF" w:rsidP="00A234DF">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0.9</w:t>
            </w:r>
          </w:p>
        </w:tc>
        <w:tc>
          <w:tcPr>
            <w:tcW w:w="1842" w:type="dxa"/>
            <w:tcBorders>
              <w:top w:val="nil"/>
              <w:left w:val="nil"/>
              <w:bottom w:val="single" w:sz="8" w:space="0" w:color="auto"/>
              <w:right w:val="single" w:sz="8" w:space="0" w:color="auto"/>
            </w:tcBorders>
            <w:shd w:val="clear" w:color="auto" w:fill="auto"/>
            <w:vAlign w:val="center"/>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0.9</w:t>
            </w:r>
          </w:p>
        </w:tc>
        <w:tc>
          <w:tcPr>
            <w:tcW w:w="1418"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0.0%</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0507482"/>
      <w:r w:rsidRPr="0091737D">
        <w:rPr>
          <w:rFonts w:ascii="Times New Roman" w:hAnsi="Times New Roman" w:cs="Times New Roman"/>
          <w:i/>
          <w:color w:val="auto"/>
          <w:sz w:val="28"/>
        </w:rPr>
        <w:t>Electricity generation by regions of the Republic of Kazakhstan</w:t>
      </w:r>
      <w:bookmarkEnd w:id="2"/>
      <w:bookmarkEnd w:id="3"/>
    </w:p>
    <w:p w:rsidR="00BF417E" w:rsidRPr="00BF417E" w:rsidRDefault="00BF417E" w:rsidP="00BF417E">
      <w:pPr>
        <w:spacing w:after="0" w:line="240" w:lineRule="auto"/>
      </w:pPr>
    </w:p>
    <w:p w:rsidR="00A234DF" w:rsidRPr="004B04DB" w:rsidRDefault="00A234DF" w:rsidP="00A234DF">
      <w:pPr>
        <w:spacing w:after="0" w:line="240" w:lineRule="auto"/>
        <w:ind w:firstLine="567"/>
        <w:jc w:val="both"/>
        <w:rPr>
          <w:rFonts w:ascii="Times New Roman" w:hAnsi="Times New Roman" w:cs="Times New Roman"/>
          <w:sz w:val="28"/>
        </w:rPr>
      </w:pPr>
      <w:r w:rsidRPr="004B04DB">
        <w:rPr>
          <w:rFonts w:ascii="Times New Roman" w:hAnsi="Times New Roman" w:cs="Times New Roman"/>
          <w:sz w:val="28"/>
        </w:rPr>
        <w:t xml:space="preserve">In January-April 2021, compared to the same period in 2020, electricity generation increased significantly (an increase of 15% or more) in the </w:t>
      </w:r>
      <w:proofErr w:type="spellStart"/>
      <w:r w:rsidRPr="004B04DB">
        <w:rPr>
          <w:rFonts w:ascii="Times New Roman" w:hAnsi="Times New Roman" w:cs="Times New Roman"/>
          <w:sz w:val="28"/>
        </w:rPr>
        <w:t>Zhambyl</w:t>
      </w:r>
      <w:proofErr w:type="spellEnd"/>
      <w:r w:rsidRPr="004B04DB">
        <w:rPr>
          <w:rFonts w:ascii="Times New Roman" w:hAnsi="Times New Roman" w:cs="Times New Roman"/>
          <w:sz w:val="28"/>
        </w:rPr>
        <w:t xml:space="preserve"> and </w:t>
      </w:r>
      <w:proofErr w:type="spellStart"/>
      <w:r w:rsidRPr="004B04DB">
        <w:rPr>
          <w:rFonts w:ascii="Times New Roman" w:hAnsi="Times New Roman" w:cs="Times New Roman"/>
          <w:sz w:val="28"/>
        </w:rPr>
        <w:t>Kyzylorda</w:t>
      </w:r>
      <w:proofErr w:type="spellEnd"/>
      <w:r w:rsidRPr="004B04DB">
        <w:rPr>
          <w:rFonts w:ascii="Times New Roman" w:hAnsi="Times New Roman" w:cs="Times New Roman"/>
          <w:sz w:val="28"/>
        </w:rPr>
        <w:t xml:space="preserve"> </w:t>
      </w:r>
      <w:r w:rsidRPr="004B04DB">
        <w:rPr>
          <w:rFonts w:ascii="Times New Roman" w:hAnsi="Times New Roman" w:cs="Times New Roman"/>
          <w:sz w:val="28"/>
        </w:rPr>
        <w:lastRenderedPageBreak/>
        <w:t>regions. At the same time, a decrease in electricity generation</w:t>
      </w:r>
      <w:r w:rsidR="00004898">
        <w:rPr>
          <w:rFonts w:ascii="Times New Roman" w:hAnsi="Times New Roman" w:cs="Times New Roman"/>
          <w:sz w:val="28"/>
        </w:rPr>
        <w:t xml:space="preserve"> </w:t>
      </w:r>
      <w:proofErr w:type="gramStart"/>
      <w:r w:rsidR="00004898">
        <w:rPr>
          <w:rFonts w:ascii="Times New Roman" w:hAnsi="Times New Roman" w:cs="Times New Roman"/>
          <w:sz w:val="28"/>
        </w:rPr>
        <w:t>was observed</w:t>
      </w:r>
      <w:proofErr w:type="gramEnd"/>
      <w:r w:rsidR="00004898">
        <w:rPr>
          <w:rFonts w:ascii="Times New Roman" w:hAnsi="Times New Roman" w:cs="Times New Roman"/>
          <w:sz w:val="28"/>
        </w:rPr>
        <w:t xml:space="preserve"> in </w:t>
      </w:r>
      <w:proofErr w:type="spellStart"/>
      <w:r w:rsidR="00004898">
        <w:rPr>
          <w:rFonts w:ascii="Times New Roman" w:hAnsi="Times New Roman" w:cs="Times New Roman"/>
          <w:sz w:val="28"/>
        </w:rPr>
        <w:t>Aktobe</w:t>
      </w:r>
      <w:proofErr w:type="spellEnd"/>
      <w:r w:rsidR="00004898">
        <w:rPr>
          <w:rFonts w:ascii="Times New Roman" w:hAnsi="Times New Roman" w:cs="Times New Roman"/>
          <w:sz w:val="28"/>
        </w:rPr>
        <w:t xml:space="preserve">, Almaty, Karaganda, </w:t>
      </w:r>
      <w:proofErr w:type="spellStart"/>
      <w:r w:rsidR="00004898">
        <w:rPr>
          <w:rFonts w:ascii="Times New Roman" w:hAnsi="Times New Roman" w:cs="Times New Roman"/>
          <w:sz w:val="28"/>
        </w:rPr>
        <w:t>Mangistau</w:t>
      </w:r>
      <w:proofErr w:type="spellEnd"/>
      <w:r w:rsidRPr="004B04DB">
        <w:rPr>
          <w:rFonts w:ascii="Times New Roman" w:hAnsi="Times New Roman" w:cs="Times New Roman"/>
          <w:sz w:val="28"/>
        </w:rPr>
        <w:t>, North Kazakhstan and East Kazakhstan regions.</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million kWh</w:t>
      </w:r>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January-April</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1,724.3</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1973.2</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14.4%</w:t>
            </w:r>
          </w:p>
        </w:tc>
      </w:tr>
      <w:tr w:rsidR="00A234DF" w:rsidRPr="004B04DB" w:rsidTr="00A234DF">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1412.6</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1372.5</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-2.8%</w:t>
            </w:r>
          </w:p>
        </w:tc>
      </w:tr>
      <w:tr w:rsidR="00A234DF" w:rsidRPr="004B04DB" w:rsidTr="00A234DF">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2549.8</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2416.5</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-5.2%</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2152.6</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2328.7</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8.2%</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3,214.7</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3,065.8</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-4.6%</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831.2</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1000.8</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20.4%</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837.2</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816.8</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-2.4%</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5,815.3</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5615.8</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-3.4%</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403.6</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440.5</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9.1%</w:t>
            </w:r>
          </w:p>
        </w:tc>
      </w:tr>
      <w:tr w:rsidR="00A234DF" w:rsidRPr="004B04DB" w:rsidTr="00A234DF">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205.5</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243.8</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18.6%</w:t>
            </w:r>
          </w:p>
        </w:tc>
      </w:tr>
      <w:tr w:rsidR="00A234DF" w:rsidRPr="004B04DB" w:rsidTr="00A234DF">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004898" w:rsidRDefault="00004898" w:rsidP="00A234D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Mangistau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1,812.8</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1617.1</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-10.8%</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14,824.2</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17,351.9</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17.1%</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1246.6</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1,148.2</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-7.9%</w:t>
            </w:r>
          </w:p>
        </w:tc>
      </w:tr>
      <w:tr w:rsidR="00A234DF"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583.5</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644.7</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10.5%</w:t>
            </w:r>
          </w:p>
        </w:tc>
      </w:tr>
      <w:tr w:rsidR="00A234DF" w:rsidRPr="004B04DB" w:rsidTr="00A234DF">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sz w:val="24"/>
                <w:szCs w:val="24"/>
                <w:lang w:eastAsia="ru-RU"/>
              </w:rPr>
            </w:pPr>
            <w:r w:rsidRPr="004B04DB">
              <w:rPr>
                <w:rFonts w:ascii="Times New Roman" w:eastAsia="Times New Roman" w:hAnsi="Times New Roman" w:cs="Times New Roman"/>
                <w:b/>
                <w:sz w:val="24"/>
                <w:szCs w:val="24"/>
                <w:lang w:eastAsia="ru-RU"/>
              </w:rPr>
              <w:t>37,613.9</w:t>
            </w:r>
          </w:p>
        </w:tc>
        <w:tc>
          <w:tcPr>
            <w:tcW w:w="1985"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sz w:val="24"/>
                <w:szCs w:val="24"/>
                <w:lang w:eastAsia="ru-RU"/>
              </w:rPr>
            </w:pPr>
            <w:r w:rsidRPr="004B04DB">
              <w:rPr>
                <w:rFonts w:ascii="Times New Roman" w:eastAsia="Times New Roman" w:hAnsi="Times New Roman" w:cs="Times New Roman"/>
                <w:b/>
                <w:sz w:val="24"/>
                <w:szCs w:val="24"/>
                <w:lang w:eastAsia="ru-RU"/>
              </w:rPr>
              <w:t>40,036.3</w:t>
            </w:r>
          </w:p>
        </w:tc>
        <w:tc>
          <w:tcPr>
            <w:tcW w:w="1134" w:type="dxa"/>
            <w:tcBorders>
              <w:top w:val="nil"/>
              <w:left w:val="nil"/>
              <w:bottom w:val="single" w:sz="8" w:space="0" w:color="auto"/>
              <w:right w:val="single" w:sz="8"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sz w:val="24"/>
                <w:szCs w:val="24"/>
                <w:lang w:eastAsia="ru-RU"/>
              </w:rPr>
            </w:pPr>
            <w:r w:rsidRPr="004B04DB">
              <w:rPr>
                <w:rFonts w:ascii="Times New Roman" w:eastAsia="Times New Roman" w:hAnsi="Times New Roman" w:cs="Times New Roman"/>
                <w:b/>
                <w:sz w:val="24"/>
                <w:szCs w:val="24"/>
                <w:lang w:eastAsia="ru-RU"/>
              </w:rPr>
              <w:t>6.4%</w:t>
            </w:r>
          </w:p>
        </w:tc>
      </w:tr>
    </w:tbl>
    <w:p w:rsidR="00D309A9" w:rsidRPr="007F6813" w:rsidRDefault="00D309A9" w:rsidP="00BF417E">
      <w:pPr>
        <w:pStyle w:val="1"/>
        <w:tabs>
          <w:tab w:val="left" w:pos="0"/>
        </w:tabs>
        <w:spacing w:before="0" w:line="240" w:lineRule="auto"/>
        <w:jc w:val="center"/>
        <w:rPr>
          <w:rFonts w:ascii="Times New Roman" w:hAnsi="Times New Roman" w:cs="Times New Roman"/>
          <w:i/>
          <w:color w:val="auto"/>
          <w:sz w:val="28"/>
        </w:rPr>
      </w:pPr>
    </w:p>
    <w:p w:rsidR="00A234DF" w:rsidRPr="004B04DB" w:rsidRDefault="00A234DF" w:rsidP="00A234DF">
      <w:pPr>
        <w:spacing w:after="0" w:line="240" w:lineRule="auto"/>
        <w:ind w:firstLine="709"/>
        <w:contextualSpacing/>
        <w:jc w:val="both"/>
        <w:rPr>
          <w:rFonts w:ascii="Times New Roman" w:hAnsi="Times New Roman" w:cs="Times New Roman"/>
          <w:sz w:val="28"/>
        </w:rPr>
      </w:pPr>
      <w:bookmarkStart w:id="4" w:name="_Toc507606020"/>
      <w:r w:rsidRPr="004B04DB">
        <w:rPr>
          <w:rFonts w:ascii="Times New Roman" w:hAnsi="Times New Roman" w:cs="Times New Roman"/>
          <w:sz w:val="28"/>
        </w:rPr>
        <w:t xml:space="preserve">The volume of electricity production by energy producing organizations of </w:t>
      </w:r>
      <w:proofErr w:type="spellStart"/>
      <w:r w:rsidRPr="004B04DB">
        <w:rPr>
          <w:rFonts w:ascii="Times New Roman" w:hAnsi="Times New Roman" w:cs="Times New Roman"/>
          <w:sz w:val="28"/>
        </w:rPr>
        <w:t>Samruk</w:t>
      </w:r>
      <w:proofErr w:type="spellEnd"/>
      <w:r w:rsidRPr="004B04DB">
        <w:rPr>
          <w:rFonts w:ascii="Times New Roman" w:hAnsi="Times New Roman" w:cs="Times New Roman"/>
          <w:sz w:val="28"/>
        </w:rPr>
        <w:t xml:space="preserve">-Energy JSC for January-April 2021 </w:t>
      </w:r>
      <w:r w:rsidRPr="004B04DB">
        <w:rPr>
          <w:rFonts w:ascii="Times New Roman" w:hAnsi="Times New Roman" w:cs="Times New Roman"/>
          <w:sz w:val="28"/>
          <w:szCs w:val="28"/>
        </w:rPr>
        <w:t xml:space="preserve">amounted to </w:t>
      </w:r>
      <w:r w:rsidRPr="004B04DB">
        <w:rPr>
          <w:rFonts w:ascii="Times New Roman" w:hAnsi="Times New Roman" w:cs="Times New Roman"/>
          <w:bCs/>
          <w:sz w:val="28"/>
          <w:szCs w:val="28"/>
          <w:lang w:val="kk-KZ"/>
        </w:rPr>
        <w:t>12,667.7</w:t>
      </w:r>
      <w:r w:rsidRPr="004B04DB">
        <w:rPr>
          <w:rFonts w:ascii="Times New Roman" w:hAnsi="Times New Roman" w:cs="Times New Roman"/>
          <w:b/>
          <w:bCs/>
          <w:sz w:val="28"/>
          <w:szCs w:val="28"/>
        </w:rPr>
        <w:t xml:space="preserve"> </w:t>
      </w:r>
      <w:r w:rsidRPr="004B04DB">
        <w:rPr>
          <w:rFonts w:ascii="Times New Roman" w:hAnsi="Times New Roman" w:cs="Times New Roman"/>
          <w:sz w:val="28"/>
        </w:rPr>
        <w:t>million kWh or an increase of 20.9% compared to the same period in 2020.</w:t>
      </w:r>
    </w:p>
    <w:p w:rsidR="00A234DF" w:rsidRPr="004B04DB" w:rsidRDefault="00A234DF" w:rsidP="00A234DF">
      <w:pPr>
        <w:pStyle w:val="a3"/>
        <w:spacing w:after="0" w:line="240" w:lineRule="auto"/>
        <w:jc w:val="right"/>
        <w:rPr>
          <w:rFonts w:ascii="Times New Roman" w:hAnsi="Times New Roman" w:cs="Times New Roman"/>
          <w:i/>
          <w:sz w:val="24"/>
        </w:rPr>
      </w:pPr>
      <w:r w:rsidRPr="004B04DB">
        <w:rPr>
          <w:rFonts w:ascii="Times New Roman" w:hAnsi="Times New Roman" w:cs="Times New Roman"/>
          <w:i/>
          <w:sz w:val="24"/>
        </w:rPr>
        <w:t>million kWh</w:t>
      </w:r>
    </w:p>
    <w:tbl>
      <w:tblPr>
        <w:tblW w:w="10080" w:type="dxa"/>
        <w:jc w:val="center"/>
        <w:tblLook w:val="04A0" w:firstRow="1" w:lastRow="0" w:firstColumn="1" w:lastColumn="0" w:noHBand="0" w:noVBand="1"/>
      </w:tblPr>
      <w:tblGrid>
        <w:gridCol w:w="570"/>
        <w:gridCol w:w="2058"/>
        <w:gridCol w:w="1176"/>
        <w:gridCol w:w="1503"/>
        <w:gridCol w:w="1176"/>
        <w:gridCol w:w="1503"/>
        <w:gridCol w:w="1134"/>
        <w:gridCol w:w="960"/>
      </w:tblGrid>
      <w:tr w:rsidR="00A234DF" w:rsidRPr="004B04DB" w:rsidTr="00A234DF">
        <w:trPr>
          <w:trHeight w:val="31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sz w:val="24"/>
                <w:szCs w:val="24"/>
                <w:lang w:eastAsia="ru-RU"/>
              </w:rPr>
            </w:pPr>
            <w:r w:rsidRPr="004B04DB">
              <w:rPr>
                <w:rFonts w:ascii="Times New Roman" w:eastAsia="Times New Roman" w:hAnsi="Times New Roman" w:cs="Times New Roman"/>
                <w:b/>
                <w:bCs/>
                <w:color w:val="000000"/>
                <w:sz w:val="24"/>
                <w:szCs w:val="24"/>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2021/2020</w:t>
            </w:r>
          </w:p>
        </w:tc>
      </w:tr>
      <w:tr w:rsidR="00A234DF" w:rsidRPr="004B04DB" w:rsidTr="00A234DF">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January-April</w:t>
            </w:r>
          </w:p>
        </w:tc>
        <w:tc>
          <w:tcPr>
            <w:tcW w:w="1105"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January-April</w:t>
            </w:r>
          </w:p>
        </w:tc>
        <w:tc>
          <w:tcPr>
            <w:tcW w:w="1105"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million kWh</w:t>
            </w:r>
          </w:p>
        </w:tc>
        <w:tc>
          <w:tcPr>
            <w:tcW w:w="968"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w:t>
            </w:r>
          </w:p>
        </w:tc>
      </w:tr>
      <w:tr w:rsidR="00A234DF" w:rsidRPr="004B04DB" w:rsidTr="00A234DF">
        <w:trPr>
          <w:trHeight w:val="315"/>
          <w:jc w:val="center"/>
        </w:trPr>
        <w:tc>
          <w:tcPr>
            <w:tcW w:w="440" w:type="dxa"/>
            <w:tcBorders>
              <w:top w:val="nil"/>
              <w:left w:val="single" w:sz="4" w:space="0" w:color="auto"/>
              <w:bottom w:val="single" w:sz="4" w:space="0" w:color="auto"/>
              <w:right w:val="single" w:sz="4" w:space="0" w:color="auto"/>
            </w:tcBorders>
            <w:shd w:val="clear" w:color="000000" w:fill="C5D9F1"/>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xml:space="preserve">JSC " </w:t>
            </w:r>
            <w:proofErr w:type="spellStart"/>
            <w:r w:rsidRPr="004B04DB">
              <w:rPr>
                <w:rFonts w:ascii="Times New Roman" w:eastAsia="Times New Roman" w:hAnsi="Times New Roman" w:cs="Times New Roman"/>
                <w:b/>
                <w:bCs/>
                <w:sz w:val="24"/>
                <w:szCs w:val="24"/>
                <w:lang w:eastAsia="ru-RU"/>
              </w:rPr>
              <w:t>Samruk</w:t>
            </w:r>
            <w:proofErr w:type="spellEnd"/>
            <w:r w:rsidRPr="004B04DB">
              <w:rPr>
                <w:rFonts w:ascii="Times New Roman" w:eastAsia="Times New Roman" w:hAnsi="Times New Roman" w:cs="Times New Roman"/>
                <w:b/>
                <w:bCs/>
                <w:sz w:val="24"/>
                <w:szCs w:val="24"/>
                <w:lang w:eastAsia="ru-RU"/>
              </w:rPr>
              <w:t>-Energy "</w:t>
            </w:r>
          </w:p>
        </w:tc>
        <w:tc>
          <w:tcPr>
            <w:tcW w:w="1176"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10478.7</w:t>
            </w:r>
          </w:p>
        </w:tc>
        <w:tc>
          <w:tcPr>
            <w:tcW w:w="1105"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27.9%</w:t>
            </w:r>
          </w:p>
        </w:tc>
        <w:tc>
          <w:tcPr>
            <w:tcW w:w="1176"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12667.7</w:t>
            </w:r>
          </w:p>
        </w:tc>
        <w:tc>
          <w:tcPr>
            <w:tcW w:w="1105"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31.6%</w:t>
            </w:r>
          </w:p>
        </w:tc>
        <w:tc>
          <w:tcPr>
            <w:tcW w:w="1134"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2,189.0</w:t>
            </w:r>
          </w:p>
        </w:tc>
        <w:tc>
          <w:tcPr>
            <w:tcW w:w="968"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20.9%</w:t>
            </w:r>
          </w:p>
        </w:tc>
      </w:tr>
      <w:tr w:rsidR="00A234DF" w:rsidRPr="004B04DB" w:rsidTr="00A234DF">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 xml:space="preserve">JSC </w:t>
            </w:r>
            <w:proofErr w:type="spellStart"/>
            <w:r w:rsidRPr="004B04DB">
              <w:rPr>
                <w:rFonts w:ascii="Times New Roman" w:eastAsia="Times New Roman" w:hAnsi="Times New Roman" w:cs="Times New Roman"/>
                <w:i/>
                <w:iCs/>
                <w:color w:val="000000"/>
                <w:sz w:val="24"/>
                <w:szCs w:val="24"/>
                <w:lang w:eastAsia="ru-RU"/>
              </w:rPr>
              <w:t>AlES</w:t>
            </w:r>
            <w:proofErr w:type="spellEnd"/>
            <w:r w:rsidRPr="004B04DB">
              <w:rPr>
                <w:rFonts w:ascii="Times New Roman" w:eastAsia="Times New Roman" w:hAnsi="Times New Roman" w:cs="Times New Roman"/>
                <w:i/>
                <w:iCs/>
                <w:color w:val="000000"/>
                <w:sz w:val="24"/>
                <w:szCs w:val="24"/>
                <w:lang w:eastAsia="ru-RU"/>
              </w:rPr>
              <w:t xml:space="preserve"> _</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2065.8</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5.5%</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1961.1</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4.9%</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-104.7</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-5.1%</w:t>
            </w:r>
          </w:p>
        </w:tc>
      </w:tr>
      <w:tr w:rsidR="00A234DF" w:rsidRPr="004B04DB" w:rsidTr="00A234DF">
        <w:trPr>
          <w:trHeight w:val="315"/>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 xml:space="preserve">LLP " </w:t>
            </w:r>
            <w:proofErr w:type="spellStart"/>
            <w:r w:rsidRPr="004B04DB">
              <w:rPr>
                <w:rFonts w:ascii="Times New Roman" w:eastAsia="Times New Roman" w:hAnsi="Times New Roman" w:cs="Times New Roman"/>
                <w:i/>
                <w:iCs/>
                <w:color w:val="000000"/>
                <w:sz w:val="24"/>
                <w:szCs w:val="24"/>
                <w:lang w:eastAsia="ru-RU"/>
              </w:rPr>
              <w:t>Ekibastuz</w:t>
            </w:r>
            <w:proofErr w:type="spellEnd"/>
            <w:r w:rsidRPr="004B04DB">
              <w:rPr>
                <w:rFonts w:ascii="Times New Roman" w:eastAsia="Times New Roman" w:hAnsi="Times New Roman" w:cs="Times New Roman"/>
                <w:i/>
                <w:iCs/>
                <w:color w:val="000000"/>
                <w:sz w:val="24"/>
                <w:szCs w:val="24"/>
                <w:lang w:eastAsia="ru-RU"/>
              </w:rPr>
              <w:t xml:space="preserve"> GRES-1"</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6494.8</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17.3%</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7688.4</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19.2%</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1,193.6</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18.4%</w:t>
            </w:r>
          </w:p>
        </w:tc>
      </w:tr>
      <w:tr w:rsidR="00A234DF" w:rsidRPr="004B04DB" w:rsidTr="00A234DF">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 xml:space="preserve">JSC " </w:t>
            </w:r>
            <w:proofErr w:type="spellStart"/>
            <w:r w:rsidRPr="004B04DB">
              <w:rPr>
                <w:rFonts w:ascii="Times New Roman" w:eastAsia="Times New Roman" w:hAnsi="Times New Roman" w:cs="Times New Roman"/>
                <w:i/>
                <w:iCs/>
                <w:color w:val="000000"/>
                <w:sz w:val="24"/>
                <w:szCs w:val="24"/>
                <w:lang w:eastAsia="ru-RU"/>
              </w:rPr>
              <w:t>Ekibastuz</w:t>
            </w:r>
            <w:proofErr w:type="spellEnd"/>
            <w:r w:rsidRPr="004B04DB">
              <w:rPr>
                <w:rFonts w:ascii="Times New Roman" w:eastAsia="Times New Roman" w:hAnsi="Times New Roman" w:cs="Times New Roman"/>
                <w:i/>
                <w:iCs/>
                <w:color w:val="000000"/>
                <w:sz w:val="24"/>
                <w:szCs w:val="24"/>
                <w:lang w:eastAsia="ru-RU"/>
              </w:rPr>
              <w:t xml:space="preserve"> GRES-2"</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1401.3</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3.7%</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2529.9</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6.3%</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1,128.6</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80.5%</w:t>
            </w:r>
          </w:p>
        </w:tc>
      </w:tr>
      <w:tr w:rsidR="00A234DF" w:rsidRPr="004B04DB" w:rsidTr="00A234DF">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 xml:space="preserve">JSC " </w:t>
            </w:r>
            <w:proofErr w:type="spellStart"/>
            <w:r w:rsidRPr="004B04DB">
              <w:rPr>
                <w:rFonts w:ascii="Times New Roman" w:eastAsia="Times New Roman" w:hAnsi="Times New Roman" w:cs="Times New Roman"/>
                <w:i/>
                <w:iCs/>
                <w:color w:val="000000"/>
                <w:sz w:val="24"/>
                <w:szCs w:val="24"/>
                <w:lang w:eastAsia="ru-RU"/>
              </w:rPr>
              <w:t>Shardara</w:t>
            </w:r>
            <w:proofErr w:type="spellEnd"/>
            <w:r w:rsidRPr="004B04DB">
              <w:rPr>
                <w:rFonts w:ascii="Times New Roman" w:eastAsia="Times New Roman" w:hAnsi="Times New Roman" w:cs="Times New Roman"/>
                <w:i/>
                <w:iCs/>
                <w:color w:val="000000"/>
                <w:sz w:val="24"/>
                <w:szCs w:val="24"/>
                <w:lang w:eastAsia="ru-RU"/>
              </w:rPr>
              <w:t xml:space="preserve"> HPP"</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212.7</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0.6%</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Cs/>
                <w:i/>
                <w:sz w:val="24"/>
                <w:szCs w:val="24"/>
              </w:rPr>
            </w:pPr>
            <w:r w:rsidRPr="004B04DB">
              <w:rPr>
                <w:rFonts w:ascii="Times New Roman" w:hAnsi="Times New Roman" w:cs="Times New Roman"/>
                <w:bCs/>
                <w:i/>
                <w:sz w:val="24"/>
                <w:szCs w:val="24"/>
              </w:rPr>
              <w:t>222.7</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0.6%</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10.0</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4.7%</w:t>
            </w:r>
          </w:p>
        </w:tc>
      </w:tr>
      <w:tr w:rsidR="00A234DF" w:rsidRPr="004B04DB" w:rsidTr="00A234DF">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 xml:space="preserve">JSC </w:t>
            </w:r>
            <w:proofErr w:type="spellStart"/>
            <w:r w:rsidRPr="004B04DB">
              <w:rPr>
                <w:rFonts w:ascii="Times New Roman" w:eastAsia="Times New Roman" w:hAnsi="Times New Roman" w:cs="Times New Roman"/>
                <w:i/>
                <w:iCs/>
                <w:color w:val="000000"/>
                <w:sz w:val="24"/>
                <w:szCs w:val="24"/>
                <w:lang w:eastAsia="ru-RU"/>
              </w:rPr>
              <w:t>Moynakskaya</w:t>
            </w:r>
            <w:proofErr w:type="spellEnd"/>
            <w:r w:rsidRPr="004B04DB">
              <w:rPr>
                <w:rFonts w:ascii="Times New Roman" w:eastAsia="Times New Roman" w:hAnsi="Times New Roman" w:cs="Times New Roman"/>
                <w:i/>
                <w:iCs/>
                <w:color w:val="000000"/>
                <w:sz w:val="24"/>
                <w:szCs w:val="24"/>
                <w:lang w:eastAsia="ru-RU"/>
              </w:rPr>
              <w:t xml:space="preserve"> HPP</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252.1</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0.7%</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Cs/>
                <w:i/>
                <w:sz w:val="24"/>
                <w:szCs w:val="24"/>
              </w:rPr>
            </w:pPr>
            <w:r w:rsidRPr="004B04DB">
              <w:rPr>
                <w:rFonts w:ascii="Times New Roman" w:hAnsi="Times New Roman" w:cs="Times New Roman"/>
                <w:bCs/>
                <w:i/>
                <w:sz w:val="24"/>
                <w:szCs w:val="24"/>
              </w:rPr>
              <w:t>203.9</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-48.2</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-19.1%</w:t>
            </w:r>
          </w:p>
        </w:tc>
      </w:tr>
      <w:tr w:rsidR="00A234DF" w:rsidRPr="004B04DB" w:rsidTr="00A234DF">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proofErr w:type="spellStart"/>
            <w:r w:rsidRPr="004B04DB">
              <w:rPr>
                <w:rFonts w:ascii="Times New Roman" w:eastAsia="Times New Roman" w:hAnsi="Times New Roman" w:cs="Times New Roman"/>
                <w:i/>
                <w:iCs/>
                <w:color w:val="000000"/>
                <w:sz w:val="24"/>
                <w:szCs w:val="24"/>
                <w:lang w:eastAsia="ru-RU"/>
              </w:rPr>
              <w:t>Samruk</w:t>
            </w:r>
            <w:proofErr w:type="spellEnd"/>
            <w:r w:rsidRPr="004B04DB">
              <w:rPr>
                <w:rFonts w:ascii="Times New Roman" w:eastAsia="Times New Roman" w:hAnsi="Times New Roman" w:cs="Times New Roman"/>
                <w:i/>
                <w:iCs/>
                <w:color w:val="000000"/>
                <w:sz w:val="24"/>
                <w:szCs w:val="24"/>
                <w:lang w:eastAsia="ru-RU"/>
              </w:rPr>
              <w:t>-Green LLP Energy »</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0.003%</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6.8</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0.017%</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5.70</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518.2%</w:t>
            </w:r>
          </w:p>
        </w:tc>
      </w:tr>
      <w:tr w:rsidR="00A234DF" w:rsidRPr="004B04DB" w:rsidTr="00A234DF">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50.9</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rPr>
                <w:rFonts w:ascii="Times New Roman" w:hAnsi="Times New Roman" w:cs="Times New Roman"/>
                <w:i/>
                <w:sz w:val="24"/>
                <w:szCs w:val="24"/>
              </w:rPr>
            </w:pPr>
            <w:r w:rsidRPr="004B04DB">
              <w:rPr>
                <w:rFonts w:ascii="Times New Roman" w:hAnsi="Times New Roman" w:cs="Times New Roman"/>
                <w:i/>
                <w:sz w:val="24"/>
                <w:szCs w:val="24"/>
              </w:rPr>
              <w:t>54.9</w:t>
            </w:r>
          </w:p>
        </w:tc>
        <w:tc>
          <w:tcPr>
            <w:tcW w:w="1105"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4.0</w:t>
            </w:r>
          </w:p>
        </w:tc>
        <w:tc>
          <w:tcPr>
            <w:tcW w:w="968"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7.9%</w:t>
            </w:r>
          </w:p>
        </w:tc>
      </w:tr>
    </w:tbl>
    <w:p w:rsidR="002850D5" w:rsidRDefault="002850D5" w:rsidP="00BF417E">
      <w:pPr>
        <w:pStyle w:val="1"/>
        <w:tabs>
          <w:tab w:val="left" w:pos="426"/>
        </w:tabs>
        <w:spacing w:before="0" w:line="240" w:lineRule="auto"/>
        <w:ind w:left="568"/>
        <w:jc w:val="center"/>
        <w:rPr>
          <w:rFonts w:ascii="Times New Roman" w:hAnsi="Times New Roman" w:cs="Times New Roman"/>
          <w:b/>
          <w:color w:val="auto"/>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bookmarkStart w:id="5" w:name="_Toc70507483"/>
      <w:r w:rsidRPr="00FA3E8D">
        <w:rPr>
          <w:rFonts w:ascii="Times New Roman" w:hAnsi="Times New Roman" w:cs="Times New Roman"/>
          <w:b/>
          <w:color w:val="auto"/>
          <w:sz w:val="28"/>
          <w:szCs w:val="28"/>
        </w:rPr>
        <w:t>Electricity consumption in the UES of Kazakhstan</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0507484"/>
      <w:r w:rsidRPr="00415113">
        <w:rPr>
          <w:rFonts w:ascii="Times New Roman" w:hAnsi="Times New Roman" w:cs="Times New Roman"/>
          <w:i/>
          <w:color w:val="auto"/>
          <w:sz w:val="28"/>
        </w:rPr>
        <w:t>Consumption of electrical energy by zones and regions</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446F3D" w:rsidRPr="00AB67B8" w:rsidRDefault="00446F3D" w:rsidP="00446F3D">
      <w:pPr>
        <w:spacing w:after="0" w:line="240" w:lineRule="auto"/>
        <w:ind w:firstLine="709"/>
        <w:jc w:val="both"/>
        <w:rPr>
          <w:rFonts w:ascii="Times New Roman" w:hAnsi="Times New Roman" w:cs="Times New Roman"/>
          <w:sz w:val="28"/>
        </w:rPr>
      </w:pPr>
      <w:r w:rsidRPr="00AB67B8">
        <w:rPr>
          <w:rFonts w:ascii="Times New Roman" w:hAnsi="Times New Roman" w:cs="Times New Roman"/>
          <w:sz w:val="28"/>
        </w:rPr>
        <w:lastRenderedPageBreak/>
        <w:t>According to the System Operator, in January-April 2021, there was an increase in the dynamics of electricity consumption in the republic compared to January-April 2020 by 5%. Thus, in the northern zone of the republic, consumption increased by 5%, in the southern zone by 8%, and in the western zone it decreased by 6%.</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446F3D" w:rsidRPr="00BC7CB8" w:rsidTr="00F21D47">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F3D" w:rsidRPr="00623E43" w:rsidRDefault="00446F3D" w:rsidP="00F21D47">
            <w:pPr>
              <w:spacing w:after="0" w:line="240" w:lineRule="auto"/>
              <w:jc w:val="center"/>
              <w:rPr>
                <w:rFonts w:ascii="Times New Roman" w:eastAsia="Times New Roman" w:hAnsi="Times New Roman" w:cs="Times New Roman"/>
                <w:b/>
                <w:bCs/>
                <w:color w:val="000000"/>
                <w:sz w:val="24"/>
                <w:szCs w:val="24"/>
                <w:lang w:eastAsia="ru-RU"/>
              </w:rPr>
            </w:pPr>
            <w:r w:rsidRPr="00623E43">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446F3D" w:rsidRPr="00623E43" w:rsidRDefault="00446F3D" w:rsidP="00F21D47">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04898" w:rsidRDefault="00446F3D" w:rsidP="00004898">
            <w:pPr>
              <w:spacing w:after="0" w:line="240" w:lineRule="auto"/>
              <w:jc w:val="center"/>
              <w:rPr>
                <w:rFonts w:ascii="Times New Roman" w:eastAsia="Times New Roman" w:hAnsi="Times New Roman" w:cs="Times New Roman"/>
                <w:b/>
                <w:bCs/>
                <w:sz w:val="24"/>
                <w:szCs w:val="24"/>
                <w:lang w:val="en-US" w:eastAsia="ru-RU"/>
              </w:rPr>
            </w:pPr>
            <w:r w:rsidRPr="00173DC4">
              <w:rPr>
                <w:rFonts w:ascii="Times New Roman" w:eastAsia="Times New Roman" w:hAnsi="Times New Roman" w:cs="Times New Roman"/>
                <w:b/>
                <w:bCs/>
                <w:sz w:val="24"/>
                <w:szCs w:val="24"/>
                <w:lang w:val="en-US" w:eastAsia="ru-RU"/>
              </w:rPr>
              <w:t>Jan</w:t>
            </w:r>
            <w:proofErr w:type="gramStart"/>
            <w:r w:rsidRPr="00173DC4">
              <w:rPr>
                <w:rFonts w:ascii="Times New Roman" w:eastAsia="Times New Roman" w:hAnsi="Times New Roman" w:cs="Times New Roman"/>
                <w:b/>
                <w:bCs/>
                <w:sz w:val="24"/>
                <w:szCs w:val="24"/>
                <w:lang w:val="en-US" w:eastAsia="ru-RU"/>
              </w:rPr>
              <w:t>.-</w:t>
            </w:r>
            <w:proofErr w:type="gramEnd"/>
            <w:r w:rsidRPr="00173DC4">
              <w:rPr>
                <w:rFonts w:ascii="Times New Roman" w:eastAsia="Times New Roman" w:hAnsi="Times New Roman" w:cs="Times New Roman"/>
                <w:b/>
                <w:bCs/>
                <w:sz w:val="24"/>
                <w:szCs w:val="24"/>
                <w:lang w:val="en-US" w:eastAsia="ru-RU"/>
              </w:rPr>
              <w:t xml:space="preserve"> </w:t>
            </w:r>
            <w:r w:rsidR="00004898">
              <w:rPr>
                <w:rFonts w:ascii="Times New Roman" w:eastAsia="Times New Roman" w:hAnsi="Times New Roman" w:cs="Times New Roman"/>
                <w:b/>
                <w:bCs/>
                <w:sz w:val="24"/>
                <w:szCs w:val="24"/>
                <w:lang w:val="en-US" w:eastAsia="ru-RU"/>
              </w:rPr>
              <w:t>Apr</w:t>
            </w:r>
            <w:r w:rsidRPr="00173DC4">
              <w:rPr>
                <w:rFonts w:ascii="Times New Roman" w:eastAsia="Times New Roman" w:hAnsi="Times New Roman" w:cs="Times New Roman"/>
                <w:b/>
                <w:bCs/>
                <w:sz w:val="24"/>
                <w:szCs w:val="24"/>
                <w:lang w:val="en-US" w:eastAsia="ru-RU"/>
              </w:rPr>
              <w:t xml:space="preserve">. </w:t>
            </w:r>
          </w:p>
          <w:p w:rsidR="00446F3D" w:rsidRPr="00623E43" w:rsidRDefault="00004898" w:rsidP="000048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20</w:t>
            </w:r>
            <w:r w:rsidR="00446F3D">
              <w:rPr>
                <w:rFonts w:ascii="Times New Roman" w:eastAsia="Times New Roman" w:hAnsi="Times New Roman" w:cs="Times New Roman"/>
                <w:b/>
                <w:bCs/>
                <w:sz w:val="24"/>
                <w:szCs w:val="24"/>
                <w:lang w:eastAsia="ru-RU"/>
              </w:rPr>
              <w:t xml:space="preserve">20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04898" w:rsidRDefault="00004898" w:rsidP="00004898">
            <w:pPr>
              <w:spacing w:after="0" w:line="240" w:lineRule="auto"/>
              <w:jc w:val="center"/>
              <w:rPr>
                <w:rFonts w:ascii="Times New Roman" w:eastAsia="Times New Roman" w:hAnsi="Times New Roman" w:cs="Times New Roman"/>
                <w:b/>
                <w:bCs/>
                <w:sz w:val="24"/>
                <w:szCs w:val="24"/>
                <w:lang w:val="en-US" w:eastAsia="ru-RU"/>
              </w:rPr>
            </w:pPr>
            <w:r w:rsidRPr="00173DC4">
              <w:rPr>
                <w:rFonts w:ascii="Times New Roman" w:eastAsia="Times New Roman" w:hAnsi="Times New Roman" w:cs="Times New Roman"/>
                <w:b/>
                <w:bCs/>
                <w:sz w:val="24"/>
                <w:szCs w:val="24"/>
                <w:lang w:val="en-US" w:eastAsia="ru-RU"/>
              </w:rPr>
              <w:t>Jan</w:t>
            </w:r>
            <w:proofErr w:type="gramStart"/>
            <w:r w:rsidRPr="00173DC4">
              <w:rPr>
                <w:rFonts w:ascii="Times New Roman" w:eastAsia="Times New Roman" w:hAnsi="Times New Roman" w:cs="Times New Roman"/>
                <w:b/>
                <w:bCs/>
                <w:sz w:val="24"/>
                <w:szCs w:val="24"/>
                <w:lang w:val="en-US" w:eastAsia="ru-RU"/>
              </w:rPr>
              <w:t>.-</w:t>
            </w:r>
            <w:proofErr w:type="gramEnd"/>
            <w:r w:rsidRPr="00173DC4">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Apr</w:t>
            </w:r>
            <w:r w:rsidRPr="00173DC4">
              <w:rPr>
                <w:rFonts w:ascii="Times New Roman" w:eastAsia="Times New Roman" w:hAnsi="Times New Roman" w:cs="Times New Roman"/>
                <w:b/>
                <w:bCs/>
                <w:sz w:val="24"/>
                <w:szCs w:val="24"/>
                <w:lang w:val="en-US" w:eastAsia="ru-RU"/>
              </w:rPr>
              <w:t xml:space="preserve">. </w:t>
            </w:r>
          </w:p>
          <w:p w:rsidR="00446F3D" w:rsidRPr="00623E43" w:rsidRDefault="00004898" w:rsidP="00004898">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w:t>
            </w:r>
            <w:r>
              <w:rPr>
                <w:rFonts w:ascii="Times New Roman" w:eastAsia="Times New Roman" w:hAnsi="Times New Roman" w:cs="Times New Roman"/>
                <w:b/>
                <w:bCs/>
                <w:sz w:val="24"/>
                <w:szCs w:val="24"/>
                <w:lang w:eastAsia="ru-RU"/>
              </w:rPr>
              <w:t>21</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446F3D" w:rsidRPr="00623E43" w:rsidRDefault="00446F3D" w:rsidP="00F21D47">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Δ,</w:t>
            </w:r>
            <w:r w:rsidRPr="00623E43">
              <w:rPr>
                <w:rFonts w:ascii="Times New Roman" w:eastAsia="Times New Roman" w:hAnsi="Times New Roman" w:cs="Times New Roman"/>
                <w:b/>
                <w:bCs/>
                <w:sz w:val="24"/>
                <w:szCs w:val="24"/>
                <w:lang w:eastAsia="ru-RU"/>
              </w:rPr>
              <w:t xml:space="preserve"> </w:t>
            </w:r>
            <w:r w:rsidRPr="00623E43">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46F3D" w:rsidRPr="00623E43" w:rsidRDefault="00446F3D" w:rsidP="00F21D47">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 xml:space="preserve">Δ, </w:t>
            </w:r>
            <w:r w:rsidRPr="00623E43">
              <w:rPr>
                <w:rFonts w:ascii="Times New Roman" w:eastAsia="Times New Roman" w:hAnsi="Times New Roman" w:cs="Times New Roman"/>
                <w:b/>
                <w:bCs/>
                <w:sz w:val="24"/>
                <w:szCs w:val="24"/>
                <w:lang w:eastAsia="ru-RU"/>
              </w:rPr>
              <w:t>%</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446F3D" w:rsidRPr="00BC7CB8" w:rsidRDefault="00446F3D" w:rsidP="00F21D47">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446F3D" w:rsidRPr="00BC7CB8" w:rsidRDefault="00446F3D" w:rsidP="00F21D47">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446F3D" w:rsidRPr="006B53EE" w:rsidRDefault="00446F3D" w:rsidP="00F21D47">
            <w:pPr>
              <w:spacing w:after="0" w:line="240" w:lineRule="auto"/>
              <w:jc w:val="center"/>
              <w:rPr>
                <w:rFonts w:ascii="Times New Roman" w:eastAsia="Times New Roman" w:hAnsi="Times New Roman" w:cs="Times New Roman"/>
                <w:b/>
                <w:bCs/>
                <w:sz w:val="24"/>
                <w:szCs w:val="24"/>
                <w:lang w:eastAsia="ru-RU"/>
              </w:rPr>
            </w:pPr>
            <w:r w:rsidRPr="008D4CC9">
              <w:rPr>
                <w:rFonts w:ascii="Times New Roman" w:eastAsia="Times New Roman" w:hAnsi="Times New Roman" w:cs="Times New Roman"/>
                <w:b/>
                <w:sz w:val="24"/>
                <w:szCs w:val="24"/>
                <w:lang w:eastAsia="ru-RU"/>
              </w:rPr>
              <w:t>37,216.9</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446F3D" w:rsidRPr="008D4CC9" w:rsidRDefault="00446F3D" w:rsidP="00F21D47">
            <w:pPr>
              <w:spacing w:after="0" w:line="240" w:lineRule="auto"/>
              <w:jc w:val="center"/>
              <w:rPr>
                <w:rFonts w:ascii="Times New Roman" w:eastAsia="Times New Roman" w:hAnsi="Times New Roman" w:cs="Times New Roman"/>
                <w:b/>
                <w:sz w:val="24"/>
                <w:szCs w:val="24"/>
                <w:lang w:eastAsia="ru-RU"/>
              </w:rPr>
            </w:pPr>
            <w:r w:rsidRPr="0097089B">
              <w:rPr>
                <w:rFonts w:ascii="Times New Roman" w:eastAsia="Times New Roman" w:hAnsi="Times New Roman" w:cs="Times New Roman"/>
                <w:b/>
                <w:sz w:val="24"/>
                <w:szCs w:val="24"/>
                <w:lang w:eastAsia="ru-RU"/>
              </w:rPr>
              <w:t>39,093.9</w:t>
            </w:r>
          </w:p>
        </w:tc>
        <w:tc>
          <w:tcPr>
            <w:tcW w:w="1598" w:type="dxa"/>
            <w:tcBorders>
              <w:top w:val="nil"/>
              <w:left w:val="nil"/>
              <w:bottom w:val="single" w:sz="4" w:space="0" w:color="auto"/>
              <w:right w:val="single" w:sz="4" w:space="0" w:color="auto"/>
            </w:tcBorders>
            <w:shd w:val="clear" w:color="auto" w:fill="17365D" w:themeFill="text2" w:themeFillShade="BF"/>
            <w:vAlign w:val="center"/>
          </w:tcPr>
          <w:p w:rsidR="00446F3D" w:rsidRPr="008D4CC9" w:rsidRDefault="00446F3D" w:rsidP="00F21D47">
            <w:pPr>
              <w:spacing w:after="0" w:line="240" w:lineRule="auto"/>
              <w:jc w:val="center"/>
              <w:rPr>
                <w:rFonts w:ascii="Times New Roman" w:eastAsia="Times New Roman" w:hAnsi="Times New Roman" w:cs="Times New Roman"/>
                <w:b/>
                <w:sz w:val="24"/>
                <w:szCs w:val="24"/>
                <w:lang w:eastAsia="ru-RU"/>
              </w:rPr>
            </w:pPr>
            <w:r w:rsidRPr="0097089B">
              <w:rPr>
                <w:rFonts w:ascii="Times New Roman" w:eastAsia="Times New Roman" w:hAnsi="Times New Roman" w:cs="Times New Roman"/>
                <w:b/>
                <w:sz w:val="24"/>
                <w:szCs w:val="24"/>
                <w:lang w:eastAsia="ru-RU"/>
              </w:rPr>
              <w:t>1 877</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446F3D" w:rsidRPr="008D4CC9" w:rsidRDefault="00446F3D" w:rsidP="00F21D47">
            <w:pPr>
              <w:spacing w:after="0" w:line="240" w:lineRule="auto"/>
              <w:jc w:val="center"/>
              <w:rPr>
                <w:rFonts w:ascii="Times New Roman" w:eastAsia="Times New Roman" w:hAnsi="Times New Roman" w:cs="Times New Roman"/>
                <w:b/>
                <w:sz w:val="24"/>
                <w:szCs w:val="24"/>
                <w:lang w:eastAsia="ru-RU"/>
              </w:rPr>
            </w:pPr>
            <w:r w:rsidRPr="0097089B">
              <w:rPr>
                <w:rFonts w:ascii="Times New Roman" w:eastAsia="Times New Roman" w:hAnsi="Times New Roman" w:cs="Times New Roman"/>
                <w:b/>
                <w:sz w:val="24"/>
                <w:szCs w:val="24"/>
                <w:lang w:eastAsia="ru-RU"/>
              </w:rPr>
              <w:t>5%</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24,535.6</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25,871.7</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1336.1</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4,825.3</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4,767.4</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-57.9</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7 856</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8454.9</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598.9</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446F3D" w:rsidRPr="00BC7CB8" w:rsidRDefault="00446F3D" w:rsidP="00F21D47">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446F3D" w:rsidRPr="00BC7CB8" w:rsidRDefault="00446F3D" w:rsidP="00F21D47">
            <w:pPr>
              <w:spacing w:after="0" w:line="240" w:lineRule="auto"/>
              <w:rPr>
                <w:rFonts w:ascii="Times New Roman" w:eastAsia="Times New Roman" w:hAnsi="Times New Roman" w:cs="Times New Roman"/>
                <w:b/>
                <w:bCs/>
                <w:i/>
                <w:sz w:val="24"/>
                <w:szCs w:val="24"/>
                <w:lang w:eastAsia="ru-RU"/>
              </w:rPr>
            </w:pPr>
            <w:r w:rsidRPr="00BC7CB8">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3326.7</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3329.5</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2.8</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0.1%</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6435.1</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6,690.9</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255.8</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Akmola</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3331.4</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3,755.3</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423.9</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13%</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595.3</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645.2</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49.9</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Kostanay</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sz w:val="24"/>
                <w:szCs w:val="24"/>
                <w:lang w:eastAsia="ru-RU"/>
              </w:rPr>
              <w:t>1639.1</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1694.7</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55.6</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6992.5</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7429.6</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437.1</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Atyrau</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2251.7</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2173.3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-78.4</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Mangistau</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1,779.5</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1,742.3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-37.2</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2215.5</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2326.6</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111.1</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sz w:val="24"/>
                <w:szCs w:val="24"/>
                <w:lang w:eastAsia="ru-RU"/>
              </w:rPr>
              <w:t>794</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851.8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57.8</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004898" w:rsidP="00F21D4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sz w:val="24"/>
                <w:szCs w:val="24"/>
                <w:lang w:eastAsia="ru-RU"/>
              </w:rPr>
              <w:t>3 960</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4292.8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332.8</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1,713.2</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1,840.3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127.1</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Zhambyl</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1558.3</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1630.0</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71.7</w:t>
            </w:r>
          </w:p>
        </w:tc>
        <w:tc>
          <w:tcPr>
            <w:tcW w:w="1560" w:type="dxa"/>
            <w:tcBorders>
              <w:top w:val="nil"/>
              <w:left w:val="nil"/>
              <w:bottom w:val="single" w:sz="4" w:space="0" w:color="auto"/>
              <w:right w:val="single" w:sz="4" w:space="0" w:color="auto"/>
            </w:tcBorders>
            <w:shd w:val="clear" w:color="auto" w:fill="FFFFFF" w:themeFill="background1"/>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w:t>
            </w:r>
          </w:p>
        </w:tc>
      </w:tr>
      <w:tr w:rsidR="00446F3D" w:rsidRPr="00BC7CB8" w:rsidTr="00F21D47">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446F3D" w:rsidRPr="00BC7CB8" w:rsidRDefault="00446F3D" w:rsidP="00F21D47">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Kyzylorda</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center"/>
          </w:tcPr>
          <w:p w:rsidR="00446F3D" w:rsidRPr="006B53EE" w:rsidRDefault="00446F3D" w:rsidP="00F21D47">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624.4</w:t>
            </w:r>
          </w:p>
        </w:tc>
        <w:tc>
          <w:tcPr>
            <w:tcW w:w="1420"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691.7</w:t>
            </w:r>
          </w:p>
        </w:tc>
        <w:tc>
          <w:tcPr>
            <w:tcW w:w="1598" w:type="dxa"/>
            <w:tcBorders>
              <w:top w:val="nil"/>
              <w:left w:val="nil"/>
              <w:bottom w:val="single" w:sz="4" w:space="0" w:color="auto"/>
              <w:right w:val="single" w:sz="4" w:space="0" w:color="auto"/>
            </w:tcBorders>
            <w:shd w:val="clear" w:color="000000" w:fill="FFFFFF"/>
            <w:noWrap/>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67.3</w:t>
            </w:r>
          </w:p>
        </w:tc>
        <w:tc>
          <w:tcPr>
            <w:tcW w:w="1560" w:type="dxa"/>
            <w:tcBorders>
              <w:top w:val="nil"/>
              <w:left w:val="nil"/>
              <w:bottom w:val="single" w:sz="4" w:space="0" w:color="auto"/>
              <w:right w:val="single" w:sz="4" w:space="0" w:color="auto"/>
            </w:tcBorders>
            <w:shd w:val="clear" w:color="auto" w:fill="auto"/>
            <w:vAlign w:val="center"/>
          </w:tcPr>
          <w:p w:rsidR="00446F3D" w:rsidRPr="0097089B" w:rsidRDefault="00446F3D" w:rsidP="00F21D47">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eleven%</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bookmarkEnd w:id="8"/>
    <w:p w:rsidR="00A234DF" w:rsidRPr="004B04DB" w:rsidRDefault="00A234DF" w:rsidP="00A234DF">
      <w:pPr>
        <w:pStyle w:val="1"/>
        <w:numPr>
          <w:ilvl w:val="0"/>
          <w:numId w:val="9"/>
        </w:numPr>
        <w:spacing w:before="0" w:line="240" w:lineRule="auto"/>
        <w:jc w:val="center"/>
        <w:rPr>
          <w:rFonts w:ascii="Times New Roman" w:hAnsi="Times New Roman" w:cs="Times New Roman"/>
          <w:b/>
          <w:color w:val="auto"/>
          <w:sz w:val="28"/>
        </w:rPr>
      </w:pPr>
      <w:r w:rsidRPr="004B04DB">
        <w:rPr>
          <w:rFonts w:ascii="Times New Roman" w:hAnsi="Times New Roman" w:cs="Times New Roman"/>
          <w:b/>
          <w:color w:val="auto"/>
          <w:sz w:val="28"/>
        </w:rPr>
        <w:t>The results of the industry in January-April 2021</w:t>
      </w:r>
    </w:p>
    <w:p w:rsidR="00A234DF" w:rsidRPr="004B04DB" w:rsidRDefault="00A234DF" w:rsidP="00A234DF">
      <w:pPr>
        <w:pStyle w:val="ab"/>
        <w:spacing w:before="0" w:beforeAutospacing="0" w:after="0" w:afterAutospacing="0"/>
        <w:jc w:val="center"/>
        <w:rPr>
          <w:i/>
          <w:szCs w:val="22"/>
        </w:rPr>
      </w:pPr>
      <w:r w:rsidRPr="004B04DB">
        <w:rPr>
          <w:i/>
          <w:szCs w:val="22"/>
        </w:rPr>
        <w:t>(express information of the Bureau of National Statistics ASPR RK)</w:t>
      </w:r>
    </w:p>
    <w:p w:rsidR="00A234DF" w:rsidRPr="004B04DB" w:rsidRDefault="00A234DF" w:rsidP="00A234DF">
      <w:pPr>
        <w:pStyle w:val="ab"/>
        <w:spacing w:before="0" w:beforeAutospacing="0" w:after="0" w:afterAutospacing="0"/>
        <w:jc w:val="center"/>
        <w:rPr>
          <w:i/>
          <w:szCs w:val="22"/>
        </w:rPr>
      </w:pPr>
    </w:p>
    <w:p w:rsidR="00A234DF"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 xml:space="preserve">January-April 2021 compared to January-April 2020, the industrial production index (hereinafter referred to as IPP) amounted to 100.8%. An increase in production volumes was recorded in 12 regions of the republic, a decrease was observed in </w:t>
      </w:r>
      <w:proofErr w:type="spellStart"/>
      <w:proofErr w:type="gramStart"/>
      <w:r w:rsidRPr="004B04DB">
        <w:rPr>
          <w:rFonts w:ascii="Times New Roman" w:eastAsiaTheme="minorHAnsi" w:hAnsi="Times New Roman"/>
          <w:sz w:val="28"/>
          <w:szCs w:val="22"/>
          <w:lang w:eastAsia="en-US"/>
        </w:rPr>
        <w:t>Atyrau</w:t>
      </w:r>
      <w:proofErr w:type="spellEnd"/>
      <w:r w:rsidRPr="004B04DB">
        <w:rPr>
          <w:rFonts w:ascii="Times New Roman" w:eastAsiaTheme="minorHAnsi" w:hAnsi="Times New Roman"/>
          <w:sz w:val="28"/>
          <w:szCs w:val="22"/>
          <w:lang w:eastAsia="en-US"/>
        </w:rPr>
        <w:t xml:space="preserve"> ,</w:t>
      </w:r>
      <w:proofErr w:type="gramEnd"/>
      <w:r w:rsidRPr="004B04DB">
        <w:rPr>
          <w:rFonts w:ascii="Times New Roman" w:eastAsiaTheme="minorHAnsi" w:hAnsi="Times New Roman"/>
          <w:sz w:val="28"/>
          <w:szCs w:val="22"/>
          <w:lang w:eastAsia="en-US"/>
        </w:rPr>
        <w:t xml:space="preserve"> West Kazakhstan , </w:t>
      </w:r>
      <w:proofErr w:type="spellStart"/>
      <w:r w:rsidRPr="004B04DB">
        <w:rPr>
          <w:rFonts w:ascii="Times New Roman" w:eastAsiaTheme="minorHAnsi" w:hAnsi="Times New Roman"/>
          <w:sz w:val="28"/>
          <w:szCs w:val="22"/>
          <w:lang w:eastAsia="en-US"/>
        </w:rPr>
        <w:t>Kyzylorda</w:t>
      </w:r>
      <w:proofErr w:type="spellEnd"/>
      <w:r w:rsidRPr="004B04DB">
        <w:rPr>
          <w:rFonts w:ascii="Times New Roman" w:eastAsiaTheme="minorHAnsi" w:hAnsi="Times New Roman"/>
          <w:sz w:val="28"/>
          <w:szCs w:val="22"/>
          <w:lang w:eastAsia="en-US"/>
        </w:rPr>
        <w:t xml:space="preserve"> , </w:t>
      </w:r>
      <w:proofErr w:type="spellStart"/>
      <w:r w:rsidRPr="004B04DB">
        <w:rPr>
          <w:rFonts w:ascii="Times New Roman" w:eastAsiaTheme="minorHAnsi" w:hAnsi="Times New Roman"/>
          <w:sz w:val="28"/>
          <w:szCs w:val="22"/>
          <w:lang w:eastAsia="en-US"/>
        </w:rPr>
        <w:t>Mangystau</w:t>
      </w:r>
      <w:proofErr w:type="spellEnd"/>
      <w:r w:rsidRPr="004B04DB">
        <w:rPr>
          <w:rFonts w:ascii="Times New Roman" w:eastAsiaTheme="minorHAnsi" w:hAnsi="Times New Roman"/>
          <w:sz w:val="28"/>
          <w:szCs w:val="22"/>
          <w:lang w:eastAsia="en-US"/>
        </w:rPr>
        <w:t xml:space="preserve"> and Turkestan regions.</w:t>
      </w: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Default="00004898" w:rsidP="00A234DF">
      <w:pPr>
        <w:pStyle w:val="OsnTxt"/>
        <w:spacing w:line="240" w:lineRule="auto"/>
        <w:ind w:right="-284"/>
        <w:rPr>
          <w:rFonts w:ascii="Times New Roman" w:eastAsiaTheme="minorHAnsi" w:hAnsi="Times New Roman"/>
          <w:sz w:val="28"/>
          <w:szCs w:val="22"/>
          <w:lang w:eastAsia="en-US"/>
        </w:rPr>
      </w:pPr>
    </w:p>
    <w:p w:rsidR="00004898" w:rsidRPr="004B04DB" w:rsidRDefault="00004898" w:rsidP="00A234DF">
      <w:pPr>
        <w:pStyle w:val="OsnTxt"/>
        <w:spacing w:line="240" w:lineRule="auto"/>
        <w:ind w:right="-284"/>
        <w:rPr>
          <w:rFonts w:ascii="Times New Roman" w:eastAsiaTheme="minorHAnsi" w:hAnsi="Times New Roman"/>
          <w:sz w:val="28"/>
          <w:szCs w:val="22"/>
          <w:lang w:eastAsia="en-US"/>
        </w:rPr>
      </w:pPr>
    </w:p>
    <w:p w:rsidR="00A234DF" w:rsidRPr="004B04DB" w:rsidRDefault="00A234DF" w:rsidP="00A234DF">
      <w:pPr>
        <w:pStyle w:val="OsnTxt"/>
        <w:spacing w:line="240" w:lineRule="auto"/>
        <w:ind w:right="-284"/>
        <w:jc w:val="center"/>
        <w:rPr>
          <w:rFonts w:ascii="Times New Roman" w:hAnsi="Times New Roman"/>
          <w:b/>
          <w:sz w:val="28"/>
          <w:szCs w:val="28"/>
        </w:rPr>
      </w:pPr>
      <w:r w:rsidRPr="004B04DB">
        <w:rPr>
          <w:rFonts w:ascii="Times New Roman" w:hAnsi="Times New Roman"/>
          <w:b/>
          <w:sz w:val="28"/>
          <w:szCs w:val="28"/>
        </w:rPr>
        <w:lastRenderedPageBreak/>
        <w:t>Changes in industrial output by region</w:t>
      </w:r>
    </w:p>
    <w:p w:rsidR="00A234DF" w:rsidRPr="004B04DB" w:rsidRDefault="00A234DF" w:rsidP="00A234DF">
      <w:pPr>
        <w:pStyle w:val="OsnTxt"/>
        <w:spacing w:line="240" w:lineRule="auto"/>
        <w:ind w:right="-284"/>
        <w:jc w:val="right"/>
        <w:rPr>
          <w:rFonts w:ascii="Times New Roman" w:hAnsi="Times New Roman"/>
          <w:i/>
          <w:sz w:val="28"/>
          <w:szCs w:val="28"/>
        </w:rPr>
      </w:pPr>
      <w:r w:rsidRPr="004B04DB">
        <w:rPr>
          <w:rFonts w:ascii="Times New Roman" w:hAnsi="Times New Roman"/>
          <w:i/>
          <w:sz w:val="28"/>
          <w:szCs w:val="28"/>
        </w:rPr>
        <w:t>in % to the corresponding period of the previous year</w:t>
      </w:r>
    </w:p>
    <w:p w:rsidR="00A234DF" w:rsidRPr="004B04DB" w:rsidRDefault="00A234DF" w:rsidP="00A234DF">
      <w:pPr>
        <w:pStyle w:val="OsnTxt"/>
        <w:spacing w:line="240" w:lineRule="auto"/>
        <w:ind w:right="-284"/>
        <w:jc w:val="center"/>
        <w:rPr>
          <w:rFonts w:ascii="Calibri" w:hAnsi="Calibri" w:cs="Arial"/>
        </w:rPr>
      </w:pPr>
      <w:r w:rsidRPr="004B04DB">
        <w:rPr>
          <w:noProof/>
          <w:lang w:val="ru-RU"/>
        </w:rPr>
        <w:drawing>
          <wp:inline distT="0" distB="0" distL="0" distR="0" wp14:anchorId="21B31FC8" wp14:editId="6FD71318">
            <wp:extent cx="5284382" cy="2519917"/>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 xml:space="preserve">In the city of </w:t>
      </w:r>
      <w:proofErr w:type="spellStart"/>
      <w:r w:rsidRPr="004B04DB">
        <w:rPr>
          <w:rFonts w:ascii="Times New Roman" w:eastAsiaTheme="minorHAnsi" w:hAnsi="Times New Roman"/>
          <w:sz w:val="28"/>
          <w:szCs w:val="22"/>
          <w:lang w:eastAsia="en-US"/>
        </w:rPr>
        <w:t>Nur</w:t>
      </w:r>
      <w:proofErr w:type="spellEnd"/>
      <w:r w:rsidRPr="004B04DB">
        <w:rPr>
          <w:rFonts w:ascii="Times New Roman" w:eastAsiaTheme="minorHAnsi" w:hAnsi="Times New Roman"/>
          <w:sz w:val="28"/>
          <w:szCs w:val="22"/>
          <w:lang w:eastAsia="en-US"/>
        </w:rPr>
        <w:t xml:space="preserve"> -Sultan, the IPP amounted to 120.3%, mainly due to an increase in the production of ready-mixed concrete, refined gold, and the production of railway cars.</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Almaty, due to an increase in the production of building prefabricated metal structures, cars and ready-mixed concrete, the IPP amounted to 119.5%.</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Almaty region, the IPP amounted to 115.3% due to an increase in the production of tobacco products, the production of beverages, sugar and electric batteries.</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city of Shymkent, due to the increase in the production of refined products and transformers, the IPP amounted to 113.5%.</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North Kazakhstan region, due to an increase in the growth in the production of freight cars, milk, flour and butter, the IPP amounted to 110.3%.</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 xml:space="preserve">In the </w:t>
      </w:r>
      <w:proofErr w:type="spellStart"/>
      <w:r w:rsidRPr="004B04DB">
        <w:rPr>
          <w:rFonts w:ascii="Times New Roman" w:eastAsiaTheme="minorHAnsi" w:hAnsi="Times New Roman"/>
          <w:sz w:val="28"/>
          <w:szCs w:val="22"/>
          <w:lang w:eastAsia="en-US"/>
        </w:rPr>
        <w:t>Kostanay</w:t>
      </w:r>
      <w:proofErr w:type="spellEnd"/>
      <w:r w:rsidRPr="004B04DB">
        <w:rPr>
          <w:rFonts w:ascii="Times New Roman" w:eastAsiaTheme="minorHAnsi" w:hAnsi="Times New Roman"/>
          <w:sz w:val="28"/>
          <w:szCs w:val="22"/>
          <w:lang w:eastAsia="en-US"/>
        </w:rPr>
        <w:t xml:space="preserve"> region, the IPP amounted to 109.5% due to an increase in the extraction of iron and gold ores, copper concentrates, the production of gold in doré and cars.</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 xml:space="preserve">In the </w:t>
      </w:r>
      <w:proofErr w:type="spellStart"/>
      <w:r w:rsidRPr="004B04DB">
        <w:rPr>
          <w:rFonts w:ascii="Times New Roman" w:eastAsiaTheme="minorHAnsi" w:hAnsi="Times New Roman"/>
          <w:sz w:val="28"/>
          <w:szCs w:val="22"/>
          <w:lang w:eastAsia="en-US"/>
        </w:rPr>
        <w:t>Akmola</w:t>
      </w:r>
      <w:proofErr w:type="spellEnd"/>
      <w:r w:rsidRPr="004B04DB">
        <w:rPr>
          <w:rFonts w:ascii="Times New Roman" w:eastAsiaTheme="minorHAnsi" w:hAnsi="Times New Roman"/>
          <w:sz w:val="28"/>
          <w:szCs w:val="22"/>
          <w:lang w:eastAsia="en-US"/>
        </w:rPr>
        <w:t xml:space="preserve"> region, due to an increase in the production of pesticides, the production of combines and tractors, the IPP amounted to 108.1%.</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Aktobe region, the IPI was 107.7% due to the growth in the provision of services in the mining industry.</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 xml:space="preserve">In the </w:t>
      </w:r>
      <w:proofErr w:type="spellStart"/>
      <w:r w:rsidRPr="004B04DB">
        <w:rPr>
          <w:rFonts w:ascii="Times New Roman" w:eastAsiaTheme="minorHAnsi" w:hAnsi="Times New Roman"/>
          <w:sz w:val="28"/>
          <w:szCs w:val="22"/>
          <w:lang w:eastAsia="en-US"/>
        </w:rPr>
        <w:t>Zhambyl</w:t>
      </w:r>
      <w:proofErr w:type="spellEnd"/>
      <w:r w:rsidRPr="004B04DB">
        <w:rPr>
          <w:rFonts w:ascii="Times New Roman" w:eastAsiaTheme="minorHAnsi" w:hAnsi="Times New Roman"/>
          <w:sz w:val="28"/>
          <w:szCs w:val="22"/>
          <w:lang w:eastAsia="en-US"/>
        </w:rPr>
        <w:t xml:space="preserve"> region, due to the growth in the production of phosphate raw materials, the production of phosphate fertilizers and diesel fuel, the IPP amounted to 107.1%.</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East Kazakhstan region, the IPP amounted to 106.7% due to an increase in the extraction of copper ores and gold concentrates, the production of refined gold.</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Pavlodar region, the IPP amounted to 104.2% due to the growth in the production of gasoline, diesel fuel, heating oil and processing of secondary metal raw materials.</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Karaganda region, the growth of IPP amounted to 100.8% due to an increase in the production of gold concentrates, the production of unalloyed steel and flat products.</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the Turkestan region, due to a decrease in the extraction of uranium and thorium ores, cotton production, the IPP amounted to 98.2%.</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West Kazakhstan IPP amounted to 93.1% due to a decrease in gas condensate production, production of pipes, steel profiles.</w:t>
      </w:r>
    </w:p>
    <w:p w:rsidR="00A234DF" w:rsidRPr="004B04DB" w:rsidRDefault="00A234DF" w:rsidP="00A234DF">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 xml:space="preserve">In </w:t>
      </w:r>
      <w:proofErr w:type="spellStart"/>
      <w:r w:rsidRPr="004B04DB">
        <w:rPr>
          <w:rFonts w:ascii="Times New Roman" w:eastAsiaTheme="minorHAnsi" w:hAnsi="Times New Roman"/>
          <w:sz w:val="28"/>
          <w:szCs w:val="22"/>
          <w:lang w:eastAsia="en-US"/>
        </w:rPr>
        <w:t>Atyrau</w:t>
      </w:r>
      <w:proofErr w:type="spellEnd"/>
      <w:r w:rsidRPr="004B04DB">
        <w:rPr>
          <w:rFonts w:ascii="Times New Roman" w:eastAsiaTheme="minorHAnsi" w:hAnsi="Times New Roman"/>
          <w:sz w:val="28"/>
          <w:szCs w:val="22"/>
          <w:lang w:eastAsia="en-US"/>
        </w:rPr>
        <w:t xml:space="preserve"> (85.8%), </w:t>
      </w:r>
      <w:proofErr w:type="spellStart"/>
      <w:r w:rsidRPr="004B04DB">
        <w:rPr>
          <w:rFonts w:ascii="Times New Roman" w:eastAsiaTheme="minorHAnsi" w:hAnsi="Times New Roman"/>
          <w:sz w:val="28"/>
          <w:szCs w:val="22"/>
          <w:lang w:eastAsia="en-US"/>
        </w:rPr>
        <w:t>Kyzylorda</w:t>
      </w:r>
      <w:proofErr w:type="spellEnd"/>
      <w:r w:rsidRPr="004B04DB">
        <w:rPr>
          <w:rFonts w:ascii="Times New Roman" w:eastAsiaTheme="minorHAnsi" w:hAnsi="Times New Roman"/>
          <w:sz w:val="28"/>
          <w:szCs w:val="22"/>
          <w:lang w:eastAsia="en-US"/>
        </w:rPr>
        <w:t xml:space="preserve"> (99.7%), </w:t>
      </w:r>
      <w:proofErr w:type="spellStart"/>
      <w:r w:rsidRPr="004B04DB">
        <w:rPr>
          <w:rFonts w:ascii="Times New Roman" w:eastAsiaTheme="minorHAnsi" w:hAnsi="Times New Roman"/>
          <w:sz w:val="28"/>
          <w:szCs w:val="22"/>
          <w:lang w:eastAsia="en-US"/>
        </w:rPr>
        <w:t>Mangistau</w:t>
      </w:r>
      <w:proofErr w:type="spellEnd"/>
      <w:r w:rsidRPr="004B04DB">
        <w:rPr>
          <w:rFonts w:ascii="Times New Roman" w:eastAsiaTheme="minorHAnsi" w:hAnsi="Times New Roman"/>
          <w:sz w:val="28"/>
          <w:szCs w:val="22"/>
          <w:lang w:eastAsia="en-US"/>
        </w:rPr>
        <w:t xml:space="preserve"> (92.8%) regions, the IPP decreased mainly due to a reduction in crude oil production.</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0507486"/>
      <w:bookmarkStart w:id="11" w:name="_Toc2249075"/>
      <w:r w:rsidRPr="007F6813">
        <w:rPr>
          <w:rFonts w:ascii="Times New Roman" w:hAnsi="Times New Roman" w:cs="Times New Roman"/>
          <w:i/>
          <w:color w:val="auto"/>
          <w:sz w:val="28"/>
        </w:rPr>
        <w:t>Electricity consumption by large consumers in Kazakhstan</w:t>
      </w:r>
      <w:bookmarkEnd w:id="9"/>
      <w:bookmarkEnd w:id="10"/>
    </w:p>
    <w:bookmarkEnd w:id="11"/>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446F3D" w:rsidRPr="004B04DB" w:rsidRDefault="00446F3D" w:rsidP="00446F3D">
      <w:pPr>
        <w:pStyle w:val="OsnTxt"/>
        <w:spacing w:line="240" w:lineRule="auto"/>
        <w:ind w:right="-284"/>
        <w:rPr>
          <w:rFonts w:ascii="Times New Roman" w:eastAsiaTheme="minorHAnsi" w:hAnsi="Times New Roman"/>
          <w:sz w:val="28"/>
          <w:szCs w:val="22"/>
          <w:lang w:eastAsia="en-US"/>
        </w:rPr>
      </w:pPr>
      <w:r w:rsidRPr="004B04DB">
        <w:rPr>
          <w:rFonts w:ascii="Times New Roman" w:eastAsiaTheme="minorHAnsi" w:hAnsi="Times New Roman"/>
          <w:sz w:val="28"/>
          <w:szCs w:val="22"/>
          <w:lang w:eastAsia="en-US"/>
        </w:rPr>
        <w:t>In January-April 2021, compared to the same period in 2020, electricity consumption by large consumers decreased by 0.9%.</w:t>
      </w:r>
    </w:p>
    <w:p w:rsidR="00446F3D" w:rsidRPr="004B04DB" w:rsidRDefault="00446F3D" w:rsidP="00446F3D">
      <w:pPr>
        <w:spacing w:after="0" w:line="240" w:lineRule="auto"/>
        <w:jc w:val="right"/>
        <w:rPr>
          <w:rFonts w:ascii="Times New Roman" w:hAnsi="Times New Roman" w:cs="Times New Roman"/>
          <w:i/>
          <w:sz w:val="28"/>
        </w:rPr>
      </w:pPr>
      <w:r w:rsidRPr="004B04DB">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446F3D" w:rsidRPr="004B04DB" w:rsidTr="00F21D47">
        <w:trPr>
          <w:trHeight w:val="449"/>
          <w:jc w:val="center"/>
        </w:trPr>
        <w:tc>
          <w:tcPr>
            <w:tcW w:w="567" w:type="dxa"/>
            <w:vMerge w:val="restart"/>
            <w:shd w:val="clear" w:color="auto" w:fill="auto"/>
            <w:vAlign w:val="center"/>
          </w:tcPr>
          <w:p w:rsidR="00446F3D" w:rsidRPr="004B04DB" w:rsidRDefault="00446F3D" w:rsidP="00F21D47">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No. p / p</w:t>
            </w:r>
          </w:p>
        </w:tc>
        <w:tc>
          <w:tcPr>
            <w:tcW w:w="6096" w:type="dxa"/>
            <w:vMerge w:val="restart"/>
            <w:shd w:val="clear" w:color="auto" w:fill="auto"/>
            <w:vAlign w:val="center"/>
          </w:tcPr>
          <w:p w:rsidR="00446F3D" w:rsidRPr="004B04DB" w:rsidRDefault="00446F3D" w:rsidP="00F21D47">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Consumer</w:t>
            </w:r>
          </w:p>
        </w:tc>
        <w:tc>
          <w:tcPr>
            <w:tcW w:w="3260" w:type="dxa"/>
            <w:gridSpan w:val="3"/>
            <w:shd w:val="clear" w:color="auto" w:fill="auto"/>
            <w:vAlign w:val="center"/>
          </w:tcPr>
          <w:p w:rsidR="00446F3D" w:rsidRPr="004B04DB" w:rsidRDefault="00446F3D" w:rsidP="00F21D47">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January-April</w:t>
            </w:r>
          </w:p>
        </w:tc>
      </w:tr>
      <w:tr w:rsidR="00446F3D" w:rsidRPr="004B04DB" w:rsidTr="00F21D47">
        <w:trPr>
          <w:trHeight w:val="355"/>
          <w:jc w:val="center"/>
        </w:trPr>
        <w:tc>
          <w:tcPr>
            <w:tcW w:w="567" w:type="dxa"/>
            <w:vMerge/>
            <w:shd w:val="clear" w:color="auto" w:fill="B6DDE8" w:themeFill="accent5" w:themeFillTint="66"/>
            <w:vAlign w:val="center"/>
          </w:tcPr>
          <w:p w:rsidR="00446F3D" w:rsidRPr="004B04DB" w:rsidRDefault="00446F3D" w:rsidP="00F21D47">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446F3D" w:rsidRPr="004B04DB" w:rsidRDefault="00446F3D" w:rsidP="00F21D47">
            <w:pPr>
              <w:pStyle w:val="a3"/>
              <w:ind w:left="0"/>
              <w:jc w:val="center"/>
              <w:rPr>
                <w:rFonts w:ascii="Times New Roman" w:hAnsi="Times New Roman" w:cs="Times New Roman"/>
                <w:b/>
                <w:sz w:val="24"/>
                <w:szCs w:val="24"/>
              </w:rPr>
            </w:pPr>
          </w:p>
        </w:tc>
        <w:tc>
          <w:tcPr>
            <w:tcW w:w="1086" w:type="dxa"/>
            <w:shd w:val="clear" w:color="auto" w:fill="auto"/>
            <w:vAlign w:val="center"/>
          </w:tcPr>
          <w:p w:rsidR="00446F3D" w:rsidRPr="004B04DB" w:rsidRDefault="00446F3D" w:rsidP="00F21D47">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2020</w:t>
            </w:r>
          </w:p>
        </w:tc>
        <w:tc>
          <w:tcPr>
            <w:tcW w:w="1087" w:type="dxa"/>
            <w:shd w:val="clear" w:color="auto" w:fill="auto"/>
            <w:vAlign w:val="center"/>
          </w:tcPr>
          <w:p w:rsidR="00446F3D" w:rsidRPr="004B04DB" w:rsidRDefault="00446F3D" w:rsidP="00F21D47">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2021</w:t>
            </w:r>
          </w:p>
        </w:tc>
        <w:tc>
          <w:tcPr>
            <w:tcW w:w="1087" w:type="dxa"/>
            <w:shd w:val="clear" w:color="auto" w:fill="auto"/>
            <w:vAlign w:val="center"/>
          </w:tcPr>
          <w:p w:rsidR="00446F3D" w:rsidRPr="004B04DB" w:rsidRDefault="00446F3D" w:rsidP="00F21D47">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Δ, %</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 xml:space="preserve">JSC </w:t>
            </w:r>
            <w:proofErr w:type="spellStart"/>
            <w:r w:rsidRPr="004B04DB">
              <w:rPr>
                <w:rFonts w:ascii="Times New Roman" w:hAnsi="Times New Roman" w:cs="Times New Roman"/>
                <w:sz w:val="24"/>
                <w:szCs w:val="24"/>
              </w:rPr>
              <w:t>Arcelor</w:t>
            </w:r>
            <w:proofErr w:type="spellEnd"/>
            <w:r w:rsidRPr="004B04DB">
              <w:rPr>
                <w:rFonts w:ascii="Times New Roman" w:hAnsi="Times New Roman" w:cs="Times New Roman"/>
                <w:sz w:val="24"/>
                <w:szCs w:val="24"/>
              </w:rPr>
              <w:t xml:space="preserve"> Mittal Temirtau"</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991.5</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959.8</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 xml:space="preserve">JSC AZF ( </w:t>
            </w:r>
            <w:proofErr w:type="spellStart"/>
            <w:r w:rsidRPr="004B04DB">
              <w:rPr>
                <w:rFonts w:ascii="Times New Roman" w:hAnsi="Times New Roman" w:cs="Times New Roman"/>
                <w:sz w:val="24"/>
                <w:szCs w:val="24"/>
              </w:rPr>
              <w:t>Aksuysky</w:t>
            </w:r>
            <w:proofErr w:type="spellEnd"/>
            <w:r w:rsidRPr="004B04DB">
              <w:rPr>
                <w:rFonts w:ascii="Times New Roman" w:hAnsi="Times New Roman" w:cs="Times New Roman"/>
                <w:sz w:val="24"/>
                <w:szCs w:val="24"/>
              </w:rPr>
              <w:t xml:space="preserve"> ) "TNK </w:t>
            </w:r>
            <w:proofErr w:type="spellStart"/>
            <w:r w:rsidRPr="004B04DB">
              <w:rPr>
                <w:rFonts w:ascii="Times New Roman" w:hAnsi="Times New Roman" w:cs="Times New Roman"/>
                <w:sz w:val="24"/>
                <w:szCs w:val="24"/>
              </w:rPr>
              <w:t>Kazchrome</w:t>
            </w:r>
            <w:proofErr w:type="spellEnd"/>
            <w:r w:rsidRPr="004B04DB">
              <w:rPr>
                <w:rFonts w:ascii="Times New Roman" w:hAnsi="Times New Roman" w:cs="Times New Roman"/>
                <w:sz w:val="24"/>
                <w:szCs w:val="24"/>
              </w:rPr>
              <w:t xml:space="preserve"> "</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1477.1</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1387.9</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-6%</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proofErr w:type="spellStart"/>
            <w:r w:rsidRPr="004B04DB">
              <w:rPr>
                <w:rFonts w:ascii="Times New Roman" w:hAnsi="Times New Roman" w:cs="Times New Roman"/>
                <w:sz w:val="24"/>
                <w:szCs w:val="24"/>
              </w:rPr>
              <w:t>Kazakhmys</w:t>
            </w:r>
            <w:proofErr w:type="spellEnd"/>
            <w:r w:rsidRPr="004B04DB">
              <w:rPr>
                <w:rFonts w:ascii="Times New Roman" w:hAnsi="Times New Roman" w:cs="Times New Roman"/>
                <w:sz w:val="24"/>
                <w:szCs w:val="24"/>
              </w:rPr>
              <w:t xml:space="preserve"> LLP Smelting »</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299.3</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308.4</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Kazzinc LLP _</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723.4</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733.0</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5</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 xml:space="preserve">JSC " </w:t>
            </w:r>
            <w:proofErr w:type="spellStart"/>
            <w:r w:rsidRPr="004B04DB">
              <w:rPr>
                <w:rFonts w:ascii="Times New Roman" w:hAnsi="Times New Roman" w:cs="Times New Roman"/>
                <w:sz w:val="24"/>
                <w:szCs w:val="24"/>
              </w:rPr>
              <w:t>Sokolovsko-Sarbayskoye</w:t>
            </w:r>
            <w:proofErr w:type="spellEnd"/>
            <w:r w:rsidRPr="004B04DB">
              <w:rPr>
                <w:rFonts w:ascii="Times New Roman" w:hAnsi="Times New Roman" w:cs="Times New Roman"/>
                <w:sz w:val="24"/>
                <w:szCs w:val="24"/>
              </w:rPr>
              <w:t xml:space="preserve"> GPO"</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485.2</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426.9</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-12%</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6</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Kazakhmys Corporation LLP</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337.6</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331.9</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AZF JSC (</w:t>
            </w:r>
            <w:proofErr w:type="spellStart"/>
            <w:r w:rsidRPr="004B04DB">
              <w:rPr>
                <w:rFonts w:ascii="Times New Roman" w:hAnsi="Times New Roman" w:cs="Times New Roman"/>
                <w:sz w:val="24"/>
                <w:szCs w:val="24"/>
              </w:rPr>
              <w:t>Aktobe</w:t>
            </w:r>
            <w:proofErr w:type="spellEnd"/>
            <w:r w:rsidRPr="004B04DB">
              <w:rPr>
                <w:rFonts w:ascii="Times New Roman" w:hAnsi="Times New Roman" w:cs="Times New Roman"/>
                <w:sz w:val="24"/>
                <w:szCs w:val="24"/>
              </w:rPr>
              <w:t xml:space="preserve">) "TNK </w:t>
            </w:r>
            <w:proofErr w:type="spellStart"/>
            <w:r w:rsidRPr="004B04DB">
              <w:rPr>
                <w:rFonts w:ascii="Times New Roman" w:hAnsi="Times New Roman" w:cs="Times New Roman"/>
                <w:sz w:val="24"/>
                <w:szCs w:val="24"/>
              </w:rPr>
              <w:t>Kazchrome</w:t>
            </w:r>
            <w:proofErr w:type="spellEnd"/>
            <w:r w:rsidRPr="004B04DB">
              <w:rPr>
                <w:rFonts w:ascii="Times New Roman" w:hAnsi="Times New Roman" w:cs="Times New Roman"/>
                <w:sz w:val="24"/>
                <w:szCs w:val="24"/>
              </w:rPr>
              <w:t xml:space="preserve"> "</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764.6</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770.2</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8</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 xml:space="preserve">RSE “Channel them. </w:t>
            </w:r>
            <w:proofErr w:type="spellStart"/>
            <w:r w:rsidRPr="004B04DB">
              <w:rPr>
                <w:rFonts w:ascii="Times New Roman" w:hAnsi="Times New Roman" w:cs="Times New Roman"/>
                <w:sz w:val="24"/>
                <w:szCs w:val="24"/>
              </w:rPr>
              <w:t>Satpaev</w:t>
            </w:r>
            <w:proofErr w:type="spellEnd"/>
            <w:r w:rsidRPr="004B04DB">
              <w:rPr>
                <w:rFonts w:ascii="Times New Roman" w:hAnsi="Times New Roman" w:cs="Times New Roman"/>
                <w:sz w:val="24"/>
                <w:szCs w:val="24"/>
              </w:rPr>
              <w:t xml:space="preserve"> »</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25.6</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38.0</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48%</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Kazphosphate LLP _</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505.2</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410.5</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-19%</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10</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 xml:space="preserve">NDFZ JSC (part of </w:t>
            </w:r>
            <w:proofErr w:type="spellStart"/>
            <w:r w:rsidRPr="004B04DB">
              <w:rPr>
                <w:rFonts w:ascii="Times New Roman" w:hAnsi="Times New Roman" w:cs="Times New Roman"/>
                <w:sz w:val="24"/>
                <w:szCs w:val="24"/>
              </w:rPr>
              <w:t>Kazphosphate</w:t>
            </w:r>
            <w:proofErr w:type="spellEnd"/>
            <w:r w:rsidRPr="004B04DB">
              <w:rPr>
                <w:rFonts w:ascii="Times New Roman" w:hAnsi="Times New Roman" w:cs="Times New Roman"/>
                <w:sz w:val="24"/>
                <w:szCs w:val="24"/>
              </w:rPr>
              <w:t xml:space="preserve"> LLP )</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430.8</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330.6</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-23%</w:t>
            </w:r>
          </w:p>
        </w:tc>
      </w:tr>
      <w:tr w:rsidR="00446F3D" w:rsidRPr="004B04DB" w:rsidTr="00F21D47">
        <w:trPr>
          <w:trHeight w:val="360"/>
          <w:jc w:val="center"/>
        </w:trPr>
        <w:tc>
          <w:tcPr>
            <w:tcW w:w="567" w:type="dxa"/>
            <w:vAlign w:val="center"/>
          </w:tcPr>
          <w:p w:rsidR="00446F3D" w:rsidRPr="004B04DB" w:rsidRDefault="00004898" w:rsidP="00F21D47">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 xml:space="preserve">LLP " </w:t>
            </w:r>
            <w:proofErr w:type="spellStart"/>
            <w:r w:rsidRPr="004B04DB">
              <w:rPr>
                <w:rFonts w:ascii="Times New Roman" w:hAnsi="Times New Roman" w:cs="Times New Roman"/>
                <w:sz w:val="24"/>
                <w:szCs w:val="24"/>
              </w:rPr>
              <w:t>Taraz</w:t>
            </w:r>
            <w:proofErr w:type="spellEnd"/>
            <w:r w:rsidRPr="004B04DB">
              <w:rPr>
                <w:rFonts w:ascii="Times New Roman" w:hAnsi="Times New Roman" w:cs="Times New Roman"/>
                <w:sz w:val="24"/>
                <w:szCs w:val="24"/>
              </w:rPr>
              <w:t xml:space="preserve"> Metallurgical Plant"</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49.3</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95.1</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93%</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12</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JSC " Ust-Kamenogorsk titanium -magnesium plant"</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239.2</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121.5</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-49%</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13</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proofErr w:type="spellStart"/>
            <w:r w:rsidRPr="004B04DB">
              <w:rPr>
                <w:rFonts w:ascii="Times New Roman" w:hAnsi="Times New Roman" w:cs="Times New Roman"/>
                <w:sz w:val="24"/>
                <w:szCs w:val="24"/>
              </w:rPr>
              <w:t>Tengizchevroil</w:t>
            </w:r>
            <w:proofErr w:type="spellEnd"/>
            <w:r w:rsidRPr="004B04DB">
              <w:rPr>
                <w:rFonts w:ascii="Times New Roman" w:hAnsi="Times New Roman" w:cs="Times New Roman"/>
                <w:sz w:val="24"/>
                <w:szCs w:val="24"/>
              </w:rPr>
              <w:t xml:space="preserve"> LLP _</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485.8</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477.6</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14</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PAZ JSC (Pavlodar Aluminum Smelter)</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242.8</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232.9</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15</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JSC "KEZ" (Kazakhstan electrolysis plant)</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948.3</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950.1</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0%</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16</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proofErr w:type="spellStart"/>
            <w:r w:rsidRPr="004B04DB">
              <w:rPr>
                <w:rFonts w:ascii="Times New Roman" w:hAnsi="Times New Roman" w:cs="Times New Roman"/>
                <w:sz w:val="24"/>
                <w:szCs w:val="24"/>
              </w:rPr>
              <w:t>TemirzholEnergo</w:t>
            </w:r>
            <w:proofErr w:type="spellEnd"/>
            <w:r w:rsidRPr="004B04DB">
              <w:rPr>
                <w:rFonts w:ascii="Times New Roman" w:hAnsi="Times New Roman" w:cs="Times New Roman"/>
                <w:sz w:val="24"/>
                <w:szCs w:val="24"/>
              </w:rPr>
              <w:t xml:space="preserve"> LLP _</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362.6</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420.7</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16%</w:t>
            </w:r>
          </w:p>
        </w:tc>
      </w:tr>
      <w:tr w:rsidR="00446F3D" w:rsidRPr="004B04DB" w:rsidTr="00F21D47">
        <w:trPr>
          <w:trHeight w:val="360"/>
          <w:jc w:val="center"/>
        </w:trPr>
        <w:tc>
          <w:tcPr>
            <w:tcW w:w="56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17</w:t>
            </w:r>
          </w:p>
        </w:tc>
        <w:tc>
          <w:tcPr>
            <w:tcW w:w="6096" w:type="dxa"/>
            <w:vAlign w:val="center"/>
          </w:tcPr>
          <w:p w:rsidR="00446F3D" w:rsidRPr="004B04DB" w:rsidRDefault="00446F3D" w:rsidP="00F21D47">
            <w:pPr>
              <w:pStyle w:val="a3"/>
              <w:ind w:left="0"/>
              <w:rPr>
                <w:rFonts w:ascii="Times New Roman" w:hAnsi="Times New Roman" w:cs="Times New Roman"/>
                <w:sz w:val="24"/>
                <w:szCs w:val="24"/>
              </w:rPr>
            </w:pPr>
            <w:r w:rsidRPr="004B04DB">
              <w:rPr>
                <w:rFonts w:ascii="Times New Roman" w:hAnsi="Times New Roman" w:cs="Times New Roman"/>
                <w:sz w:val="24"/>
                <w:szCs w:val="24"/>
              </w:rPr>
              <w:t>JSC "KEGOC"</w:t>
            </w:r>
          </w:p>
        </w:tc>
        <w:tc>
          <w:tcPr>
            <w:tcW w:w="1086"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1256.7</w:t>
            </w:r>
          </w:p>
        </w:tc>
        <w:tc>
          <w:tcPr>
            <w:tcW w:w="1087" w:type="dxa"/>
            <w:vAlign w:val="center"/>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1444.6</w:t>
            </w:r>
          </w:p>
        </w:tc>
        <w:tc>
          <w:tcPr>
            <w:tcW w:w="1087" w:type="dxa"/>
            <w:vAlign w:val="bottom"/>
          </w:tcPr>
          <w:p w:rsidR="00446F3D" w:rsidRPr="004B04DB" w:rsidRDefault="00446F3D" w:rsidP="00F21D47">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15%</w:t>
            </w:r>
          </w:p>
        </w:tc>
      </w:tr>
      <w:tr w:rsidR="00446F3D" w:rsidRPr="004B04DB" w:rsidTr="00F21D47">
        <w:trPr>
          <w:trHeight w:val="360"/>
          <w:jc w:val="center"/>
        </w:trPr>
        <w:tc>
          <w:tcPr>
            <w:tcW w:w="6663" w:type="dxa"/>
            <w:gridSpan w:val="2"/>
            <w:vAlign w:val="center"/>
          </w:tcPr>
          <w:p w:rsidR="00446F3D" w:rsidRPr="004B04DB" w:rsidRDefault="00446F3D" w:rsidP="00F21D47">
            <w:pPr>
              <w:pStyle w:val="a3"/>
              <w:ind w:left="0"/>
              <w:rPr>
                <w:rFonts w:ascii="Times New Roman" w:hAnsi="Times New Roman" w:cs="Times New Roman"/>
                <w:b/>
                <w:sz w:val="24"/>
                <w:szCs w:val="24"/>
              </w:rPr>
            </w:pPr>
            <w:r w:rsidRPr="004B04DB">
              <w:rPr>
                <w:rFonts w:ascii="Times New Roman" w:hAnsi="Times New Roman" w:cs="Times New Roman"/>
                <w:b/>
                <w:sz w:val="24"/>
                <w:szCs w:val="24"/>
              </w:rPr>
              <w:t>Total</w:t>
            </w:r>
          </w:p>
        </w:tc>
        <w:tc>
          <w:tcPr>
            <w:tcW w:w="1086" w:type="dxa"/>
            <w:vAlign w:val="center"/>
          </w:tcPr>
          <w:p w:rsidR="00446F3D" w:rsidRPr="004B04DB" w:rsidRDefault="00446F3D" w:rsidP="00F21D47">
            <w:pPr>
              <w:pStyle w:val="a3"/>
              <w:ind w:left="0"/>
              <w:rPr>
                <w:rFonts w:ascii="Times New Roman" w:hAnsi="Times New Roman" w:cs="Times New Roman"/>
                <w:b/>
                <w:sz w:val="24"/>
                <w:szCs w:val="24"/>
              </w:rPr>
            </w:pPr>
            <w:r w:rsidRPr="004B04DB">
              <w:rPr>
                <w:rFonts w:ascii="Times New Roman" w:hAnsi="Times New Roman" w:cs="Times New Roman"/>
                <w:b/>
                <w:sz w:val="24"/>
                <w:szCs w:val="24"/>
              </w:rPr>
              <w:t>9,194.1</w:t>
            </w:r>
          </w:p>
        </w:tc>
        <w:tc>
          <w:tcPr>
            <w:tcW w:w="1087" w:type="dxa"/>
            <w:vAlign w:val="center"/>
          </w:tcPr>
          <w:p w:rsidR="00446F3D" w:rsidRPr="004B04DB" w:rsidRDefault="00446F3D" w:rsidP="00F21D47">
            <w:pPr>
              <w:pStyle w:val="a3"/>
              <w:ind w:left="0"/>
              <w:rPr>
                <w:rFonts w:ascii="Times New Roman" w:hAnsi="Times New Roman" w:cs="Times New Roman"/>
                <w:b/>
                <w:sz w:val="24"/>
                <w:szCs w:val="24"/>
              </w:rPr>
            </w:pPr>
            <w:r w:rsidRPr="004B04DB">
              <w:rPr>
                <w:rFonts w:ascii="Times New Roman" w:hAnsi="Times New Roman" w:cs="Times New Roman"/>
                <w:b/>
                <w:sz w:val="24"/>
                <w:szCs w:val="24"/>
              </w:rPr>
              <w:t>9 109.3</w:t>
            </w:r>
          </w:p>
        </w:tc>
        <w:tc>
          <w:tcPr>
            <w:tcW w:w="1087" w:type="dxa"/>
            <w:vAlign w:val="center"/>
          </w:tcPr>
          <w:p w:rsidR="00446F3D" w:rsidRPr="004B04DB" w:rsidRDefault="00446F3D" w:rsidP="00F21D47">
            <w:pPr>
              <w:pStyle w:val="a3"/>
              <w:ind w:left="0"/>
              <w:rPr>
                <w:rFonts w:ascii="Times New Roman" w:hAnsi="Times New Roman" w:cs="Times New Roman"/>
                <w:b/>
                <w:sz w:val="24"/>
                <w:szCs w:val="24"/>
              </w:rPr>
            </w:pPr>
            <w:r w:rsidRPr="004B04DB">
              <w:rPr>
                <w:rFonts w:ascii="Times New Roman" w:hAnsi="Times New Roman" w:cs="Times New Roman"/>
                <w:b/>
                <w:sz w:val="24"/>
                <w:szCs w:val="24"/>
              </w:rPr>
              <w:t>-0.9%</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A234DF"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34DF" w:rsidRPr="004B04DB" w:rsidRDefault="00A234DF" w:rsidP="00A234DF">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lang w:eastAsia="ru-RU"/>
              </w:rPr>
            </w:pPr>
            <w:r w:rsidRPr="004B04DB">
              <w:rPr>
                <w:rFonts w:ascii="Times New Roman" w:hAnsi="Times New Roman" w:cs="Times New Roman"/>
                <w:b/>
                <w:bCs/>
              </w:rPr>
              <w:t>January-April</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sz w:val="24"/>
                <w:szCs w:val="24"/>
                <w:lang w:eastAsia="ru-RU"/>
              </w:rPr>
            </w:pPr>
            <w:r w:rsidRPr="004B04DB">
              <w:rPr>
                <w:rFonts w:ascii="Times New Roman" w:eastAsia="Times New Roman" w:hAnsi="Times New Roman" w:cs="Times New Roman"/>
                <w:b/>
                <w:bCs/>
                <w:color w:val="000000"/>
                <w:sz w:val="24"/>
                <w:szCs w:val="24"/>
                <w:lang w:eastAsia="ru-RU"/>
              </w:rPr>
              <w:t xml:space="preserve">Δ </w:t>
            </w:r>
            <w:r w:rsidRPr="004B04DB">
              <w:rPr>
                <w:rFonts w:ascii="Times New Roman" w:eastAsia="Times New Roman" w:hAnsi="Times New Roman" w:cs="Times New Roman"/>
                <w:b/>
                <w:bCs/>
                <w:color w:val="000000"/>
                <w:lang w:eastAsia="ru-RU"/>
              </w:rPr>
              <w:t>, %</w:t>
            </w:r>
          </w:p>
        </w:tc>
      </w:tr>
      <w:tr w:rsidR="00A234DF"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sz w:val="24"/>
                <w:szCs w:val="24"/>
                <w:lang w:eastAsia="ru-RU"/>
              </w:rPr>
            </w:pPr>
          </w:p>
        </w:tc>
      </w:tr>
      <w:tr w:rsidR="00A234DF"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 xml:space="preserve">JSC " </w:t>
            </w:r>
            <w:proofErr w:type="spellStart"/>
            <w:r w:rsidRPr="004B04DB">
              <w:rPr>
                <w:rFonts w:ascii="Times New Roman" w:eastAsia="Times New Roman" w:hAnsi="Times New Roman" w:cs="Times New Roman"/>
                <w:b/>
                <w:bCs/>
                <w:color w:val="000000"/>
                <w:lang w:eastAsia="ru-RU"/>
              </w:rPr>
              <w:t>Samruk</w:t>
            </w:r>
            <w:proofErr w:type="spellEnd"/>
            <w:r w:rsidRPr="004B04DB">
              <w:rPr>
                <w:rFonts w:ascii="Times New Roman" w:eastAsia="Times New Roman" w:hAnsi="Times New Roman" w:cs="Times New Roman"/>
                <w:b/>
                <w:bCs/>
                <w:color w:val="000000"/>
                <w:lang w:eastAsia="ru-RU"/>
              </w:rPr>
              <w:t>-Energy "</w:t>
            </w:r>
          </w:p>
        </w:tc>
        <w:tc>
          <w:tcPr>
            <w:tcW w:w="1320"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2548.31</w:t>
            </w:r>
          </w:p>
        </w:tc>
        <w:tc>
          <w:tcPr>
            <w:tcW w:w="1231"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2,777.1</w:t>
            </w:r>
          </w:p>
        </w:tc>
        <w:tc>
          <w:tcPr>
            <w:tcW w:w="1520"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228.8</w:t>
            </w:r>
          </w:p>
        </w:tc>
        <w:tc>
          <w:tcPr>
            <w:tcW w:w="1599" w:type="dxa"/>
            <w:tcBorders>
              <w:top w:val="nil"/>
              <w:left w:val="nil"/>
              <w:bottom w:val="single" w:sz="4" w:space="0" w:color="auto"/>
              <w:right w:val="single" w:sz="4" w:space="0" w:color="auto"/>
            </w:tcBorders>
            <w:shd w:val="clear" w:color="000000" w:fill="C5D9F1"/>
            <w:vAlign w:val="center"/>
          </w:tcPr>
          <w:p w:rsidR="00A234DF" w:rsidRPr="004B04DB" w:rsidRDefault="00A234DF" w:rsidP="00A234DF">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9.0%</w:t>
            </w:r>
          </w:p>
        </w:tc>
      </w:tr>
      <w:tr w:rsidR="00A234DF"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109.67</w:t>
            </w:r>
          </w:p>
        </w:tc>
        <w:tc>
          <w:tcPr>
            <w:tcW w:w="1231"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108.1</w:t>
            </w:r>
          </w:p>
        </w:tc>
        <w:tc>
          <w:tcPr>
            <w:tcW w:w="1520"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bCs/>
                <w:i/>
                <w:iCs/>
                <w:color w:val="000000"/>
              </w:rPr>
            </w:pPr>
            <w:r w:rsidRPr="004B04DB">
              <w:rPr>
                <w:rFonts w:ascii="Times New Roman" w:hAnsi="Times New Roman" w:cs="Times New Roman"/>
                <w:bCs/>
                <w:i/>
                <w:iCs/>
                <w:color w:val="000000"/>
              </w:rPr>
              <w:t>-1.5</w:t>
            </w:r>
          </w:p>
        </w:tc>
        <w:tc>
          <w:tcPr>
            <w:tcW w:w="1599"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bCs/>
                <w:color w:val="000000"/>
              </w:rPr>
            </w:pPr>
            <w:r w:rsidRPr="004B04DB">
              <w:rPr>
                <w:rFonts w:ascii="Times New Roman" w:hAnsi="Times New Roman" w:cs="Times New Roman"/>
                <w:bCs/>
                <w:color w:val="000000"/>
              </w:rPr>
              <w:t>-1.4%</w:t>
            </w:r>
          </w:p>
        </w:tc>
      </w:tr>
      <w:tr w:rsidR="00A234DF"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 xml:space="preserve">JSC </w:t>
            </w:r>
            <w:proofErr w:type="spellStart"/>
            <w:r w:rsidRPr="004B04DB">
              <w:rPr>
                <w:rFonts w:ascii="Times New Roman" w:eastAsia="Times New Roman" w:hAnsi="Times New Roman" w:cs="Times New Roman"/>
                <w:bCs/>
                <w:i/>
                <w:iCs/>
                <w:color w:val="000000"/>
                <w:lang w:eastAsia="ru-RU"/>
              </w:rPr>
              <w:t>Alatau</w:t>
            </w:r>
            <w:proofErr w:type="spellEnd"/>
            <w:r w:rsidRPr="004B04DB">
              <w:rPr>
                <w:rFonts w:ascii="Times New Roman" w:eastAsia="Times New Roman" w:hAnsi="Times New Roman" w:cs="Times New Roman"/>
                <w:bCs/>
                <w:i/>
                <w:iCs/>
                <w:color w:val="000000"/>
                <w:lang w:eastAsia="ru-RU"/>
              </w:rPr>
              <w:t xml:space="preserve"> </w:t>
            </w:r>
            <w:proofErr w:type="spellStart"/>
            <w:r w:rsidRPr="004B04DB">
              <w:rPr>
                <w:rFonts w:ascii="Times New Roman" w:eastAsia="Times New Roman" w:hAnsi="Times New Roman" w:cs="Times New Roman"/>
                <w:bCs/>
                <w:i/>
                <w:iCs/>
                <w:color w:val="000000"/>
                <w:lang w:eastAsia="ru-RU"/>
              </w:rPr>
              <w:t>Zharyk</w:t>
            </w:r>
            <w:proofErr w:type="spellEnd"/>
            <w:r w:rsidRPr="004B04DB">
              <w:rPr>
                <w:rFonts w:ascii="Times New Roman" w:eastAsia="Times New Roman" w:hAnsi="Times New Roman" w:cs="Times New Roman"/>
                <w:bCs/>
                <w:i/>
                <w:iCs/>
                <w:color w:val="000000"/>
                <w:lang w:eastAsia="ru-RU"/>
              </w:rPr>
              <w:t xml:space="preserve"> Companies »</w:t>
            </w:r>
          </w:p>
        </w:tc>
        <w:tc>
          <w:tcPr>
            <w:tcW w:w="1320"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338.05</w:t>
            </w:r>
          </w:p>
        </w:tc>
        <w:tc>
          <w:tcPr>
            <w:tcW w:w="1231"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351.4</w:t>
            </w:r>
          </w:p>
        </w:tc>
        <w:tc>
          <w:tcPr>
            <w:tcW w:w="1520"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bCs/>
                <w:i/>
                <w:iCs/>
                <w:color w:val="000000"/>
              </w:rPr>
            </w:pPr>
            <w:r w:rsidRPr="004B04DB">
              <w:rPr>
                <w:rFonts w:ascii="Times New Roman" w:hAnsi="Times New Roman" w:cs="Times New Roman"/>
                <w:bCs/>
                <w:i/>
                <w:iCs/>
                <w:color w:val="000000"/>
              </w:rPr>
              <w:t>13.4</w:t>
            </w:r>
          </w:p>
        </w:tc>
        <w:tc>
          <w:tcPr>
            <w:tcW w:w="1599"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bCs/>
                <w:color w:val="000000"/>
              </w:rPr>
            </w:pPr>
            <w:r w:rsidRPr="004B04DB">
              <w:rPr>
                <w:rFonts w:ascii="Times New Roman" w:hAnsi="Times New Roman" w:cs="Times New Roman"/>
                <w:bCs/>
                <w:color w:val="000000"/>
              </w:rPr>
              <w:t>3.9%</w:t>
            </w:r>
          </w:p>
        </w:tc>
      </w:tr>
      <w:tr w:rsidR="00A234DF"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2100.59</w:t>
            </w:r>
          </w:p>
        </w:tc>
        <w:tc>
          <w:tcPr>
            <w:tcW w:w="1231"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2317.5</w:t>
            </w:r>
          </w:p>
        </w:tc>
        <w:tc>
          <w:tcPr>
            <w:tcW w:w="1520"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bCs/>
                <w:i/>
                <w:iCs/>
                <w:color w:val="000000"/>
              </w:rPr>
            </w:pPr>
            <w:r w:rsidRPr="004B04DB">
              <w:rPr>
                <w:rFonts w:ascii="Times New Roman" w:hAnsi="Times New Roman" w:cs="Times New Roman"/>
                <w:bCs/>
                <w:i/>
                <w:iCs/>
                <w:color w:val="000000"/>
              </w:rPr>
              <w:t>216.9</w:t>
            </w:r>
          </w:p>
        </w:tc>
        <w:tc>
          <w:tcPr>
            <w:tcW w:w="1599" w:type="dxa"/>
            <w:tcBorders>
              <w:top w:val="nil"/>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hAnsi="Times New Roman" w:cs="Times New Roman"/>
                <w:bCs/>
                <w:color w:val="000000"/>
              </w:rPr>
            </w:pPr>
            <w:r w:rsidRPr="004B04DB">
              <w:rPr>
                <w:rFonts w:ascii="Times New Roman" w:hAnsi="Times New Roman" w:cs="Times New Roman"/>
                <w:bCs/>
                <w:color w:val="000000"/>
              </w:rPr>
              <w:t>10.3%</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0507487"/>
      <w:r w:rsidRPr="007F6813">
        <w:rPr>
          <w:rFonts w:ascii="Times New Roman" w:hAnsi="Times New Roman" w:cs="Times New Roman"/>
          <w:b/>
          <w:color w:val="auto"/>
        </w:rPr>
        <w:t>Coal</w:t>
      </w:r>
      <w:bookmarkEnd w:id="12"/>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3" w:name="_Toc510196472"/>
      <w:bookmarkStart w:id="14" w:name="_Toc65590391"/>
      <w:bookmarkStart w:id="15" w:name="_Toc70507488"/>
      <w:r w:rsidRPr="007F6813">
        <w:rPr>
          <w:rFonts w:ascii="Times New Roman" w:hAnsi="Times New Roman" w:cs="Times New Roman"/>
          <w:i/>
          <w:color w:val="auto"/>
          <w:sz w:val="28"/>
        </w:rPr>
        <w:t>Thermal coal mining in Kazakhstan</w:t>
      </w:r>
      <w:bookmarkEnd w:id="13"/>
      <w:bookmarkEnd w:id="14"/>
      <w:bookmarkEnd w:id="15"/>
    </w:p>
    <w:p w:rsidR="00A234DF" w:rsidRDefault="00A234DF" w:rsidP="00A234DF">
      <w:pPr>
        <w:pStyle w:val="a3"/>
        <w:spacing w:after="0" w:line="240" w:lineRule="auto"/>
        <w:ind w:left="0" w:firstLine="567"/>
        <w:jc w:val="both"/>
        <w:rPr>
          <w:rFonts w:ascii="Times New Roman" w:hAnsi="Times New Roman" w:cs="Times New Roman"/>
          <w:sz w:val="28"/>
          <w:szCs w:val="28"/>
        </w:rPr>
      </w:pPr>
      <w:r w:rsidRPr="004B04DB">
        <w:rPr>
          <w:rFonts w:ascii="Times New Roman" w:hAnsi="Times New Roman" w:cs="Times New Roman"/>
          <w:sz w:val="28"/>
          <w:szCs w:val="28"/>
        </w:rPr>
        <w:t>According to the Bureau of National Statistics, Kazakhstan produced 36,155.6 thousand tons of hard coal in January-April 2021, which is 1% less than in the same period in 2020 (37,003.6 thousand tons).</w:t>
      </w:r>
    </w:p>
    <w:p w:rsidR="0039625F" w:rsidRPr="004B04DB" w:rsidRDefault="0039625F" w:rsidP="00A234DF">
      <w:pPr>
        <w:pStyle w:val="a3"/>
        <w:spacing w:after="0" w:line="240" w:lineRule="auto"/>
        <w:ind w:left="0" w:firstLine="567"/>
        <w:jc w:val="both"/>
        <w:rPr>
          <w:rFonts w:ascii="Times New Roman" w:hAnsi="Times New Roman" w:cs="Times New Roman"/>
          <w:sz w:val="28"/>
          <w:szCs w:val="28"/>
        </w:rPr>
      </w:pPr>
    </w:p>
    <w:p w:rsidR="00A234DF" w:rsidRPr="004B04DB" w:rsidRDefault="00A234DF" w:rsidP="00A234DF">
      <w:pPr>
        <w:pStyle w:val="a3"/>
        <w:spacing w:after="0" w:line="240" w:lineRule="auto"/>
        <w:ind w:left="0" w:firstLine="567"/>
        <w:jc w:val="right"/>
        <w:rPr>
          <w:rFonts w:ascii="Times New Roman" w:hAnsi="Times New Roman" w:cs="Times New Roman"/>
          <w:i/>
          <w:sz w:val="28"/>
        </w:rPr>
      </w:pPr>
      <w:proofErr w:type="gramStart"/>
      <w:r w:rsidRPr="004B04DB">
        <w:rPr>
          <w:rFonts w:ascii="Times New Roman" w:hAnsi="Times New Roman" w:cs="Times New Roman"/>
          <w:i/>
          <w:sz w:val="24"/>
          <w:szCs w:val="24"/>
        </w:rPr>
        <w:t>thousand</w:t>
      </w:r>
      <w:proofErr w:type="gramEnd"/>
      <w:r w:rsidRPr="004B04DB">
        <w:rPr>
          <w:rFonts w:ascii="Times New Roman" w:hAnsi="Times New Roman" w:cs="Times New Roman"/>
          <w:i/>
          <w:sz w:val="24"/>
          <w:szCs w:val="24"/>
        </w:rPr>
        <w:t xml:space="preserve">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A234DF" w:rsidRPr="004B04DB" w:rsidTr="00A234DF">
        <w:trPr>
          <w:trHeight w:val="406"/>
        </w:trPr>
        <w:tc>
          <w:tcPr>
            <w:tcW w:w="566" w:type="dxa"/>
            <w:vMerge w:val="restart"/>
            <w:shd w:val="clear" w:color="auto" w:fill="auto"/>
            <w:vAlign w:val="center"/>
          </w:tcPr>
          <w:p w:rsidR="00A234DF" w:rsidRPr="004B04DB" w:rsidRDefault="00A234DF" w:rsidP="0039625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lastRenderedPageBreak/>
              <w:t xml:space="preserve">No. </w:t>
            </w:r>
          </w:p>
        </w:tc>
        <w:tc>
          <w:tcPr>
            <w:tcW w:w="3685" w:type="dxa"/>
            <w:vMerge w:val="restart"/>
            <w:shd w:val="clear" w:color="auto" w:fill="auto"/>
            <w:vAlign w:val="center"/>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Region</w:t>
            </w:r>
          </w:p>
        </w:tc>
        <w:tc>
          <w:tcPr>
            <w:tcW w:w="3876" w:type="dxa"/>
            <w:gridSpan w:val="2"/>
            <w:shd w:val="clear" w:color="auto" w:fill="auto"/>
            <w:vAlign w:val="center"/>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eastAsia="Times New Roman" w:hAnsi="Times New Roman" w:cs="Times New Roman"/>
                <w:b/>
                <w:bCs/>
                <w:color w:val="000000"/>
                <w:lang w:eastAsia="ru-RU"/>
              </w:rPr>
              <w:t>January-April</w:t>
            </w:r>
          </w:p>
        </w:tc>
        <w:tc>
          <w:tcPr>
            <w:tcW w:w="1938" w:type="dxa"/>
            <w:vMerge w:val="restart"/>
            <w:shd w:val="clear" w:color="auto" w:fill="auto"/>
            <w:vAlign w:val="center"/>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Δ, %</w:t>
            </w:r>
          </w:p>
        </w:tc>
      </w:tr>
      <w:tr w:rsidR="00A234DF" w:rsidRPr="004B04DB" w:rsidTr="00A234DF">
        <w:trPr>
          <w:trHeight w:val="355"/>
        </w:trPr>
        <w:tc>
          <w:tcPr>
            <w:tcW w:w="566" w:type="dxa"/>
            <w:vMerge/>
            <w:shd w:val="clear" w:color="auto" w:fill="B6DDE8" w:themeFill="accent5" w:themeFillTint="66"/>
            <w:vAlign w:val="center"/>
          </w:tcPr>
          <w:p w:rsidR="00A234DF" w:rsidRPr="004B04DB" w:rsidRDefault="00A234DF" w:rsidP="00A234DF">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A234DF" w:rsidRPr="004B04DB" w:rsidRDefault="00A234DF" w:rsidP="00A234DF">
            <w:pPr>
              <w:pStyle w:val="a3"/>
              <w:ind w:left="0"/>
              <w:jc w:val="center"/>
              <w:rPr>
                <w:rFonts w:ascii="Times New Roman" w:hAnsi="Times New Roman" w:cs="Times New Roman"/>
                <w:b/>
                <w:sz w:val="24"/>
                <w:szCs w:val="24"/>
              </w:rPr>
            </w:pPr>
          </w:p>
        </w:tc>
        <w:tc>
          <w:tcPr>
            <w:tcW w:w="1938" w:type="dxa"/>
            <w:shd w:val="clear" w:color="auto" w:fill="auto"/>
            <w:vAlign w:val="center"/>
          </w:tcPr>
          <w:p w:rsidR="00A234DF" w:rsidRPr="004B04DB" w:rsidRDefault="00A234DF" w:rsidP="00A234DF">
            <w:pPr>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2020</w:t>
            </w:r>
          </w:p>
        </w:tc>
        <w:tc>
          <w:tcPr>
            <w:tcW w:w="1938" w:type="dxa"/>
            <w:shd w:val="clear" w:color="auto" w:fill="auto"/>
            <w:vAlign w:val="center"/>
          </w:tcPr>
          <w:p w:rsidR="00A234DF" w:rsidRPr="004B04DB" w:rsidRDefault="00A234DF" w:rsidP="00A234DF">
            <w:pPr>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2021</w:t>
            </w:r>
          </w:p>
        </w:tc>
        <w:tc>
          <w:tcPr>
            <w:tcW w:w="1938" w:type="dxa"/>
            <w:vMerge/>
            <w:shd w:val="clear" w:color="auto" w:fill="auto"/>
            <w:vAlign w:val="center"/>
          </w:tcPr>
          <w:p w:rsidR="00A234DF" w:rsidRPr="004B04DB" w:rsidRDefault="00A234DF" w:rsidP="00A234DF">
            <w:pPr>
              <w:pStyle w:val="a3"/>
              <w:ind w:left="0"/>
              <w:jc w:val="center"/>
              <w:rPr>
                <w:rFonts w:ascii="Times New Roman" w:hAnsi="Times New Roman" w:cs="Times New Roman"/>
                <w:sz w:val="24"/>
                <w:szCs w:val="24"/>
              </w:rPr>
            </w:pPr>
          </w:p>
        </w:tc>
      </w:tr>
      <w:tr w:rsidR="00A234DF" w:rsidRPr="004B04DB" w:rsidTr="00A234DF">
        <w:trPr>
          <w:trHeight w:val="333"/>
        </w:trPr>
        <w:tc>
          <w:tcPr>
            <w:tcW w:w="566" w:type="dxa"/>
            <w:vAlign w:val="center"/>
          </w:tcPr>
          <w:p w:rsidR="00A234DF" w:rsidRPr="004B04DB" w:rsidRDefault="00A234DF" w:rsidP="00A234DF">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w:t>
            </w:r>
          </w:p>
        </w:tc>
        <w:tc>
          <w:tcPr>
            <w:tcW w:w="3685" w:type="dxa"/>
            <w:vAlign w:val="center"/>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Pavlodar</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24198.6</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22645.6</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94%</w:t>
            </w:r>
          </w:p>
        </w:tc>
      </w:tr>
      <w:tr w:rsidR="00A234DF" w:rsidRPr="004B04DB" w:rsidTr="00A234DF">
        <w:trPr>
          <w:trHeight w:val="333"/>
        </w:trPr>
        <w:tc>
          <w:tcPr>
            <w:tcW w:w="566" w:type="dxa"/>
            <w:vAlign w:val="center"/>
          </w:tcPr>
          <w:p w:rsidR="00A234DF" w:rsidRPr="004B04DB" w:rsidRDefault="00A234DF" w:rsidP="00A234DF">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w:t>
            </w:r>
          </w:p>
        </w:tc>
        <w:tc>
          <w:tcPr>
            <w:tcW w:w="3685" w:type="dxa"/>
            <w:vAlign w:val="center"/>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Karaganda</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10568.7</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10789.4</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102%</w:t>
            </w:r>
          </w:p>
        </w:tc>
      </w:tr>
      <w:tr w:rsidR="00A234DF" w:rsidRPr="004B04DB" w:rsidTr="00A234DF">
        <w:trPr>
          <w:trHeight w:val="333"/>
        </w:trPr>
        <w:tc>
          <w:tcPr>
            <w:tcW w:w="566" w:type="dxa"/>
            <w:vAlign w:val="center"/>
          </w:tcPr>
          <w:p w:rsidR="00A234DF" w:rsidRPr="004B04DB" w:rsidRDefault="00A234DF" w:rsidP="00A234DF">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w:t>
            </w:r>
          </w:p>
        </w:tc>
        <w:tc>
          <w:tcPr>
            <w:tcW w:w="3685" w:type="dxa"/>
            <w:vAlign w:val="center"/>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East Kazakhstan</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2181</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2592.9</w:t>
            </w:r>
          </w:p>
        </w:tc>
        <w:tc>
          <w:tcPr>
            <w:tcW w:w="1938" w:type="dxa"/>
          </w:tcPr>
          <w:p w:rsidR="00A234DF" w:rsidRPr="004B04DB" w:rsidRDefault="00A234DF" w:rsidP="00A234DF">
            <w:pPr>
              <w:pStyle w:val="a3"/>
              <w:ind w:left="0"/>
              <w:rPr>
                <w:rFonts w:ascii="Times New Roman" w:hAnsi="Times New Roman" w:cs="Times New Roman"/>
                <w:sz w:val="24"/>
                <w:szCs w:val="24"/>
              </w:rPr>
            </w:pPr>
            <w:r w:rsidRPr="004B04DB">
              <w:rPr>
                <w:rFonts w:ascii="Times New Roman" w:hAnsi="Times New Roman" w:cs="Times New Roman"/>
                <w:sz w:val="24"/>
                <w:szCs w:val="24"/>
              </w:rPr>
              <w:t>119%</w:t>
            </w:r>
          </w:p>
        </w:tc>
      </w:tr>
      <w:tr w:rsidR="00A234DF" w:rsidRPr="004B04DB" w:rsidTr="00A234DF">
        <w:trPr>
          <w:trHeight w:val="333"/>
        </w:trPr>
        <w:tc>
          <w:tcPr>
            <w:tcW w:w="566" w:type="dxa"/>
            <w:vAlign w:val="center"/>
          </w:tcPr>
          <w:p w:rsidR="00A234DF" w:rsidRPr="004B04DB" w:rsidRDefault="00A234DF" w:rsidP="00A234DF">
            <w:pPr>
              <w:pStyle w:val="a3"/>
              <w:ind w:left="0"/>
              <w:jc w:val="center"/>
              <w:rPr>
                <w:rFonts w:ascii="Times New Roman" w:hAnsi="Times New Roman" w:cs="Times New Roman"/>
                <w:sz w:val="24"/>
                <w:szCs w:val="24"/>
              </w:rPr>
            </w:pPr>
          </w:p>
        </w:tc>
        <w:tc>
          <w:tcPr>
            <w:tcW w:w="3685" w:type="dxa"/>
            <w:vAlign w:val="center"/>
          </w:tcPr>
          <w:p w:rsidR="00A234DF" w:rsidRPr="004B04DB" w:rsidRDefault="00A234DF" w:rsidP="00A234DF">
            <w:pPr>
              <w:pStyle w:val="a3"/>
              <w:ind w:left="0"/>
              <w:rPr>
                <w:rFonts w:ascii="Times New Roman" w:hAnsi="Times New Roman" w:cs="Times New Roman"/>
                <w:b/>
                <w:sz w:val="24"/>
                <w:szCs w:val="24"/>
              </w:rPr>
            </w:pPr>
            <w:r w:rsidRPr="004B04DB">
              <w:rPr>
                <w:rFonts w:ascii="Times New Roman" w:hAnsi="Times New Roman" w:cs="Times New Roman"/>
                <w:b/>
                <w:sz w:val="24"/>
                <w:szCs w:val="24"/>
              </w:rPr>
              <w:t>Total for the Republic of Kazakhstan</w:t>
            </w:r>
          </w:p>
        </w:tc>
        <w:tc>
          <w:tcPr>
            <w:tcW w:w="1938" w:type="dxa"/>
            <w:vAlign w:val="center"/>
          </w:tcPr>
          <w:p w:rsidR="00A234DF" w:rsidRPr="004B04DB" w:rsidRDefault="00A234DF" w:rsidP="00A234DF">
            <w:pPr>
              <w:pStyle w:val="a3"/>
              <w:ind w:left="0"/>
              <w:rPr>
                <w:rFonts w:ascii="Times New Roman" w:hAnsi="Times New Roman" w:cs="Times New Roman"/>
                <w:b/>
                <w:sz w:val="24"/>
                <w:szCs w:val="24"/>
              </w:rPr>
            </w:pPr>
            <w:r w:rsidRPr="004B04DB">
              <w:rPr>
                <w:rFonts w:ascii="Times New Roman" w:hAnsi="Times New Roman" w:cs="Times New Roman"/>
                <w:b/>
                <w:sz w:val="24"/>
                <w:szCs w:val="24"/>
              </w:rPr>
              <w:t>37,003.6</w:t>
            </w:r>
          </w:p>
        </w:tc>
        <w:tc>
          <w:tcPr>
            <w:tcW w:w="1938" w:type="dxa"/>
            <w:vAlign w:val="center"/>
          </w:tcPr>
          <w:p w:rsidR="00A234DF" w:rsidRPr="004B04DB" w:rsidRDefault="00A234DF" w:rsidP="00A234DF">
            <w:pPr>
              <w:pStyle w:val="a3"/>
              <w:ind w:left="0"/>
              <w:rPr>
                <w:rFonts w:ascii="Times New Roman" w:hAnsi="Times New Roman" w:cs="Times New Roman"/>
                <w:b/>
                <w:sz w:val="24"/>
                <w:szCs w:val="24"/>
              </w:rPr>
            </w:pPr>
            <w:r w:rsidRPr="004B04DB">
              <w:rPr>
                <w:rFonts w:ascii="Times New Roman" w:hAnsi="Times New Roman" w:cs="Times New Roman"/>
                <w:b/>
                <w:sz w:val="24"/>
                <w:szCs w:val="24"/>
              </w:rPr>
              <w:t>36,155.6</w:t>
            </w:r>
          </w:p>
        </w:tc>
        <w:tc>
          <w:tcPr>
            <w:tcW w:w="1938" w:type="dxa"/>
            <w:vAlign w:val="center"/>
          </w:tcPr>
          <w:p w:rsidR="00A234DF" w:rsidRPr="004B04DB" w:rsidRDefault="00A234DF" w:rsidP="00A234DF">
            <w:pPr>
              <w:pStyle w:val="a3"/>
              <w:ind w:left="0"/>
              <w:rPr>
                <w:rFonts w:ascii="Times New Roman" w:hAnsi="Times New Roman" w:cs="Times New Roman"/>
                <w:b/>
                <w:sz w:val="24"/>
                <w:szCs w:val="24"/>
              </w:rPr>
            </w:pPr>
            <w:r w:rsidRPr="004B04DB">
              <w:rPr>
                <w:rFonts w:ascii="Times New Roman" w:hAnsi="Times New Roman" w:cs="Times New Roman"/>
                <w:b/>
                <w:sz w:val="24"/>
                <w:szCs w:val="24"/>
              </w:rPr>
              <w:t>99%</w:t>
            </w:r>
          </w:p>
        </w:tc>
      </w:tr>
    </w:tbl>
    <w:p w:rsidR="00A234DF" w:rsidRPr="004B04DB" w:rsidRDefault="00A234DF" w:rsidP="00A234DF">
      <w:pPr>
        <w:pStyle w:val="1"/>
        <w:spacing w:before="0" w:line="240" w:lineRule="auto"/>
        <w:jc w:val="center"/>
        <w:rPr>
          <w:rFonts w:ascii="Times New Roman" w:hAnsi="Times New Roman" w:cs="Times New Roman"/>
          <w:i/>
          <w:color w:val="auto"/>
          <w:sz w:val="28"/>
        </w:rPr>
      </w:pPr>
    </w:p>
    <w:p w:rsidR="00A234DF" w:rsidRPr="004B04DB" w:rsidRDefault="00A234DF" w:rsidP="00A234DF">
      <w:pPr>
        <w:pStyle w:val="1"/>
        <w:spacing w:before="0" w:line="240" w:lineRule="auto"/>
        <w:jc w:val="center"/>
        <w:rPr>
          <w:rFonts w:ascii="Times New Roman" w:hAnsi="Times New Roman" w:cs="Times New Roman"/>
          <w:i/>
          <w:color w:val="auto"/>
          <w:sz w:val="28"/>
        </w:rPr>
      </w:pPr>
      <w:r w:rsidRPr="004B04DB">
        <w:rPr>
          <w:rFonts w:ascii="Times New Roman" w:hAnsi="Times New Roman" w:cs="Times New Roman"/>
          <w:i/>
          <w:color w:val="auto"/>
          <w:sz w:val="28"/>
        </w:rPr>
        <w:t xml:space="preserve">Coal mining </w:t>
      </w:r>
      <w:r w:rsidR="0039625F">
        <w:rPr>
          <w:rFonts w:ascii="Times New Roman" w:hAnsi="Times New Roman" w:cs="Times New Roman"/>
          <w:i/>
          <w:color w:val="auto"/>
          <w:sz w:val="28"/>
        </w:rPr>
        <w:t xml:space="preserve">by </w:t>
      </w:r>
      <w:proofErr w:type="spellStart"/>
      <w:r w:rsidRPr="004B04DB">
        <w:rPr>
          <w:rFonts w:ascii="Times New Roman" w:hAnsi="Times New Roman" w:cs="Times New Roman"/>
          <w:i/>
          <w:color w:val="auto"/>
          <w:sz w:val="28"/>
        </w:rPr>
        <w:t>Samruk</w:t>
      </w:r>
      <w:proofErr w:type="spellEnd"/>
      <w:r w:rsidRPr="004B04DB">
        <w:rPr>
          <w:rFonts w:ascii="Times New Roman" w:hAnsi="Times New Roman" w:cs="Times New Roman"/>
          <w:i/>
          <w:color w:val="auto"/>
          <w:sz w:val="28"/>
        </w:rPr>
        <w:t>-Energ</w:t>
      </w:r>
      <w:r w:rsidR="0039625F">
        <w:rPr>
          <w:rFonts w:ascii="Times New Roman" w:hAnsi="Times New Roman" w:cs="Times New Roman"/>
          <w:i/>
          <w:color w:val="auto"/>
          <w:sz w:val="28"/>
        </w:rPr>
        <w:t>y</w:t>
      </w:r>
      <w:r w:rsidRPr="004B04DB">
        <w:rPr>
          <w:rFonts w:ascii="Times New Roman" w:hAnsi="Times New Roman" w:cs="Times New Roman"/>
          <w:i/>
          <w:color w:val="auto"/>
          <w:sz w:val="28"/>
        </w:rPr>
        <w:t xml:space="preserve"> JSC</w:t>
      </w:r>
    </w:p>
    <w:p w:rsidR="00A234DF" w:rsidRPr="004B04DB" w:rsidRDefault="00A234DF" w:rsidP="00A234DF">
      <w:pPr>
        <w:pStyle w:val="a3"/>
        <w:spacing w:after="0" w:line="240" w:lineRule="auto"/>
        <w:ind w:left="0" w:firstLine="567"/>
        <w:jc w:val="both"/>
        <w:rPr>
          <w:rFonts w:ascii="Times New Roman" w:hAnsi="Times New Roman" w:cs="Times New Roman"/>
          <w:sz w:val="28"/>
          <w:szCs w:val="28"/>
        </w:rPr>
      </w:pPr>
      <w:r w:rsidRPr="004B04DB">
        <w:rPr>
          <w:rFonts w:ascii="Times New Roman" w:hAnsi="Times New Roman" w:cs="Times New Roman"/>
          <w:sz w:val="28"/>
          <w:szCs w:val="28"/>
        </w:rPr>
        <w:t>In January-April 2021, Bogatyr Komir LLP produced 15,333 thousand tons, which is 5.5% less than in the corresponding period of 2020 (16,226 thousand tons).</w:t>
      </w:r>
    </w:p>
    <w:p w:rsidR="00A234DF" w:rsidRPr="004B04DB" w:rsidRDefault="00A234DF" w:rsidP="00A234DF">
      <w:pPr>
        <w:pStyle w:val="1"/>
        <w:spacing w:before="0" w:line="240" w:lineRule="auto"/>
        <w:jc w:val="center"/>
        <w:rPr>
          <w:rFonts w:ascii="Times New Roman" w:hAnsi="Times New Roman" w:cs="Times New Roman"/>
          <w:i/>
          <w:color w:val="auto"/>
          <w:sz w:val="28"/>
        </w:rPr>
      </w:pPr>
    </w:p>
    <w:p w:rsidR="00A234DF" w:rsidRPr="004B04DB" w:rsidRDefault="00A234DF" w:rsidP="00A234DF">
      <w:pPr>
        <w:pStyle w:val="1"/>
        <w:spacing w:before="0" w:line="240" w:lineRule="auto"/>
        <w:jc w:val="center"/>
        <w:rPr>
          <w:rFonts w:ascii="Times New Roman" w:hAnsi="Times New Roman" w:cs="Times New Roman"/>
          <w:i/>
          <w:color w:val="auto"/>
          <w:sz w:val="28"/>
        </w:rPr>
      </w:pPr>
      <w:bookmarkStart w:id="16" w:name="_Toc510196474"/>
      <w:r w:rsidRPr="004B04DB">
        <w:rPr>
          <w:rFonts w:ascii="Times New Roman" w:hAnsi="Times New Roman" w:cs="Times New Roman"/>
          <w:i/>
          <w:color w:val="auto"/>
          <w:sz w:val="28"/>
        </w:rPr>
        <w:t xml:space="preserve">Sale of coal by </w:t>
      </w:r>
      <w:proofErr w:type="spellStart"/>
      <w:r w:rsidRPr="004B04DB">
        <w:rPr>
          <w:rFonts w:ascii="Times New Roman" w:hAnsi="Times New Roman" w:cs="Times New Roman"/>
          <w:i/>
          <w:color w:val="auto"/>
          <w:sz w:val="28"/>
        </w:rPr>
        <w:t>Samruk</w:t>
      </w:r>
      <w:proofErr w:type="spellEnd"/>
      <w:r w:rsidRPr="004B04DB">
        <w:rPr>
          <w:rFonts w:ascii="Times New Roman" w:hAnsi="Times New Roman" w:cs="Times New Roman"/>
          <w:i/>
          <w:color w:val="auto"/>
          <w:sz w:val="28"/>
        </w:rPr>
        <w:t>-Energy JSC</w:t>
      </w:r>
      <w:bookmarkEnd w:id="16"/>
    </w:p>
    <w:p w:rsidR="00A234DF" w:rsidRPr="004B04DB" w:rsidRDefault="00A234DF" w:rsidP="00A234DF">
      <w:pPr>
        <w:pStyle w:val="a3"/>
        <w:spacing w:after="0" w:line="240" w:lineRule="auto"/>
        <w:ind w:left="0" w:firstLine="567"/>
        <w:jc w:val="both"/>
        <w:rPr>
          <w:rFonts w:ascii="Times New Roman" w:hAnsi="Times New Roman" w:cs="Times New Roman"/>
          <w:sz w:val="28"/>
          <w:szCs w:val="28"/>
        </w:rPr>
      </w:pPr>
      <w:r w:rsidRPr="004B04DB">
        <w:rPr>
          <w:rFonts w:ascii="Times New Roman" w:hAnsi="Times New Roman" w:cs="Times New Roman"/>
          <w:sz w:val="28"/>
          <w:szCs w:val="28"/>
        </w:rPr>
        <w:t>In January-April 2021, 15,499 thousand tons were sold, including :</w:t>
      </w:r>
    </w:p>
    <w:p w:rsidR="00A234DF" w:rsidRPr="004B04DB" w:rsidRDefault="00A234DF" w:rsidP="00A234DF">
      <w:pPr>
        <w:pStyle w:val="a3"/>
        <w:spacing w:after="0" w:line="240" w:lineRule="auto"/>
        <w:ind w:left="0" w:firstLine="567"/>
        <w:jc w:val="both"/>
        <w:rPr>
          <w:rFonts w:ascii="Times New Roman" w:hAnsi="Times New Roman" w:cs="Times New Roman"/>
          <w:sz w:val="28"/>
          <w:szCs w:val="28"/>
        </w:rPr>
      </w:pPr>
      <w:r w:rsidRPr="004B04DB">
        <w:rPr>
          <w:rFonts w:ascii="Times New Roman" w:hAnsi="Times New Roman" w:cs="Times New Roman"/>
          <w:sz w:val="28"/>
          <w:szCs w:val="28"/>
        </w:rPr>
        <w:t>- to the domestic market of the Republic of Kazakhstan 13,295 thousand tons, which is 2.7% more than in the corresponding period of 2020 (12,941 thousand tons);</w:t>
      </w:r>
    </w:p>
    <w:p w:rsidR="00A234DF" w:rsidRPr="004B04DB" w:rsidRDefault="00A234DF" w:rsidP="00A234DF">
      <w:pPr>
        <w:pStyle w:val="a3"/>
        <w:spacing w:after="0" w:line="240" w:lineRule="auto"/>
        <w:ind w:left="0" w:firstLine="567"/>
        <w:jc w:val="both"/>
        <w:rPr>
          <w:rFonts w:ascii="Times New Roman" w:hAnsi="Times New Roman" w:cs="Times New Roman"/>
          <w:sz w:val="28"/>
          <w:szCs w:val="28"/>
        </w:rPr>
      </w:pPr>
      <w:r w:rsidRPr="004B04DB">
        <w:rPr>
          <w:rFonts w:ascii="Times New Roman" w:hAnsi="Times New Roman" w:cs="Times New Roman"/>
          <w:sz w:val="28"/>
          <w:szCs w:val="28"/>
        </w:rPr>
        <w:t>- for export (RF) - 2,204 thousand tons, which is 33.8% less than in the corresponding period of 2020 (3,331 thousand tons).</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6C5FA9" w:rsidRPr="007F6813" w:rsidTr="00AE4427">
        <w:trPr>
          <w:gridAfter w:val="2"/>
          <w:wAfter w:w="3876" w:type="dxa"/>
          <w:trHeight w:val="355"/>
        </w:trPr>
        <w:tc>
          <w:tcPr>
            <w:tcW w:w="567" w:type="dxa"/>
            <w:vMerge/>
            <w:shd w:val="clear" w:color="auto" w:fill="B6DDE8" w:themeFill="accent5" w:themeFillTint="66"/>
            <w:vAlign w:val="center"/>
          </w:tcPr>
          <w:p w:rsidR="006C5FA9" w:rsidRPr="007F6813" w:rsidRDefault="006C5FA9" w:rsidP="00BF417E">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C5FA9" w:rsidRPr="007F6813" w:rsidRDefault="006C5FA9" w:rsidP="00BF417E">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C5FA9" w:rsidRPr="00C67537" w:rsidRDefault="006C5FA9" w:rsidP="00A234D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January-April 2020</w:t>
            </w:r>
          </w:p>
        </w:tc>
        <w:tc>
          <w:tcPr>
            <w:tcW w:w="1938" w:type="dxa"/>
            <w:shd w:val="clear" w:color="auto" w:fill="C6D9F1" w:themeFill="text2" w:themeFillTint="33"/>
            <w:vAlign w:val="center"/>
          </w:tcPr>
          <w:p w:rsidR="006C5FA9" w:rsidRPr="00C67537" w:rsidRDefault="006C5FA9" w:rsidP="00A234D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January-April 2021</w:t>
            </w:r>
          </w:p>
        </w:tc>
        <w:tc>
          <w:tcPr>
            <w:tcW w:w="1938" w:type="dxa"/>
            <w:vMerge/>
            <w:shd w:val="clear" w:color="auto" w:fill="auto"/>
            <w:vAlign w:val="center"/>
          </w:tcPr>
          <w:p w:rsidR="006C5FA9" w:rsidRPr="007F6813" w:rsidRDefault="006C5FA9" w:rsidP="00BF417E">
            <w:pPr>
              <w:pStyle w:val="a3"/>
              <w:tabs>
                <w:tab w:val="left" w:pos="0"/>
              </w:tabs>
              <w:ind w:left="0"/>
              <w:jc w:val="center"/>
              <w:rPr>
                <w:rFonts w:ascii="Times New Roman" w:hAnsi="Times New Roman" w:cs="Times New Roman"/>
                <w:sz w:val="24"/>
                <w:szCs w:val="24"/>
              </w:rPr>
            </w:pPr>
          </w:p>
        </w:tc>
      </w:tr>
      <w:tr w:rsidR="00A234DF" w:rsidRPr="007F6813" w:rsidTr="006C5FA9">
        <w:trPr>
          <w:gridAfter w:val="2"/>
          <w:wAfter w:w="3876" w:type="dxa"/>
          <w:trHeight w:val="315"/>
        </w:trPr>
        <w:tc>
          <w:tcPr>
            <w:tcW w:w="4252" w:type="dxa"/>
            <w:gridSpan w:val="2"/>
            <w:shd w:val="clear" w:color="auto" w:fill="auto"/>
            <w:vAlign w:val="center"/>
          </w:tcPr>
          <w:p w:rsidR="00A234DF" w:rsidRPr="007F6813" w:rsidRDefault="00A234DF" w:rsidP="00A234DF">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12 941</w:t>
            </w:r>
          </w:p>
        </w:tc>
        <w:tc>
          <w:tcPr>
            <w:tcW w:w="1938" w:type="dxa"/>
            <w:shd w:val="clear" w:color="auto" w:fill="auto"/>
            <w:vAlign w:val="bottom"/>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13 295</w:t>
            </w:r>
          </w:p>
        </w:tc>
        <w:tc>
          <w:tcPr>
            <w:tcW w:w="1938" w:type="dxa"/>
            <w:shd w:val="clear" w:color="auto" w:fill="auto"/>
            <w:vAlign w:val="bottom"/>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102.7%</w:t>
            </w:r>
          </w:p>
        </w:tc>
      </w:tr>
      <w:tr w:rsidR="00A234DF" w:rsidRPr="007F6813" w:rsidTr="006C5FA9">
        <w:trPr>
          <w:trHeight w:val="315"/>
        </w:trPr>
        <w:tc>
          <w:tcPr>
            <w:tcW w:w="4252" w:type="dxa"/>
            <w:gridSpan w:val="2"/>
            <w:shd w:val="clear" w:color="auto" w:fill="auto"/>
            <w:vAlign w:val="center"/>
          </w:tcPr>
          <w:p w:rsidR="00A234DF" w:rsidRPr="007F6813" w:rsidRDefault="00A234DF" w:rsidP="00A234DF">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3331</w:t>
            </w:r>
          </w:p>
        </w:tc>
        <w:tc>
          <w:tcPr>
            <w:tcW w:w="1938" w:type="dxa"/>
            <w:shd w:val="clear" w:color="auto" w:fill="auto"/>
            <w:vAlign w:val="center"/>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2204</w:t>
            </w:r>
          </w:p>
        </w:tc>
        <w:tc>
          <w:tcPr>
            <w:tcW w:w="1938" w:type="dxa"/>
            <w:shd w:val="clear" w:color="auto" w:fill="auto"/>
            <w:vAlign w:val="center"/>
          </w:tcPr>
          <w:p w:rsidR="00A234DF" w:rsidRPr="004B04DB" w:rsidRDefault="00A234DF" w:rsidP="00A234DF">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33.8%</w:t>
            </w:r>
          </w:p>
        </w:tc>
        <w:tc>
          <w:tcPr>
            <w:tcW w:w="1938" w:type="dxa"/>
            <w:vAlign w:val="center"/>
          </w:tcPr>
          <w:p w:rsidR="00A234DF" w:rsidRPr="00C67537" w:rsidRDefault="00A234DF" w:rsidP="00A234D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A234DF" w:rsidRPr="00C67537" w:rsidRDefault="00A234DF" w:rsidP="00A234DF">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A234DF" w:rsidRPr="004B04DB" w:rsidRDefault="00A234DF" w:rsidP="00A234DF">
      <w:pPr>
        <w:pStyle w:val="a3"/>
        <w:spacing w:after="0" w:line="240" w:lineRule="auto"/>
        <w:ind w:left="0" w:firstLine="567"/>
        <w:jc w:val="both"/>
        <w:rPr>
          <w:rFonts w:ascii="Times New Roman" w:hAnsi="Times New Roman" w:cs="Times New Roman"/>
          <w:sz w:val="28"/>
          <w:szCs w:val="28"/>
        </w:rPr>
      </w:pPr>
      <w:bookmarkStart w:id="17" w:name="_Toc31296322"/>
      <w:r w:rsidRPr="004B04DB">
        <w:rPr>
          <w:rFonts w:ascii="Times New Roman" w:hAnsi="Times New Roman" w:cs="Times New Roman"/>
          <w:sz w:val="28"/>
          <w:szCs w:val="28"/>
        </w:rPr>
        <w:t>According to the indicators for January-April 2021, compared to the same period in 2020, the Company observed a decrease in coal sales by 4.8%.</w:t>
      </w:r>
    </w:p>
    <w:p w:rsidR="00BA158D" w:rsidRPr="0091737D" w:rsidRDefault="00BA158D" w:rsidP="00BF417E">
      <w:pPr>
        <w:spacing w:after="0" w:line="240" w:lineRule="auto"/>
        <w:rPr>
          <w:rFonts w:ascii="Times New Roman" w:hAnsi="Times New Roman" w:cs="Times New Roman"/>
        </w:rPr>
      </w:pPr>
    </w:p>
    <w:p w:rsidR="00BA158D" w:rsidRPr="0091737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18" w:name="_Toc503289885"/>
      <w:bookmarkStart w:id="19" w:name="_Toc65566415"/>
      <w:bookmarkStart w:id="20" w:name="_Toc70507491"/>
      <w:r w:rsidRPr="0091737D">
        <w:rPr>
          <w:rFonts w:ascii="Times New Roman" w:hAnsi="Times New Roman" w:cs="Times New Roman"/>
          <w:b/>
          <w:color w:val="auto"/>
        </w:rPr>
        <w:t>Renewable energy sources</w:t>
      </w:r>
      <w:bookmarkEnd w:id="18"/>
      <w:bookmarkEnd w:id="19"/>
      <w:bookmarkEnd w:id="20"/>
    </w:p>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A234DF" w:rsidRPr="004B04DB" w:rsidRDefault="00A234DF" w:rsidP="00A234DF">
      <w:pPr>
        <w:spacing w:after="0" w:line="240" w:lineRule="auto"/>
        <w:ind w:firstLine="708"/>
        <w:jc w:val="both"/>
        <w:rPr>
          <w:rFonts w:ascii="Times New Roman" w:hAnsi="Times New Roman" w:cs="Times New Roman"/>
          <w:sz w:val="28"/>
        </w:rPr>
      </w:pPr>
      <w:r w:rsidRPr="004B04DB">
        <w:rPr>
          <w:rFonts w:ascii="Times New Roman" w:hAnsi="Times New Roman" w:cs="Times New Roman"/>
          <w:sz w:val="28"/>
        </w:rPr>
        <w:t>According to the system operator, the volume of electricity production by renewable energy facilities (SPP, WPP, BGS, small HPPs) of the Republic of Kazakhstan in January-April 2021 amounted to 1167 million kWh . Compared to the period January-April 2020 (312.3 million kWh ), the increase was 1.4%.</w:t>
      </w:r>
    </w:p>
    <w:p w:rsidR="00A234DF" w:rsidRPr="004B04DB" w:rsidRDefault="00A234DF" w:rsidP="00A234DF">
      <w:pPr>
        <w:spacing w:after="0" w:line="240" w:lineRule="auto"/>
        <w:ind w:firstLine="708"/>
        <w:jc w:val="right"/>
        <w:rPr>
          <w:rFonts w:ascii="Times New Roman" w:hAnsi="Times New Roman" w:cs="Times New Roman"/>
          <w:sz w:val="24"/>
        </w:rPr>
      </w:pPr>
      <w:r w:rsidRPr="004B04DB">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156"/>
        <w:gridCol w:w="1196"/>
        <w:gridCol w:w="1503"/>
        <w:gridCol w:w="1196"/>
        <w:gridCol w:w="1503"/>
        <w:gridCol w:w="1041"/>
        <w:gridCol w:w="774"/>
      </w:tblGrid>
      <w:tr w:rsidR="00A234DF" w:rsidRPr="004B04DB" w:rsidTr="00A234DF">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sz w:val="24"/>
                <w:szCs w:val="24"/>
                <w:lang w:eastAsia="ru-RU"/>
              </w:rPr>
            </w:pPr>
            <w:r w:rsidRPr="004B04DB">
              <w:rPr>
                <w:rFonts w:ascii="Times New Roman" w:eastAsia="Times New Roman" w:hAnsi="Times New Roman" w:cs="Times New Roman"/>
                <w:b/>
                <w:bCs/>
                <w:color w:val="000000"/>
                <w:sz w:val="24"/>
                <w:szCs w:val="24"/>
                <w:lang w:eastAsia="ru-RU"/>
              </w:rPr>
              <w:t>No.</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2188"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39625F" w:rsidP="00A234D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eastAsia="ru-RU"/>
              </w:rPr>
              <w:t>1</w:t>
            </w:r>
          </w:p>
        </w:tc>
        <w:tc>
          <w:tcPr>
            <w:tcW w:w="2034" w:type="dxa"/>
            <w:gridSpan w:val="2"/>
            <w:tcBorders>
              <w:top w:val="single" w:sz="4" w:space="0" w:color="auto"/>
              <w:left w:val="nil"/>
              <w:bottom w:val="single" w:sz="4" w:space="0" w:color="auto"/>
              <w:right w:val="single" w:sz="4" w:space="0" w:color="auto"/>
            </w:tcBorders>
            <w:shd w:val="clear" w:color="auto" w:fill="auto"/>
            <w:vAlign w:val="bottom"/>
            <w:hideMark/>
          </w:tcPr>
          <w:p w:rsidR="0039625F" w:rsidRDefault="00A234DF" w:rsidP="0039625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xml:space="preserve">Deviation </w:t>
            </w:r>
          </w:p>
          <w:p w:rsidR="00A234DF" w:rsidRPr="004B04DB" w:rsidRDefault="00A234DF" w:rsidP="0039625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w:t>
            </w:r>
            <w:r w:rsidR="0039625F">
              <w:rPr>
                <w:rFonts w:ascii="Times New Roman" w:eastAsia="Times New Roman" w:hAnsi="Times New Roman" w:cs="Times New Roman"/>
                <w:b/>
                <w:bCs/>
                <w:sz w:val="24"/>
                <w:szCs w:val="24"/>
                <w:lang w:val="en-US" w:eastAsia="ru-RU"/>
              </w:rPr>
              <w:t>2</w:t>
            </w:r>
            <w:r w:rsidRPr="004B04DB">
              <w:rPr>
                <w:rFonts w:ascii="Times New Roman" w:eastAsia="Times New Roman" w:hAnsi="Times New Roman" w:cs="Times New Roman"/>
                <w:b/>
                <w:bCs/>
                <w:sz w:val="24"/>
                <w:szCs w:val="24"/>
                <w:lang w:eastAsia="ru-RU"/>
              </w:rPr>
              <w:t>0/2</w:t>
            </w:r>
            <w:r w:rsidR="0039625F">
              <w:rPr>
                <w:rFonts w:ascii="Times New Roman" w:eastAsia="Times New Roman" w:hAnsi="Times New Roman" w:cs="Times New Roman"/>
                <w:b/>
                <w:bCs/>
                <w:sz w:val="24"/>
                <w:szCs w:val="24"/>
                <w:lang w:eastAsia="ru-RU"/>
              </w:rPr>
              <w:t>021</w:t>
            </w:r>
          </w:p>
        </w:tc>
      </w:tr>
      <w:tr w:rsidR="00A234DF" w:rsidRPr="004B04DB" w:rsidTr="00A234DF">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sz w:val="24"/>
                <w:szCs w:val="24"/>
                <w:lang w:eastAsia="ru-RU"/>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January-April</w:t>
            </w:r>
          </w:p>
        </w:tc>
        <w:tc>
          <w:tcPr>
            <w:tcW w:w="99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January-April</w:t>
            </w:r>
          </w:p>
        </w:tc>
        <w:tc>
          <w:tcPr>
            <w:tcW w:w="992"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million kWh</w:t>
            </w:r>
          </w:p>
        </w:tc>
        <w:tc>
          <w:tcPr>
            <w:tcW w:w="993"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w:t>
            </w:r>
          </w:p>
        </w:tc>
      </w:tr>
      <w:tr w:rsidR="00A234DF" w:rsidRPr="004B04DB" w:rsidTr="00A234DF">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37,613.8</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40,036.3</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2422.5</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w:t>
            </w:r>
          </w:p>
        </w:tc>
      </w:tr>
      <w:tr w:rsidR="00A234DF" w:rsidRPr="004B04DB" w:rsidTr="00A234DF">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I</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xml:space="preserve">Total RES in the Republic of Kazakhstan, </w:t>
            </w:r>
            <w:proofErr w:type="spellStart"/>
            <w:r w:rsidRPr="004B04DB">
              <w:rPr>
                <w:rFonts w:ascii="Times New Roman" w:eastAsia="Times New Roman" w:hAnsi="Times New Roman" w:cs="Times New Roman"/>
                <w:b/>
                <w:bCs/>
                <w:sz w:val="24"/>
                <w:szCs w:val="24"/>
                <w:lang w:eastAsia="ru-RU"/>
              </w:rPr>
              <w:t>incl</w:t>
            </w:r>
            <w:proofErr w:type="spellEnd"/>
            <w:r w:rsidRPr="004B04DB">
              <w:rPr>
                <w:rFonts w:ascii="Times New Roman" w:eastAsia="Times New Roman" w:hAnsi="Times New Roman" w:cs="Times New Roman"/>
                <w:b/>
                <w:bCs/>
                <w:sz w:val="24"/>
                <w:szCs w:val="24"/>
                <w:lang w:eastAsia="ru-RU"/>
              </w:rPr>
              <w:t xml:space="preserve"> . by zones</w:t>
            </w:r>
          </w:p>
        </w:tc>
        <w:tc>
          <w:tcPr>
            <w:tcW w:w="11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854.7</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2.3%</w:t>
            </w:r>
          </w:p>
        </w:tc>
        <w:tc>
          <w:tcPr>
            <w:tcW w:w="11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1167.0</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2.9%</w:t>
            </w:r>
          </w:p>
        </w:tc>
        <w:tc>
          <w:tcPr>
            <w:tcW w:w="1041"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312.3</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1.4%</w:t>
            </w:r>
          </w:p>
        </w:tc>
      </w:tr>
      <w:tr w:rsidR="00A234DF" w:rsidRPr="004B04DB" w:rsidTr="00A234DF">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287.8</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33.7%</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484.5</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41.5%</w:t>
            </w:r>
          </w:p>
        </w:tc>
        <w:tc>
          <w:tcPr>
            <w:tcW w:w="1041"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196.7</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1.7%</w:t>
            </w:r>
          </w:p>
        </w:tc>
      </w:tr>
      <w:tr w:rsidR="00A234DF" w:rsidRPr="004B04DB" w:rsidTr="00A234DF">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lastRenderedPageBreak/>
              <w:t>2.</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413.2</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48.3%</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568.9</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48.7%</w:t>
            </w:r>
          </w:p>
        </w:tc>
        <w:tc>
          <w:tcPr>
            <w:tcW w:w="1041"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155.7</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1.4%</w:t>
            </w:r>
          </w:p>
        </w:tc>
      </w:tr>
      <w:tr w:rsidR="00A234DF" w:rsidRPr="004B04DB" w:rsidTr="00A234DF">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i/>
                <w:iCs/>
                <w:color w:val="000000"/>
                <w:sz w:val="24"/>
                <w:szCs w:val="24"/>
                <w:lang w:eastAsia="ru-RU"/>
              </w:rPr>
            </w:pPr>
            <w:r w:rsidRPr="004B04DB">
              <w:rPr>
                <w:rFonts w:ascii="Times New Roman" w:eastAsia="Times New Roman" w:hAnsi="Times New Roman" w:cs="Times New Roman"/>
                <w:i/>
                <w:iCs/>
                <w:color w:val="000000"/>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153.7</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18.0%</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113.6</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-40.1</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0.7%</w:t>
            </w:r>
          </w:p>
        </w:tc>
      </w:tr>
      <w:tr w:rsidR="00A234DF" w:rsidRPr="004B04DB" w:rsidTr="00A234DF">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II</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xml:space="preserve">Total RES in the Republic of Kazakhstan, </w:t>
            </w:r>
            <w:proofErr w:type="spellStart"/>
            <w:r w:rsidRPr="004B04DB">
              <w:rPr>
                <w:rFonts w:ascii="Times New Roman" w:eastAsia="Times New Roman" w:hAnsi="Times New Roman" w:cs="Times New Roman"/>
                <w:b/>
                <w:bCs/>
                <w:sz w:val="24"/>
                <w:szCs w:val="24"/>
                <w:lang w:eastAsia="ru-RU"/>
              </w:rPr>
              <w:t>incl</w:t>
            </w:r>
            <w:proofErr w:type="spellEnd"/>
            <w:r w:rsidRPr="004B04DB">
              <w:rPr>
                <w:rFonts w:ascii="Times New Roman" w:eastAsia="Times New Roman" w:hAnsi="Times New Roman" w:cs="Times New Roman"/>
                <w:b/>
                <w:bCs/>
                <w:sz w:val="24"/>
                <w:szCs w:val="24"/>
                <w:lang w:eastAsia="ru-RU"/>
              </w:rPr>
              <w:t xml:space="preserve"> . by type</w:t>
            </w:r>
          </w:p>
        </w:tc>
        <w:tc>
          <w:tcPr>
            <w:tcW w:w="11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854.7</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2.3%</w:t>
            </w:r>
          </w:p>
        </w:tc>
        <w:tc>
          <w:tcPr>
            <w:tcW w:w="11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1166.7</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2.9%</w:t>
            </w:r>
          </w:p>
        </w:tc>
        <w:tc>
          <w:tcPr>
            <w:tcW w:w="1041"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312.3</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1.4%</w:t>
            </w:r>
          </w:p>
        </w:tc>
      </w:tr>
      <w:tr w:rsidR="00A234DF" w:rsidRPr="004B04DB" w:rsidTr="00A234DF">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364.0</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42.6%</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436.9</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37.4%</w:t>
            </w:r>
          </w:p>
        </w:tc>
        <w:tc>
          <w:tcPr>
            <w:tcW w:w="1041"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72.9</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1.2%</w:t>
            </w:r>
          </w:p>
        </w:tc>
      </w:tr>
      <w:tr w:rsidR="00A234DF" w:rsidRPr="004B04DB" w:rsidTr="00A234DF">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325.8</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38.1%</w:t>
            </w:r>
          </w:p>
        </w:tc>
        <w:tc>
          <w:tcPr>
            <w:tcW w:w="1196"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563.7</w:t>
            </w:r>
          </w:p>
        </w:tc>
        <w:tc>
          <w:tcPr>
            <w:tcW w:w="99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48.3%</w:t>
            </w:r>
          </w:p>
        </w:tc>
        <w:tc>
          <w:tcPr>
            <w:tcW w:w="1041" w:type="dxa"/>
            <w:tcBorders>
              <w:top w:val="nil"/>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237.9</w:t>
            </w:r>
          </w:p>
        </w:tc>
        <w:tc>
          <w:tcPr>
            <w:tcW w:w="993" w:type="dxa"/>
            <w:tcBorders>
              <w:top w:val="nil"/>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1.7%</w:t>
            </w:r>
          </w:p>
        </w:tc>
      </w:tr>
      <w:tr w:rsidR="00A234DF" w:rsidRPr="004B04DB" w:rsidTr="00A234DF">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163.9</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19.2%</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163.3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14.0%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-0.6</w:t>
            </w:r>
          </w:p>
        </w:tc>
        <w:tc>
          <w:tcPr>
            <w:tcW w:w="993" w:type="dxa"/>
            <w:tcBorders>
              <w:top w:val="single" w:sz="4" w:space="0" w:color="auto"/>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1.0%</w:t>
            </w:r>
          </w:p>
        </w:tc>
      </w:tr>
      <w:tr w:rsidR="00A234DF" w:rsidRPr="004B04DB" w:rsidTr="00A234DF">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3066" w:type="dxa"/>
            <w:tcBorders>
              <w:top w:val="single" w:sz="4" w:space="0" w:color="auto"/>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rPr>
                <w:rFonts w:ascii="Times New Roman" w:eastAsia="Times New Roman" w:hAnsi="Times New Roman" w:cs="Times New Roman"/>
                <w:i/>
                <w:iCs/>
                <w:sz w:val="24"/>
                <w:szCs w:val="24"/>
                <w:lang w:eastAsia="ru-RU"/>
              </w:rPr>
            </w:pPr>
            <w:proofErr w:type="spellStart"/>
            <w:r w:rsidRPr="004B04DB">
              <w:rPr>
                <w:rFonts w:ascii="Times New Roman" w:eastAsia="Times New Roman" w:hAnsi="Times New Roman" w:cs="Times New Roman"/>
                <w:i/>
                <w:iCs/>
                <w:sz w:val="24"/>
                <w:szCs w:val="24"/>
                <w:lang w:eastAsia="ru-RU"/>
              </w:rPr>
              <w:t>BiogasInstallations</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1.0</w:t>
            </w:r>
          </w:p>
        </w:tc>
        <w:tc>
          <w:tcPr>
            <w:tcW w:w="996" w:type="dxa"/>
            <w:tcBorders>
              <w:top w:val="single" w:sz="4" w:space="0" w:color="auto"/>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2.8</w:t>
            </w:r>
          </w:p>
        </w:tc>
        <w:tc>
          <w:tcPr>
            <w:tcW w:w="992" w:type="dxa"/>
            <w:tcBorders>
              <w:top w:val="single" w:sz="4" w:space="0" w:color="auto"/>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1.8</w:t>
            </w:r>
          </w:p>
        </w:tc>
        <w:tc>
          <w:tcPr>
            <w:tcW w:w="993" w:type="dxa"/>
            <w:tcBorders>
              <w:top w:val="single" w:sz="4" w:space="0" w:color="auto"/>
              <w:left w:val="nil"/>
              <w:bottom w:val="single" w:sz="4" w:space="0" w:color="auto"/>
              <w:right w:val="single" w:sz="4" w:space="0" w:color="auto"/>
            </w:tcBorders>
            <w:shd w:val="clear" w:color="auto" w:fill="auto"/>
            <w:vAlign w:val="bottom"/>
          </w:tcPr>
          <w:p w:rsidR="00A234DF" w:rsidRPr="004B04DB" w:rsidRDefault="00A234DF" w:rsidP="00A234DF">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2.8%</w:t>
            </w:r>
          </w:p>
        </w:tc>
      </w:tr>
    </w:tbl>
    <w:p w:rsidR="00A234DF" w:rsidRPr="004B04DB" w:rsidRDefault="00A234DF" w:rsidP="00A234DF">
      <w:pPr>
        <w:spacing w:after="0" w:line="240" w:lineRule="auto"/>
        <w:ind w:firstLine="708"/>
        <w:jc w:val="both"/>
        <w:rPr>
          <w:rFonts w:ascii="Times New Roman" w:hAnsi="Times New Roman" w:cs="Times New Roman"/>
          <w:sz w:val="28"/>
        </w:rPr>
      </w:pPr>
    </w:p>
    <w:p w:rsidR="00A234DF" w:rsidRPr="004B04DB" w:rsidRDefault="00A234DF" w:rsidP="00A234DF">
      <w:pPr>
        <w:spacing w:after="0" w:line="240" w:lineRule="auto"/>
        <w:ind w:firstLine="708"/>
        <w:jc w:val="both"/>
        <w:rPr>
          <w:rFonts w:ascii="Times New Roman" w:hAnsi="Times New Roman" w:cs="Times New Roman"/>
          <w:sz w:val="28"/>
        </w:rPr>
      </w:pPr>
      <w:r w:rsidRPr="004B04DB">
        <w:rPr>
          <w:rFonts w:ascii="Times New Roman" w:hAnsi="Times New Roman" w:cs="Times New Roman"/>
          <w:sz w:val="28"/>
        </w:rPr>
        <w:t>January-April 2021 there is an increase in electricity production by small hydropower plants compared to the same period in 2020.</w:t>
      </w:r>
    </w:p>
    <w:p w:rsidR="00A234DF" w:rsidRPr="004B04DB" w:rsidRDefault="00A234DF" w:rsidP="00A234DF">
      <w:pPr>
        <w:spacing w:after="0" w:line="240" w:lineRule="auto"/>
        <w:ind w:firstLine="709"/>
        <w:jc w:val="right"/>
        <w:rPr>
          <w:rFonts w:ascii="Times New Roman" w:hAnsi="Times New Roman" w:cs="Times New Roman"/>
          <w:sz w:val="24"/>
        </w:rPr>
      </w:pPr>
    </w:p>
    <w:p w:rsidR="00A234DF" w:rsidRPr="004B04DB" w:rsidRDefault="00A234DF" w:rsidP="00A234DF">
      <w:pPr>
        <w:spacing w:after="0" w:line="240" w:lineRule="auto"/>
        <w:ind w:firstLine="709"/>
        <w:jc w:val="right"/>
        <w:rPr>
          <w:rFonts w:ascii="Times New Roman" w:hAnsi="Times New Roman" w:cs="Times New Roman"/>
          <w:sz w:val="24"/>
        </w:rPr>
      </w:pPr>
      <w:r w:rsidRPr="004B04DB">
        <w:rPr>
          <w:rFonts w:ascii="Times New Roman" w:hAnsi="Times New Roman" w:cs="Times New Roman"/>
          <w:sz w:val="24"/>
        </w:rPr>
        <w:t>million kWh</w:t>
      </w:r>
    </w:p>
    <w:tbl>
      <w:tblPr>
        <w:tblW w:w="10284" w:type="dxa"/>
        <w:jc w:val="center"/>
        <w:tblLook w:val="04A0" w:firstRow="1" w:lastRow="0" w:firstColumn="1" w:lastColumn="0" w:noHBand="0" w:noVBand="1"/>
      </w:tblPr>
      <w:tblGrid>
        <w:gridCol w:w="540"/>
        <w:gridCol w:w="2516"/>
        <w:gridCol w:w="1172"/>
        <w:gridCol w:w="1503"/>
        <w:gridCol w:w="1172"/>
        <w:gridCol w:w="1503"/>
        <w:gridCol w:w="971"/>
        <w:gridCol w:w="907"/>
      </w:tblGrid>
      <w:tr w:rsidR="00A234DF" w:rsidRPr="004B04DB" w:rsidTr="00A234DF">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No.</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Name</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2020</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2021</w:t>
            </w:r>
          </w:p>
        </w:tc>
        <w:tc>
          <w:tcPr>
            <w:tcW w:w="2007" w:type="dxa"/>
            <w:gridSpan w:val="2"/>
            <w:tcBorders>
              <w:top w:val="single" w:sz="4" w:space="0" w:color="auto"/>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Deviation 2020/2021,</w:t>
            </w:r>
          </w:p>
        </w:tc>
      </w:tr>
      <w:tr w:rsidR="00A234DF" w:rsidRPr="004B04DB" w:rsidTr="00A234DF">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color w:val="000000"/>
                <w:lang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line="240" w:lineRule="auto"/>
              <w:rPr>
                <w:rFonts w:ascii="Times New Roman" w:eastAsia="Times New Roman" w:hAnsi="Times New Roman" w:cs="Times New Roman"/>
                <w:b/>
                <w:bCs/>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January-April</w:t>
            </w:r>
          </w:p>
        </w:tc>
        <w:tc>
          <w:tcPr>
            <w:tcW w:w="103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share in Kazakhstan, %</w:t>
            </w:r>
          </w:p>
        </w:tc>
        <w:tc>
          <w:tcPr>
            <w:tcW w:w="1188"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January-April</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share in Kazakhstan, %</w:t>
            </w:r>
          </w:p>
        </w:tc>
        <w:tc>
          <w:tcPr>
            <w:tcW w:w="99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million kWh</w:t>
            </w:r>
          </w:p>
        </w:tc>
        <w:tc>
          <w:tcPr>
            <w:tcW w:w="101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w:t>
            </w:r>
          </w:p>
        </w:tc>
      </w:tr>
      <w:tr w:rsidR="00A234DF" w:rsidRPr="004B04DB" w:rsidTr="00A234DF">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eastAsia="Times New Roman" w:hAnsi="Times New Roman" w:cs="Times New Roman"/>
                <w:b/>
                <w:i/>
                <w:lang w:eastAsia="ru-RU"/>
              </w:rPr>
            </w:pPr>
            <w:r w:rsidRPr="004B04DB">
              <w:rPr>
                <w:rFonts w:ascii="Times New Roman" w:eastAsia="Times New Roman" w:hAnsi="Times New Roman" w:cs="Times New Roman"/>
                <w:b/>
                <w:i/>
                <w:lang w:eastAsia="ru-RU"/>
              </w:rPr>
              <w:t> </w:t>
            </w:r>
          </w:p>
        </w:tc>
        <w:tc>
          <w:tcPr>
            <w:tcW w:w="343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rPr>
                <w:rFonts w:ascii="Times New Roman" w:hAnsi="Times New Roman" w:cs="Times New Roman"/>
                <w:b/>
                <w:bCs/>
                <w:i/>
              </w:rPr>
            </w:pPr>
            <w:r w:rsidRPr="004B04DB">
              <w:rPr>
                <w:rFonts w:ascii="Times New Roman" w:hAnsi="Times New Roman" w:cs="Times New Roman"/>
                <w:b/>
                <w:bCs/>
                <w:i/>
              </w:rPr>
              <w:t>Electricity production in UES RK</w:t>
            </w:r>
          </w:p>
        </w:tc>
        <w:tc>
          <w:tcPr>
            <w:tcW w:w="1188"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37,613.8</w:t>
            </w:r>
          </w:p>
        </w:tc>
        <w:tc>
          <w:tcPr>
            <w:tcW w:w="103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w:t>
            </w:r>
          </w:p>
        </w:tc>
        <w:tc>
          <w:tcPr>
            <w:tcW w:w="1188"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40,036.3</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100.0%</w:t>
            </w:r>
          </w:p>
        </w:tc>
        <w:tc>
          <w:tcPr>
            <w:tcW w:w="99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2422.5</w:t>
            </w:r>
          </w:p>
        </w:tc>
        <w:tc>
          <w:tcPr>
            <w:tcW w:w="101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w:t>
            </w:r>
          </w:p>
        </w:tc>
      </w:tr>
      <w:tr w:rsidR="00A234DF" w:rsidRPr="004B04DB" w:rsidTr="00A234DF">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lang w:eastAsia="ru-RU"/>
              </w:rPr>
            </w:pPr>
            <w:r w:rsidRPr="004B04DB">
              <w:rPr>
                <w:rFonts w:ascii="Times New Roman" w:eastAsia="Times New Roman" w:hAnsi="Times New Roman" w:cs="Times New Roman"/>
                <w:lang w:eastAsia="ru-RU"/>
              </w:rPr>
              <w:t>1.</w:t>
            </w:r>
          </w:p>
        </w:tc>
        <w:tc>
          <w:tcPr>
            <w:tcW w:w="3432" w:type="dxa"/>
            <w:tcBorders>
              <w:top w:val="nil"/>
              <w:left w:val="nil"/>
              <w:bottom w:val="single" w:sz="4" w:space="0" w:color="auto"/>
              <w:right w:val="single" w:sz="4" w:space="0" w:color="auto"/>
            </w:tcBorders>
            <w:shd w:val="clear" w:color="auto" w:fill="auto"/>
            <w:hideMark/>
          </w:tcPr>
          <w:p w:rsidR="00A234DF" w:rsidRPr="004B04DB" w:rsidRDefault="00A234DF" w:rsidP="00A234DF">
            <w:pPr>
              <w:spacing w:after="0" w:line="240" w:lineRule="auto"/>
              <w:ind w:firstLineChars="100" w:firstLine="220"/>
              <w:rPr>
                <w:rFonts w:ascii="Times New Roman" w:hAnsi="Times New Roman" w:cs="Times New Roman"/>
              </w:rPr>
            </w:pPr>
            <w:r w:rsidRPr="004B04DB">
              <w:rPr>
                <w:rFonts w:ascii="Times New Roman" w:hAnsi="Times New Roman" w:cs="Times New Roman"/>
              </w:rPr>
              <w:t>Production of "clean" electricity (RES + Large HPPs)</w:t>
            </w:r>
          </w:p>
        </w:tc>
        <w:tc>
          <w:tcPr>
            <w:tcW w:w="1188"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2793.5</w:t>
            </w:r>
          </w:p>
        </w:tc>
        <w:tc>
          <w:tcPr>
            <w:tcW w:w="103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7.4%</w:t>
            </w:r>
          </w:p>
        </w:tc>
        <w:tc>
          <w:tcPr>
            <w:tcW w:w="1188"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3752.3</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9.4%</w:t>
            </w:r>
          </w:p>
        </w:tc>
        <w:tc>
          <w:tcPr>
            <w:tcW w:w="99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958.8</w:t>
            </w:r>
          </w:p>
        </w:tc>
        <w:tc>
          <w:tcPr>
            <w:tcW w:w="101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1.3%</w:t>
            </w:r>
          </w:p>
        </w:tc>
      </w:tr>
      <w:tr w:rsidR="00A234DF" w:rsidRPr="004B04DB" w:rsidTr="00A234DF">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rPr>
                <w:rFonts w:ascii="Times New Roman" w:eastAsia="Times New Roman" w:hAnsi="Times New Roman" w:cs="Times New Roman"/>
                <w:lang w:eastAsia="ru-RU"/>
              </w:rPr>
            </w:pPr>
            <w:r w:rsidRPr="004B04DB">
              <w:rPr>
                <w:rFonts w:ascii="Times New Roman" w:eastAsia="Times New Roman" w:hAnsi="Times New Roman" w:cs="Times New Roman"/>
                <w:lang w:eastAsia="ru-RU"/>
              </w:rPr>
              <w:t>2.</w:t>
            </w:r>
          </w:p>
        </w:tc>
        <w:tc>
          <w:tcPr>
            <w:tcW w:w="3432" w:type="dxa"/>
            <w:tcBorders>
              <w:top w:val="nil"/>
              <w:left w:val="nil"/>
              <w:bottom w:val="single" w:sz="4" w:space="0" w:color="auto"/>
              <w:right w:val="single" w:sz="4" w:space="0" w:color="auto"/>
            </w:tcBorders>
            <w:shd w:val="clear" w:color="auto" w:fill="auto"/>
            <w:hideMark/>
          </w:tcPr>
          <w:p w:rsidR="00A234DF" w:rsidRPr="004B04DB" w:rsidRDefault="00A234DF" w:rsidP="00A234DF">
            <w:pPr>
              <w:spacing w:after="0" w:line="240" w:lineRule="auto"/>
              <w:ind w:firstLineChars="100" w:firstLine="220"/>
              <w:rPr>
                <w:rFonts w:ascii="Times New Roman" w:hAnsi="Times New Roman" w:cs="Times New Roman"/>
              </w:rPr>
            </w:pPr>
            <w:r w:rsidRPr="004B04DB">
              <w:rPr>
                <w:rFonts w:ascii="Times New Roman" w:hAnsi="Times New Roman" w:cs="Times New Roman"/>
              </w:rPr>
              <w:t>Production of "clean" electricity (RES excluding Large HPPs)</w:t>
            </w:r>
          </w:p>
        </w:tc>
        <w:tc>
          <w:tcPr>
            <w:tcW w:w="1188"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854.7</w:t>
            </w:r>
          </w:p>
        </w:tc>
        <w:tc>
          <w:tcPr>
            <w:tcW w:w="103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2.3%</w:t>
            </w:r>
          </w:p>
        </w:tc>
        <w:tc>
          <w:tcPr>
            <w:tcW w:w="1188"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1167.0</w:t>
            </w:r>
          </w:p>
        </w:tc>
        <w:tc>
          <w:tcPr>
            <w:tcW w:w="996"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2.9%</w:t>
            </w:r>
          </w:p>
        </w:tc>
        <w:tc>
          <w:tcPr>
            <w:tcW w:w="995"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312.3</w:t>
            </w:r>
          </w:p>
        </w:tc>
        <w:tc>
          <w:tcPr>
            <w:tcW w:w="1012" w:type="dxa"/>
            <w:tcBorders>
              <w:top w:val="nil"/>
              <w:left w:val="nil"/>
              <w:bottom w:val="single" w:sz="4" w:space="0" w:color="auto"/>
              <w:right w:val="single" w:sz="4" w:space="0" w:color="auto"/>
            </w:tcBorders>
            <w:shd w:val="clear" w:color="auto" w:fill="auto"/>
            <w:vAlign w:val="bottom"/>
            <w:hideMark/>
          </w:tcPr>
          <w:p w:rsidR="00A234DF" w:rsidRPr="004B04DB" w:rsidRDefault="00A234DF" w:rsidP="00A234DF">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1.4%</w:t>
            </w:r>
          </w:p>
        </w:tc>
      </w:tr>
    </w:tbl>
    <w:p w:rsidR="00A234DF" w:rsidRPr="004B04DB" w:rsidRDefault="00A234DF" w:rsidP="00A234DF">
      <w:pPr>
        <w:spacing w:after="0" w:line="240" w:lineRule="auto"/>
        <w:rPr>
          <w:rFonts w:ascii="Times New Roman" w:hAnsi="Times New Roman" w:cs="Times New Roman"/>
          <w:sz w:val="24"/>
        </w:rPr>
      </w:pPr>
    </w:p>
    <w:p w:rsidR="00A234DF" w:rsidRPr="004B04DB" w:rsidRDefault="00A234DF" w:rsidP="00A234DF">
      <w:pPr>
        <w:spacing w:after="0" w:line="240" w:lineRule="auto"/>
        <w:ind w:firstLine="708"/>
        <w:jc w:val="both"/>
        <w:rPr>
          <w:rFonts w:ascii="Times New Roman" w:hAnsi="Times New Roman" w:cs="Times New Roman"/>
          <w:sz w:val="28"/>
        </w:rPr>
      </w:pPr>
      <w:r w:rsidRPr="004B04DB">
        <w:rPr>
          <w:rFonts w:ascii="Times New Roman" w:hAnsi="Times New Roman" w:cs="Times New Roman"/>
          <w:sz w:val="28"/>
        </w:rPr>
        <w:t xml:space="preserve">Samruk-Energo JSC (SPP, WPP, small HPPs) for January-April 2021 </w:t>
      </w:r>
      <w:r w:rsidRPr="004B04DB">
        <w:rPr>
          <w:rFonts w:ascii="Times New Roman" w:hAnsi="Times New Roman" w:cs="Times New Roman"/>
          <w:sz w:val="28"/>
          <w:szCs w:val="28"/>
        </w:rPr>
        <w:t>amounted to 102.2</w:t>
      </w:r>
      <w:r w:rsidRPr="004B04DB">
        <w:rPr>
          <w:rFonts w:ascii="Times New Roman" w:eastAsia="Times New Roman" w:hAnsi="Times New Roman" w:cs="Times New Roman"/>
          <w:sz w:val="28"/>
          <w:lang w:eastAsia="ru-RU"/>
        </w:rPr>
        <w:t xml:space="preserve"> </w:t>
      </w:r>
      <w:r w:rsidRPr="004B04DB">
        <w:rPr>
          <w:rFonts w:ascii="Times New Roman" w:hAnsi="Times New Roman" w:cs="Times New Roman"/>
          <w:sz w:val="28"/>
        </w:rPr>
        <w:t xml:space="preserve">million kWh or 8.8% of the total volume of electricity generated by RES facilities, which is 0.9 </w:t>
      </w:r>
      <w:r w:rsidRPr="004B04DB">
        <w:rPr>
          <w:rFonts w:ascii="Times New Roman" w:hAnsi="Times New Roman" w:cs="Times New Roman"/>
          <w:sz w:val="28"/>
          <w:szCs w:val="28"/>
        </w:rPr>
        <w:t xml:space="preserve">% </w:t>
      </w:r>
      <w:r w:rsidRPr="004B04DB">
        <w:rPr>
          <w:rFonts w:ascii="Times New Roman" w:hAnsi="Times New Roman" w:cs="Times New Roman"/>
          <w:sz w:val="28"/>
        </w:rPr>
        <w:t xml:space="preserve">lower compared to the same period in 2020 (in January-April 2020, the Company's RES generation </w:t>
      </w:r>
      <w:r w:rsidRPr="004B04DB">
        <w:rPr>
          <w:rFonts w:ascii="Times New Roman" w:hAnsi="Times New Roman" w:cs="Times New Roman"/>
          <w:sz w:val="28"/>
          <w:szCs w:val="28"/>
        </w:rPr>
        <w:t xml:space="preserve">amounted to 119.5 </w:t>
      </w:r>
      <w:r w:rsidRPr="004B04DB">
        <w:rPr>
          <w:rFonts w:ascii="Times New Roman" w:hAnsi="Times New Roman" w:cs="Times New Roman"/>
          <w:sz w:val="28"/>
        </w:rPr>
        <w:t>million kWh , RES of the Company 14%).</w:t>
      </w:r>
    </w:p>
    <w:p w:rsidR="00A234DF" w:rsidRPr="004B04DB" w:rsidRDefault="00A234DF" w:rsidP="00A234DF">
      <w:pPr>
        <w:spacing w:after="0" w:line="240" w:lineRule="auto"/>
        <w:ind w:firstLine="708"/>
        <w:jc w:val="both"/>
        <w:rPr>
          <w:rFonts w:ascii="Times New Roman" w:hAnsi="Times New Roman" w:cs="Times New Roman"/>
          <w:sz w:val="28"/>
        </w:rPr>
      </w:pPr>
      <w:r w:rsidRPr="004B04DB">
        <w:rPr>
          <w:rFonts w:ascii="Times New Roman" w:hAnsi="Times New Roman" w:cs="Times New Roman"/>
          <w:sz w:val="28"/>
        </w:rPr>
        <w:t>Share of the Company in the production of "clean" electricity (SPP, WPP, small and large HPPs) for January-April 2021. decreased by 0.9% (727.1 million kWh ) compared to the same period in 2020. (784.3 million kWh ).</w:t>
      </w:r>
    </w:p>
    <w:p w:rsidR="00A234DF" w:rsidRPr="004B04DB" w:rsidRDefault="00A234DF" w:rsidP="00A234DF">
      <w:pPr>
        <w:spacing w:after="0" w:line="240" w:lineRule="auto"/>
        <w:jc w:val="right"/>
        <w:rPr>
          <w:rFonts w:ascii="Times New Roman" w:hAnsi="Times New Roman" w:cs="Times New Roman"/>
          <w:sz w:val="24"/>
        </w:rPr>
      </w:pPr>
      <w:r w:rsidRPr="004B04DB">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104"/>
        <w:gridCol w:w="1276"/>
        <w:gridCol w:w="850"/>
        <w:gridCol w:w="1276"/>
        <w:gridCol w:w="992"/>
        <w:gridCol w:w="990"/>
        <w:gridCol w:w="992"/>
      </w:tblGrid>
      <w:tr w:rsidR="00A234DF" w:rsidRPr="00EA3C26" w:rsidTr="00EA3C26">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jc w:val="center"/>
              <w:rPr>
                <w:rFonts w:ascii="Times New Roman" w:eastAsia="Times New Roman" w:hAnsi="Times New Roman" w:cs="Times New Roman"/>
                <w:b/>
                <w:bCs/>
                <w:color w:val="000000"/>
                <w:lang w:eastAsia="ru-RU"/>
              </w:rPr>
            </w:pPr>
            <w:r w:rsidRPr="00EA3C26">
              <w:rPr>
                <w:rFonts w:ascii="Times New Roman" w:eastAsia="Times New Roman" w:hAnsi="Times New Roman" w:cs="Times New Roman"/>
                <w:b/>
                <w:bCs/>
                <w:color w:val="000000"/>
                <w:lang w:eastAsia="ru-RU"/>
              </w:rPr>
              <w:t>No.</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2020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2021</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Deviation 2020/2021,</w:t>
            </w:r>
          </w:p>
        </w:tc>
      </w:tr>
      <w:tr w:rsidR="00A234DF" w:rsidRPr="00EA3C26" w:rsidTr="00EA3C26">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234DF" w:rsidRPr="00EA3C26" w:rsidRDefault="00A234DF" w:rsidP="00A234DF">
            <w:pPr>
              <w:spacing w:after="0" w:line="240" w:lineRule="auto"/>
              <w:rPr>
                <w:rFonts w:ascii="Times New Roman" w:eastAsia="Times New Roman" w:hAnsi="Times New Roman" w:cs="Times New Roman"/>
                <w:b/>
                <w:bCs/>
                <w:color w:val="000000"/>
                <w:lang w:eastAsia="ru-RU"/>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rsidR="00A234DF" w:rsidRPr="00EA3C26" w:rsidRDefault="00A234DF" w:rsidP="00A234DF">
            <w:pPr>
              <w:spacing w:after="0" w:line="240" w:lineRule="auto"/>
              <w:ind w:right="171"/>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January-April</w:t>
            </w:r>
          </w:p>
        </w:tc>
        <w:tc>
          <w:tcPr>
            <w:tcW w:w="850"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share in Kazakhstan, %</w:t>
            </w:r>
          </w:p>
        </w:tc>
        <w:tc>
          <w:tcPr>
            <w:tcW w:w="1276"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January-April</w:t>
            </w:r>
          </w:p>
        </w:tc>
        <w:tc>
          <w:tcPr>
            <w:tcW w:w="992"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share in Kazakhstan, %</w:t>
            </w:r>
          </w:p>
        </w:tc>
        <w:tc>
          <w:tcPr>
            <w:tcW w:w="990"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jc w:val="center"/>
              <w:rPr>
                <w:rFonts w:ascii="Times New Roman" w:eastAsia="Times New Roman" w:hAnsi="Times New Roman" w:cs="Times New Roman"/>
                <w:b/>
                <w:bCs/>
                <w:lang w:eastAsia="ru-RU"/>
              </w:rPr>
            </w:pPr>
            <w:r w:rsidRPr="00EA3C26">
              <w:rPr>
                <w:rFonts w:ascii="Times New Roman" w:eastAsia="Times New Roman" w:hAnsi="Times New Roman" w:cs="Times New Roman"/>
                <w:b/>
                <w:bCs/>
                <w:lang w:eastAsia="ru-RU"/>
              </w:rPr>
              <w:t>%</w:t>
            </w:r>
          </w:p>
        </w:tc>
      </w:tr>
      <w:tr w:rsidR="00A234DF" w:rsidRPr="00EA3C26" w:rsidTr="00EA3C26">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EA3C26" w:rsidRDefault="00EA3C26" w:rsidP="00A234DF">
            <w:pPr>
              <w:spacing w:after="0" w:line="240" w:lineRule="auto"/>
              <w:rPr>
                <w:rFonts w:ascii="Times New Roman" w:eastAsia="Times New Roman" w:hAnsi="Times New Roman" w:cs="Times New Roman"/>
                <w:lang w:val="kk-KZ" w:eastAsia="ru-RU"/>
              </w:rPr>
            </w:pPr>
            <w:r w:rsidRPr="00EA3C26">
              <w:rPr>
                <w:rFonts w:ascii="Times New Roman" w:eastAsia="Times New Roman" w:hAnsi="Times New Roman" w:cs="Times New Roman"/>
                <w:lang w:val="kk-KZ" w:eastAsia="ru-RU"/>
              </w:rPr>
              <w:t>1</w:t>
            </w:r>
          </w:p>
        </w:tc>
        <w:tc>
          <w:tcPr>
            <w:tcW w:w="3104"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rPr>
                <w:rFonts w:ascii="Times New Roman" w:eastAsia="Times New Roman" w:hAnsi="Times New Roman" w:cs="Times New Roman"/>
                <w:b/>
                <w:lang w:eastAsia="ru-RU"/>
              </w:rPr>
            </w:pPr>
            <w:r w:rsidRPr="00EA3C26">
              <w:rPr>
                <w:rFonts w:ascii="Times New Roman" w:eastAsia="Times New Roman" w:hAnsi="Times New Roman" w:cs="Times New Roman"/>
                <w:b/>
                <w:lang w:eastAsia="ru-RU"/>
              </w:rPr>
              <w:t>Pr</w:t>
            </w:r>
            <w:r w:rsidR="0039625F">
              <w:rPr>
                <w:rFonts w:ascii="Times New Roman" w:eastAsia="Times New Roman" w:hAnsi="Times New Roman" w:cs="Times New Roman"/>
                <w:b/>
                <w:lang w:eastAsia="ru-RU"/>
              </w:rPr>
              <w:t xml:space="preserve">oduction of JSC " </w:t>
            </w:r>
            <w:proofErr w:type="spellStart"/>
            <w:r w:rsidR="0039625F">
              <w:rPr>
                <w:rFonts w:ascii="Times New Roman" w:eastAsia="Times New Roman" w:hAnsi="Times New Roman" w:cs="Times New Roman"/>
                <w:b/>
                <w:lang w:eastAsia="ru-RU"/>
              </w:rPr>
              <w:t>Samruk</w:t>
            </w:r>
            <w:proofErr w:type="spellEnd"/>
            <w:r w:rsidR="0039625F">
              <w:rPr>
                <w:rFonts w:ascii="Times New Roman" w:eastAsia="Times New Roman" w:hAnsi="Times New Roman" w:cs="Times New Roman"/>
                <w:b/>
                <w:lang w:eastAsia="ru-RU"/>
              </w:rPr>
              <w:t>-Energy</w:t>
            </w:r>
            <w:bookmarkStart w:id="21" w:name="_GoBack"/>
            <w:bookmarkEnd w:id="21"/>
            <w:r w:rsidRPr="00EA3C26">
              <w:rPr>
                <w:rFonts w:ascii="Times New Roman" w:eastAsia="Times New Roman" w:hAnsi="Times New Roman" w:cs="Times New Roman"/>
                <w:b/>
                <w:lang w:eastAsia="ru-RU"/>
              </w:rPr>
              <w:t>" "clean" electricity (RES excluding Large HPPs), including :</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b/>
                <w:bCs/>
              </w:rPr>
            </w:pPr>
            <w:r w:rsidRPr="00EA3C26">
              <w:rPr>
                <w:rFonts w:ascii="Times New Roman" w:hAnsi="Times New Roman" w:cs="Times New Roman"/>
                <w:b/>
                <w:bCs/>
              </w:rPr>
              <w:t>119.5</w:t>
            </w:r>
          </w:p>
        </w:tc>
        <w:tc>
          <w:tcPr>
            <w:tcW w:w="850"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b/>
                <w:bCs/>
              </w:rPr>
            </w:pPr>
            <w:r w:rsidRPr="00EA3C26">
              <w:rPr>
                <w:rFonts w:ascii="Times New Roman" w:hAnsi="Times New Roman" w:cs="Times New Roman"/>
                <w:b/>
                <w:bCs/>
              </w:rPr>
              <w:t>14.0%</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b/>
                <w:bCs/>
              </w:rPr>
            </w:pPr>
            <w:r w:rsidRPr="00EA3C26">
              <w:rPr>
                <w:rFonts w:ascii="Times New Roman" w:hAnsi="Times New Roman" w:cs="Times New Roman"/>
                <w:b/>
                <w:bCs/>
              </w:rPr>
              <w:t>102.2</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b/>
                <w:bCs/>
              </w:rPr>
            </w:pPr>
            <w:r w:rsidRPr="00EA3C26">
              <w:rPr>
                <w:rFonts w:ascii="Times New Roman" w:hAnsi="Times New Roman" w:cs="Times New Roman"/>
                <w:b/>
                <w:bCs/>
              </w:rPr>
              <w:t>8.8%</w:t>
            </w:r>
          </w:p>
        </w:tc>
        <w:tc>
          <w:tcPr>
            <w:tcW w:w="990"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b/>
                <w:bCs/>
              </w:rPr>
            </w:pPr>
            <w:r w:rsidRPr="00EA3C26">
              <w:rPr>
                <w:rFonts w:ascii="Times New Roman" w:hAnsi="Times New Roman" w:cs="Times New Roman"/>
                <w:b/>
                <w:bCs/>
              </w:rPr>
              <w:t>-17.3</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b/>
                <w:bCs/>
              </w:rPr>
            </w:pPr>
            <w:r w:rsidRPr="00EA3C26">
              <w:rPr>
                <w:rFonts w:ascii="Times New Roman" w:hAnsi="Times New Roman" w:cs="Times New Roman"/>
                <w:b/>
                <w:bCs/>
              </w:rPr>
              <w:t>0.9%</w:t>
            </w:r>
          </w:p>
        </w:tc>
      </w:tr>
      <w:tr w:rsidR="00A234DF" w:rsidRPr="00EA3C26" w:rsidTr="00EA3C26">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rPr>
                <w:rFonts w:ascii="Times New Roman" w:eastAsia="Times New Roman" w:hAnsi="Times New Roman" w:cs="Times New Roman"/>
                <w:lang w:eastAsia="ru-RU"/>
              </w:rPr>
            </w:pPr>
          </w:p>
        </w:tc>
        <w:tc>
          <w:tcPr>
            <w:tcW w:w="3104"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firstLineChars="100" w:firstLine="220"/>
              <w:rPr>
                <w:rFonts w:ascii="Times New Roman" w:eastAsia="Times New Roman" w:hAnsi="Times New Roman" w:cs="Times New Roman"/>
                <w:i/>
                <w:iCs/>
                <w:color w:val="000000"/>
                <w:lang w:eastAsia="ru-RU"/>
              </w:rPr>
            </w:pPr>
            <w:r w:rsidRPr="00EA3C26">
              <w:rPr>
                <w:rFonts w:ascii="Times New Roman" w:eastAsia="Times New Roman" w:hAnsi="Times New Roman" w:cs="Times New Roman"/>
                <w:i/>
                <w:iCs/>
                <w:color w:val="000000"/>
                <w:lang w:eastAsia="ru-RU"/>
              </w:rPr>
              <w:t>AlES JSC Cascade of small HPPs</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49.6</w:t>
            </w:r>
          </w:p>
        </w:tc>
        <w:tc>
          <w:tcPr>
            <w:tcW w:w="850"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5.8%</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40.5</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3.5%</w:t>
            </w:r>
          </w:p>
        </w:tc>
        <w:tc>
          <w:tcPr>
            <w:tcW w:w="990"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-9.1</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0.8%</w:t>
            </w:r>
          </w:p>
        </w:tc>
      </w:tr>
      <w:tr w:rsidR="00A234DF" w:rsidRPr="00EA3C26" w:rsidTr="00EA3C2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rPr>
                <w:rFonts w:ascii="Times New Roman" w:eastAsia="Times New Roman" w:hAnsi="Times New Roman" w:cs="Times New Roman"/>
                <w:lang w:eastAsia="ru-RU"/>
              </w:rPr>
            </w:pPr>
            <w:r w:rsidRPr="00EA3C26">
              <w:rPr>
                <w:rFonts w:ascii="Times New Roman" w:eastAsia="Times New Roman" w:hAnsi="Times New Roman" w:cs="Times New Roman"/>
                <w:lang w:eastAsia="ru-RU"/>
              </w:rPr>
              <w:t> </w:t>
            </w:r>
          </w:p>
        </w:tc>
        <w:tc>
          <w:tcPr>
            <w:tcW w:w="3104"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firstLineChars="100" w:firstLine="220"/>
              <w:rPr>
                <w:rFonts w:ascii="Times New Roman" w:eastAsia="Times New Roman" w:hAnsi="Times New Roman" w:cs="Times New Roman"/>
                <w:i/>
                <w:iCs/>
                <w:color w:val="000000"/>
                <w:lang w:val="en-US" w:eastAsia="ru-RU"/>
              </w:rPr>
            </w:pPr>
            <w:proofErr w:type="spellStart"/>
            <w:r w:rsidRPr="00EA3C26">
              <w:rPr>
                <w:rFonts w:ascii="Times New Roman" w:eastAsia="Times New Roman" w:hAnsi="Times New Roman" w:cs="Times New Roman"/>
                <w:i/>
                <w:iCs/>
                <w:color w:val="000000"/>
                <w:lang w:val="en-US" w:eastAsia="ru-RU"/>
              </w:rPr>
              <w:t>Samruk</w:t>
            </w:r>
            <w:proofErr w:type="spellEnd"/>
            <w:r w:rsidRPr="00EA3C26">
              <w:rPr>
                <w:rFonts w:ascii="Times New Roman" w:eastAsia="Times New Roman" w:hAnsi="Times New Roman" w:cs="Times New Roman"/>
                <w:i/>
                <w:iCs/>
                <w:color w:val="000000"/>
                <w:lang w:val="en-US" w:eastAsia="ru-RU"/>
              </w:rPr>
              <w:t xml:space="preserve"> - Green Energy </w:t>
            </w:r>
            <w:r w:rsidRPr="00EA3C26">
              <w:rPr>
                <w:rFonts w:ascii="Times New Roman" w:eastAsia="Times New Roman" w:hAnsi="Times New Roman" w:cs="Times New Roman"/>
                <w:i/>
                <w:iCs/>
                <w:color w:val="000000"/>
                <w:lang w:eastAsia="ru-RU"/>
              </w:rPr>
              <w:lastRenderedPageBreak/>
              <w:t xml:space="preserve">LLP SPP </w:t>
            </w:r>
            <w:r w:rsidRPr="00EA3C26">
              <w:rPr>
                <w:rFonts w:ascii="Times New Roman" w:eastAsia="Times New Roman" w:hAnsi="Times New Roman" w:cs="Times New Roman"/>
                <w:i/>
                <w:iCs/>
                <w:color w:val="000000"/>
                <w:lang w:val="en-US" w:eastAsia="ru-RU"/>
              </w:rPr>
              <w:t xml:space="preserve">2 </w:t>
            </w:r>
            <w:r w:rsidRPr="00EA3C26">
              <w:rPr>
                <w:rFonts w:ascii="Times New Roman" w:eastAsia="Times New Roman" w:hAnsi="Times New Roman" w:cs="Times New Roman"/>
                <w:i/>
                <w:iCs/>
                <w:color w:val="000000"/>
                <w:lang w:eastAsia="ru-RU"/>
              </w:rPr>
              <w:t>MW</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lastRenderedPageBreak/>
              <w:t>1.1</w:t>
            </w:r>
          </w:p>
        </w:tc>
        <w:tc>
          <w:tcPr>
            <w:tcW w:w="850"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1.3</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0.1%</w:t>
            </w:r>
          </w:p>
        </w:tc>
        <w:tc>
          <w:tcPr>
            <w:tcW w:w="990"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0.2</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1.2%</w:t>
            </w:r>
          </w:p>
        </w:tc>
      </w:tr>
      <w:tr w:rsidR="00A234DF" w:rsidRPr="00EA3C26" w:rsidTr="00EA3C26">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rPr>
                <w:rFonts w:ascii="Times New Roman" w:eastAsia="Times New Roman" w:hAnsi="Times New Roman" w:cs="Times New Roman"/>
                <w:lang w:eastAsia="ru-RU"/>
              </w:rPr>
            </w:pPr>
            <w:r w:rsidRPr="00EA3C26">
              <w:rPr>
                <w:rFonts w:ascii="Times New Roman" w:eastAsia="Times New Roman" w:hAnsi="Times New Roman" w:cs="Times New Roman"/>
                <w:lang w:eastAsia="ru-RU"/>
              </w:rPr>
              <w:lastRenderedPageBreak/>
              <w:t> </w:t>
            </w:r>
          </w:p>
        </w:tc>
        <w:tc>
          <w:tcPr>
            <w:tcW w:w="3104"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firstLineChars="100" w:firstLine="220"/>
              <w:rPr>
                <w:rFonts w:ascii="Times New Roman" w:eastAsia="Times New Roman" w:hAnsi="Times New Roman" w:cs="Times New Roman"/>
                <w:i/>
                <w:iCs/>
                <w:color w:val="000000"/>
                <w:lang w:val="en-US" w:eastAsia="ru-RU"/>
              </w:rPr>
            </w:pPr>
            <w:proofErr w:type="spellStart"/>
            <w:r w:rsidRPr="00EA3C26">
              <w:rPr>
                <w:rFonts w:ascii="Times New Roman" w:eastAsia="Times New Roman" w:hAnsi="Times New Roman" w:cs="Times New Roman"/>
                <w:i/>
                <w:iCs/>
                <w:color w:val="000000"/>
                <w:lang w:val="en-US" w:eastAsia="ru-RU"/>
              </w:rPr>
              <w:t>Samruk</w:t>
            </w:r>
            <w:proofErr w:type="spellEnd"/>
            <w:r w:rsidRPr="00EA3C26">
              <w:rPr>
                <w:rFonts w:ascii="Times New Roman" w:eastAsia="Times New Roman" w:hAnsi="Times New Roman" w:cs="Times New Roman"/>
                <w:i/>
                <w:iCs/>
                <w:color w:val="000000"/>
                <w:lang w:val="en-US" w:eastAsia="ru-RU"/>
              </w:rPr>
              <w:t xml:space="preserve"> - Green Energy </w:t>
            </w:r>
            <w:r w:rsidRPr="00EA3C26">
              <w:rPr>
                <w:rFonts w:ascii="Times New Roman" w:eastAsia="Times New Roman" w:hAnsi="Times New Roman" w:cs="Times New Roman"/>
                <w:i/>
                <w:iCs/>
                <w:color w:val="000000"/>
                <w:lang w:eastAsia="ru-RU"/>
              </w:rPr>
              <w:t>LLP WPP</w:t>
            </w:r>
            <w:r w:rsidRPr="00EA3C26">
              <w:rPr>
                <w:rFonts w:ascii="Times New Roman" w:eastAsia="Times New Roman" w:hAnsi="Times New Roman" w:cs="Times New Roman"/>
                <w:i/>
                <w:iCs/>
                <w:color w:val="000000"/>
                <w:lang w:val="en-US" w:eastAsia="ru-RU"/>
              </w:rPr>
              <w:t xml:space="preserve"> </w:t>
            </w:r>
            <w:proofErr w:type="spellStart"/>
            <w:r w:rsidRPr="00EA3C26">
              <w:rPr>
                <w:rFonts w:ascii="Times New Roman" w:eastAsia="Times New Roman" w:hAnsi="Times New Roman" w:cs="Times New Roman"/>
                <w:i/>
                <w:iCs/>
                <w:color w:val="000000"/>
                <w:lang w:eastAsia="ru-RU"/>
              </w:rPr>
              <w:t>Shelek</w:t>
            </w:r>
            <w:proofErr w:type="spellEnd"/>
            <w:r w:rsidRPr="00EA3C26">
              <w:rPr>
                <w:rFonts w:ascii="Times New Roman" w:eastAsia="Times New Roman" w:hAnsi="Times New Roman" w:cs="Times New Roman"/>
                <w:i/>
                <w:iCs/>
                <w:color w:val="000000"/>
                <w:lang w:eastAsia="ru-RU"/>
              </w:rPr>
              <w:t xml:space="preserve"> </w:t>
            </w:r>
            <w:r w:rsidRPr="00EA3C26">
              <w:rPr>
                <w:rFonts w:ascii="Times New Roman" w:eastAsia="Times New Roman" w:hAnsi="Times New Roman" w:cs="Times New Roman"/>
                <w:i/>
                <w:iCs/>
                <w:color w:val="000000"/>
                <w:lang w:val="en-US" w:eastAsia="ru-RU"/>
              </w:rPr>
              <w:t xml:space="preserve">5 </w:t>
            </w:r>
            <w:r w:rsidRPr="00EA3C26">
              <w:rPr>
                <w:rFonts w:ascii="Times New Roman" w:eastAsia="Times New Roman" w:hAnsi="Times New Roman" w:cs="Times New Roman"/>
                <w:i/>
                <w:iCs/>
                <w:color w:val="000000"/>
                <w:lang w:eastAsia="ru-RU"/>
              </w:rPr>
              <w:t>MW</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3.5</w:t>
            </w:r>
          </w:p>
        </w:tc>
        <w:tc>
          <w:tcPr>
            <w:tcW w:w="850"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5.5</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2.0</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1.6%</w:t>
            </w:r>
          </w:p>
        </w:tc>
      </w:tr>
      <w:tr w:rsidR="00A234DF" w:rsidRPr="00EA3C26" w:rsidTr="00EA3C26">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rPr>
                <w:rFonts w:ascii="Times New Roman" w:eastAsia="Times New Roman" w:hAnsi="Times New Roman" w:cs="Times New Roman"/>
                <w:lang w:eastAsia="ru-RU"/>
              </w:rPr>
            </w:pPr>
            <w:r w:rsidRPr="00EA3C26">
              <w:rPr>
                <w:rFonts w:ascii="Times New Roman" w:eastAsia="Times New Roman" w:hAnsi="Times New Roman" w:cs="Times New Roman"/>
                <w:lang w:eastAsia="ru-RU"/>
              </w:rPr>
              <w:t> </w:t>
            </w:r>
          </w:p>
        </w:tc>
        <w:tc>
          <w:tcPr>
            <w:tcW w:w="3104" w:type="dxa"/>
            <w:tcBorders>
              <w:top w:val="nil"/>
              <w:left w:val="nil"/>
              <w:bottom w:val="single" w:sz="4" w:space="0" w:color="auto"/>
              <w:right w:val="single" w:sz="4" w:space="0" w:color="auto"/>
            </w:tcBorders>
            <w:shd w:val="clear" w:color="auto" w:fill="auto"/>
            <w:vAlign w:val="center"/>
            <w:hideMark/>
          </w:tcPr>
          <w:p w:rsidR="00A234DF" w:rsidRPr="00EA3C26" w:rsidRDefault="00A234DF" w:rsidP="00A234DF">
            <w:pPr>
              <w:spacing w:after="0" w:line="240" w:lineRule="auto"/>
              <w:ind w:right="171" w:firstLineChars="100" w:firstLine="220"/>
              <w:rPr>
                <w:rFonts w:ascii="Times New Roman" w:eastAsia="Times New Roman" w:hAnsi="Times New Roman" w:cs="Times New Roman"/>
                <w:i/>
                <w:iCs/>
                <w:color w:val="000000"/>
                <w:lang w:eastAsia="ru-RU"/>
              </w:rPr>
            </w:pPr>
            <w:r w:rsidRPr="00EA3C26">
              <w:rPr>
                <w:rFonts w:ascii="Times New Roman" w:eastAsia="Times New Roman" w:hAnsi="Times New Roman" w:cs="Times New Roman"/>
                <w:i/>
                <w:iCs/>
                <w:color w:val="000000"/>
                <w:lang w:eastAsia="ru-RU"/>
              </w:rPr>
              <w:t>First Wind Power Plant LLP WPP 45 MW</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65.3</w:t>
            </w:r>
          </w:p>
        </w:tc>
        <w:tc>
          <w:tcPr>
            <w:tcW w:w="850"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7.6%</w:t>
            </w:r>
          </w:p>
        </w:tc>
        <w:tc>
          <w:tcPr>
            <w:tcW w:w="1276"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54.9</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4.7%</w:t>
            </w:r>
          </w:p>
        </w:tc>
        <w:tc>
          <w:tcPr>
            <w:tcW w:w="990" w:type="dxa"/>
            <w:tcBorders>
              <w:top w:val="nil"/>
              <w:left w:val="nil"/>
              <w:bottom w:val="single" w:sz="4" w:space="0" w:color="auto"/>
              <w:right w:val="single" w:sz="4" w:space="0" w:color="auto"/>
            </w:tcBorders>
            <w:shd w:val="clear" w:color="000000" w:fill="FFFFFF"/>
            <w:noWrap/>
            <w:vAlign w:val="bottom"/>
            <w:hideMark/>
          </w:tcPr>
          <w:p w:rsidR="00A234DF" w:rsidRPr="00EA3C26" w:rsidRDefault="00A234DF" w:rsidP="00A234DF">
            <w:pPr>
              <w:spacing w:after="0" w:line="240" w:lineRule="auto"/>
              <w:jc w:val="center"/>
              <w:rPr>
                <w:rFonts w:ascii="Times New Roman" w:hAnsi="Times New Roman" w:cs="Times New Roman"/>
                <w:i/>
                <w:iCs/>
              </w:rPr>
            </w:pPr>
            <w:r w:rsidRPr="00EA3C26">
              <w:rPr>
                <w:rFonts w:ascii="Times New Roman" w:hAnsi="Times New Roman" w:cs="Times New Roman"/>
                <w:i/>
                <w:iCs/>
              </w:rPr>
              <w:t>-10.4</w:t>
            </w:r>
          </w:p>
        </w:tc>
        <w:tc>
          <w:tcPr>
            <w:tcW w:w="992" w:type="dxa"/>
            <w:tcBorders>
              <w:top w:val="nil"/>
              <w:left w:val="nil"/>
              <w:bottom w:val="single" w:sz="4" w:space="0" w:color="auto"/>
              <w:right w:val="single" w:sz="4" w:space="0" w:color="auto"/>
            </w:tcBorders>
            <w:shd w:val="clear" w:color="auto" w:fill="auto"/>
            <w:vAlign w:val="bottom"/>
            <w:hideMark/>
          </w:tcPr>
          <w:p w:rsidR="00A234DF" w:rsidRPr="00EA3C26" w:rsidRDefault="00A234DF" w:rsidP="00A234DF">
            <w:pPr>
              <w:spacing w:after="0" w:line="240" w:lineRule="auto"/>
              <w:jc w:val="right"/>
              <w:rPr>
                <w:rFonts w:ascii="Times New Roman" w:hAnsi="Times New Roman" w:cs="Times New Roman"/>
                <w:i/>
                <w:iCs/>
              </w:rPr>
            </w:pPr>
            <w:r w:rsidRPr="00EA3C26">
              <w:rPr>
                <w:rFonts w:ascii="Times New Roman" w:hAnsi="Times New Roman" w:cs="Times New Roman"/>
                <w:i/>
                <w:iCs/>
              </w:rPr>
              <w:t>0.8%</w:t>
            </w:r>
          </w:p>
        </w:tc>
      </w:tr>
    </w:tbl>
    <w:p w:rsidR="00A234DF" w:rsidRPr="004B04DB" w:rsidRDefault="00A234DF" w:rsidP="00A234DF">
      <w:pPr>
        <w:spacing w:after="0" w:line="240" w:lineRule="auto"/>
        <w:ind w:firstLine="708"/>
        <w:jc w:val="both"/>
        <w:rPr>
          <w:rFonts w:ascii="Times New Roman" w:hAnsi="Times New Roman" w:cs="Times New Roman"/>
          <w:sz w:val="28"/>
        </w:rPr>
      </w:pPr>
    </w:p>
    <w:p w:rsidR="007F6813" w:rsidRPr="007F6813" w:rsidRDefault="007F6813" w:rsidP="00BF417E">
      <w:pPr>
        <w:spacing w:after="0" w:line="240" w:lineRule="auto"/>
        <w:ind w:firstLine="709"/>
        <w:rPr>
          <w:rFonts w:ascii="Times New Roman" w:hAnsi="Times New Roman" w:cs="Times New Roman"/>
          <w:sz w:val="24"/>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2" w:name="_Toc70507492"/>
      <w:r w:rsidRPr="007F6813">
        <w:rPr>
          <w:rFonts w:ascii="Times New Roman" w:hAnsi="Times New Roman" w:cs="Times New Roman"/>
          <w:b/>
          <w:color w:val="auto"/>
        </w:rPr>
        <w:t>Centralized electricity trading JSC "KOREM"</w:t>
      </w:r>
      <w:bookmarkEnd w:id="17"/>
      <w:bookmarkEnd w:id="22"/>
    </w:p>
    <w:p w:rsidR="001248FB" w:rsidRPr="007F6813" w:rsidRDefault="001248FB" w:rsidP="00BF417E">
      <w:pPr>
        <w:pStyle w:val="ab"/>
        <w:tabs>
          <w:tab w:val="left" w:pos="0"/>
        </w:tabs>
        <w:spacing w:before="0" w:beforeAutospacing="0" w:after="0" w:afterAutospacing="0"/>
        <w:ind w:left="720"/>
        <w:jc w:val="center"/>
        <w:rPr>
          <w:rStyle w:val="ac"/>
          <w:b w:val="0"/>
          <w:bCs w:val="0"/>
          <w:i/>
          <w:szCs w:val="22"/>
        </w:rPr>
      </w:pPr>
      <w:r w:rsidRPr="007F6813">
        <w:rPr>
          <w:i/>
          <w:szCs w:val="22"/>
        </w:rPr>
        <w:t>(information of KOREM JSC)</w:t>
      </w:r>
    </w:p>
    <w:p w:rsidR="00A234DF" w:rsidRPr="004B04DB" w:rsidRDefault="00A234DF" w:rsidP="00A234DF">
      <w:pPr>
        <w:spacing w:after="0" w:line="240" w:lineRule="auto"/>
        <w:ind w:firstLine="567"/>
        <w:jc w:val="both"/>
        <w:outlineLvl w:val="0"/>
        <w:rPr>
          <w:rFonts w:ascii="Times New Roman" w:hAnsi="Times New Roman" w:cs="Times New Roman"/>
          <w:i/>
          <w:sz w:val="28"/>
          <w:szCs w:val="28"/>
        </w:rPr>
      </w:pPr>
      <w:r w:rsidRPr="004B04DB">
        <w:rPr>
          <w:rFonts w:ascii="Times New Roman" w:hAnsi="Times New Roman" w:cs="Times New Roman"/>
          <w:i/>
          <w:sz w:val="28"/>
          <w:szCs w:val="28"/>
        </w:rPr>
        <w:t>General trading results</w:t>
      </w:r>
    </w:p>
    <w:p w:rsidR="00A234DF" w:rsidRPr="004B04DB" w:rsidRDefault="00A234DF" w:rsidP="00A234DF">
      <w:pPr>
        <w:pStyle w:val="a3"/>
        <w:spacing w:after="0" w:line="240" w:lineRule="auto"/>
        <w:ind w:left="0" w:firstLine="567"/>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Based on the results of the centralized trading in electricity in April 2021, 186 transactions were concluded in the amount of 217,528 thousand kWh for a total amount of 1,985,142.46 thousand tenge (excluding VAT) (including spot trading in the "day ahead" mode and trades for the medium and long term), including:</w:t>
      </w:r>
    </w:p>
    <w:p w:rsidR="00A234DF" w:rsidRPr="004B04DB" w:rsidRDefault="00A234DF" w:rsidP="00A234DF">
      <w:pPr>
        <w:pStyle w:val="a3"/>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 xml:space="preserve">spot trades in the “day ahead” mode - 179 deals were made in the amount of 95,032 thousand kWh for a total amount of 815,074.3 thousand tenge. The minimum price at spot auctions in the “one day ahead” mode was 6 </w:t>
      </w:r>
      <w:proofErr w:type="spellStart"/>
      <w:r w:rsidRPr="004B04DB">
        <w:rPr>
          <w:rFonts w:ascii="Times New Roman" w:eastAsia="Times New Roman" w:hAnsi="Times New Roman" w:cs="Times New Roman"/>
          <w:sz w:val="28"/>
          <w:szCs w:val="28"/>
          <w:lang w:eastAsia="ru-RU"/>
        </w:rPr>
        <w:t>tenge</w:t>
      </w:r>
      <w:proofErr w:type="spellEnd"/>
      <w:r w:rsidRPr="004B04DB">
        <w:rPr>
          <w:rFonts w:ascii="Times New Roman" w:eastAsia="Times New Roman" w:hAnsi="Times New Roman" w:cs="Times New Roman"/>
          <w:sz w:val="28"/>
          <w:szCs w:val="28"/>
          <w:lang w:eastAsia="ru-RU"/>
        </w:rPr>
        <w:t xml:space="preserve"> / kWh (excluding VAT), the maximum price was 9.6 </w:t>
      </w:r>
      <w:proofErr w:type="spellStart"/>
      <w:r w:rsidRPr="004B04DB">
        <w:rPr>
          <w:rFonts w:ascii="Times New Roman" w:eastAsia="Times New Roman" w:hAnsi="Times New Roman" w:cs="Times New Roman"/>
          <w:sz w:val="28"/>
          <w:szCs w:val="28"/>
          <w:lang w:eastAsia="ru-RU"/>
        </w:rPr>
        <w:t>tenge</w:t>
      </w:r>
      <w:proofErr w:type="spellEnd"/>
      <w:r w:rsidRPr="004B04DB">
        <w:rPr>
          <w:rFonts w:ascii="Times New Roman" w:eastAsia="Times New Roman" w:hAnsi="Times New Roman" w:cs="Times New Roman"/>
          <w:sz w:val="28"/>
          <w:szCs w:val="28"/>
          <w:lang w:eastAsia="ru-RU"/>
        </w:rPr>
        <w:t xml:space="preserve"> / kWh (excluding VAT);</w:t>
      </w:r>
    </w:p>
    <w:p w:rsidR="00A234DF" w:rsidRPr="004B04DB" w:rsidRDefault="00A234DF" w:rsidP="00A234DF">
      <w:pPr>
        <w:pStyle w:val="a3"/>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spot trading “during the trading day” - no deals were made;</w:t>
      </w:r>
    </w:p>
    <w:p w:rsidR="00A234DF" w:rsidRPr="004B04DB" w:rsidRDefault="00A234DF" w:rsidP="00A234DF">
      <w:pPr>
        <w:pStyle w:val="a3"/>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 xml:space="preserve">trades in electricity for the medium and long-term periods - 7 transactions were concluded in the amount of 122,496 thousand kWh for a total amount of 1,170,068.16 thousand tenge (excluding VAT). The minimum price for this type of centralized trading was 9.21 </w:t>
      </w:r>
      <w:proofErr w:type="spellStart"/>
      <w:r w:rsidRPr="004B04DB">
        <w:rPr>
          <w:rFonts w:ascii="Times New Roman" w:eastAsia="Times New Roman" w:hAnsi="Times New Roman" w:cs="Times New Roman"/>
          <w:sz w:val="28"/>
          <w:szCs w:val="28"/>
          <w:lang w:eastAsia="ru-RU"/>
        </w:rPr>
        <w:t>tenge</w:t>
      </w:r>
      <w:proofErr w:type="spellEnd"/>
      <w:r w:rsidRPr="004B04DB">
        <w:rPr>
          <w:rFonts w:ascii="Times New Roman" w:eastAsia="Times New Roman" w:hAnsi="Times New Roman" w:cs="Times New Roman"/>
          <w:sz w:val="28"/>
          <w:szCs w:val="28"/>
          <w:lang w:eastAsia="ru-RU"/>
        </w:rPr>
        <w:t xml:space="preserve"> / kWh (excluding VAT), the maximum - 11.3 </w:t>
      </w:r>
      <w:proofErr w:type="spellStart"/>
      <w:r w:rsidRPr="004B04DB">
        <w:rPr>
          <w:rFonts w:ascii="Times New Roman" w:eastAsia="Times New Roman" w:hAnsi="Times New Roman" w:cs="Times New Roman"/>
          <w:sz w:val="28"/>
          <w:szCs w:val="28"/>
          <w:lang w:eastAsia="ru-RU"/>
        </w:rPr>
        <w:t>tenge</w:t>
      </w:r>
      <w:proofErr w:type="spellEnd"/>
      <w:r w:rsidRPr="004B04DB">
        <w:rPr>
          <w:rFonts w:ascii="Times New Roman" w:eastAsia="Times New Roman" w:hAnsi="Times New Roman" w:cs="Times New Roman"/>
          <w:sz w:val="28"/>
          <w:szCs w:val="28"/>
          <w:lang w:eastAsia="ru-RU"/>
        </w:rPr>
        <w:t xml:space="preserve"> / kWh (excluding VAT).</w:t>
      </w:r>
    </w:p>
    <w:p w:rsidR="00A234DF" w:rsidRPr="004B04DB" w:rsidRDefault="00A234DF" w:rsidP="00A234DF">
      <w:pPr>
        <w:pStyle w:val="a3"/>
        <w:spacing w:after="0" w:line="240" w:lineRule="auto"/>
        <w:ind w:left="0" w:firstLine="567"/>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For the same period in 2020, the total volume of centralized trading amounted to 374,963 thousand kWh. The table below shows the price dynamics of transactions concluded at centralized trading in April 2020-2021.</w:t>
      </w:r>
    </w:p>
    <w:p w:rsidR="00A234DF" w:rsidRPr="004B04DB" w:rsidRDefault="00A234DF" w:rsidP="00A234DF">
      <w:pPr>
        <w:pStyle w:val="a3"/>
        <w:spacing w:after="0" w:line="240" w:lineRule="auto"/>
        <w:ind w:left="0" w:firstLine="567"/>
        <w:jc w:val="center"/>
        <w:rPr>
          <w:rFonts w:ascii="Times New Roman" w:hAnsi="Times New Roman" w:cs="Times New Roman"/>
          <w:sz w:val="28"/>
          <w:szCs w:val="28"/>
        </w:rPr>
      </w:pPr>
      <w:r w:rsidRPr="004B04DB">
        <w:rPr>
          <w:rFonts w:ascii="Times New Roman" w:hAnsi="Times New Roman" w:cs="Times New Roman"/>
          <w:sz w:val="28"/>
          <w:szCs w:val="28"/>
        </w:rPr>
        <w:t>Dynamics of prices established as a result of centralized trading</w:t>
      </w:r>
    </w:p>
    <w:p w:rsidR="00A234DF" w:rsidRPr="004B04DB" w:rsidRDefault="00A234DF" w:rsidP="00A234DF">
      <w:pPr>
        <w:pStyle w:val="a3"/>
        <w:spacing w:after="0" w:line="240" w:lineRule="auto"/>
        <w:ind w:left="0" w:firstLine="567"/>
        <w:jc w:val="center"/>
        <w:rPr>
          <w:rFonts w:ascii="Times New Roman" w:hAnsi="Times New Roman" w:cs="Times New Roman"/>
          <w:sz w:val="28"/>
          <w:szCs w:val="28"/>
        </w:rPr>
      </w:pPr>
      <w:r w:rsidRPr="004B04DB">
        <w:rPr>
          <w:rFonts w:ascii="Times New Roman" w:hAnsi="Times New Roman" w:cs="Times New Roman"/>
          <w:sz w:val="28"/>
          <w:szCs w:val="28"/>
        </w:rPr>
        <w:t>in April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A234DF" w:rsidRPr="004B04DB" w:rsidTr="00A234DF">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b/>
                <w:bCs/>
                <w:sz w:val="20"/>
                <w:szCs w:val="20"/>
              </w:rPr>
            </w:pPr>
            <w:r w:rsidRPr="004B04DB">
              <w:rPr>
                <w:rFonts w:ascii="Times New Roman" w:hAnsi="Times New Roman" w:cs="Times New Roman"/>
                <w:b/>
                <w:bCs/>
                <w:sz w:val="20"/>
                <w:szCs w:val="20"/>
              </w:rPr>
              <w:t>April</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b/>
                <w:bCs/>
                <w:sz w:val="20"/>
                <w:szCs w:val="20"/>
              </w:rPr>
            </w:pPr>
            <w:r w:rsidRPr="004B04DB">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b/>
                <w:bCs/>
                <w:sz w:val="20"/>
                <w:szCs w:val="20"/>
              </w:rPr>
            </w:pPr>
            <w:r w:rsidRPr="004B04DB">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b/>
                <w:bCs/>
                <w:sz w:val="20"/>
                <w:szCs w:val="20"/>
              </w:rPr>
            </w:pPr>
            <w:r w:rsidRPr="004B04DB">
              <w:rPr>
                <w:rFonts w:ascii="Times New Roman" w:hAnsi="Times New Roman" w:cs="Times New Roman"/>
                <w:b/>
                <w:bCs/>
                <w:sz w:val="20"/>
                <w:szCs w:val="20"/>
              </w:rPr>
              <w:t>during business days</w:t>
            </w:r>
          </w:p>
        </w:tc>
      </w:tr>
      <w:tr w:rsidR="00A234DF" w:rsidRPr="004B04DB" w:rsidTr="00A234DF">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sz w:val="20"/>
                <w:szCs w:val="20"/>
              </w:rPr>
            </w:pPr>
            <w:r w:rsidRPr="004B04DB">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sz w:val="20"/>
                <w:szCs w:val="20"/>
              </w:rPr>
            </w:pPr>
            <w:r w:rsidRPr="004B04DB">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sz w:val="20"/>
                <w:szCs w:val="20"/>
              </w:rPr>
            </w:pPr>
            <w:r w:rsidRPr="004B04DB">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sz w:val="20"/>
                <w:szCs w:val="20"/>
              </w:rPr>
            </w:pPr>
            <w:r w:rsidRPr="004B04DB">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sz w:val="20"/>
                <w:szCs w:val="20"/>
              </w:rPr>
            </w:pPr>
            <w:r w:rsidRPr="004B04DB">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sz w:val="20"/>
                <w:szCs w:val="20"/>
              </w:rPr>
            </w:pPr>
            <w:r w:rsidRPr="004B04DB">
              <w:rPr>
                <w:rFonts w:ascii="Times New Roman" w:hAnsi="Times New Roman" w:cs="Times New Roman"/>
                <w:sz w:val="20"/>
                <w:szCs w:val="20"/>
              </w:rPr>
              <w:t>MAX price</w:t>
            </w:r>
          </w:p>
        </w:tc>
      </w:tr>
      <w:tr w:rsidR="00A234DF" w:rsidRPr="004B04DB" w:rsidTr="00A234DF">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234DF" w:rsidRPr="004B04DB" w:rsidRDefault="00A234DF" w:rsidP="00A234DF">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A234DF" w:rsidRPr="004B04DB" w:rsidRDefault="00A234DF" w:rsidP="00A234DF">
            <w:pPr>
              <w:spacing w:after="0"/>
              <w:jc w:val="center"/>
              <w:rPr>
                <w:rFonts w:ascii="Times New Roman" w:hAnsi="Times New Roman" w:cs="Times New Roman"/>
                <w:b/>
                <w:bCs/>
                <w:sz w:val="20"/>
                <w:szCs w:val="20"/>
              </w:rPr>
            </w:pPr>
            <w:proofErr w:type="spellStart"/>
            <w:r w:rsidRPr="004B04DB">
              <w:rPr>
                <w:rFonts w:ascii="Times New Roman" w:hAnsi="Times New Roman" w:cs="Times New Roman"/>
                <w:b/>
                <w:bCs/>
                <w:sz w:val="20"/>
                <w:szCs w:val="20"/>
              </w:rPr>
              <w:t>tg</w:t>
            </w:r>
            <w:proofErr w:type="spellEnd"/>
            <w:r w:rsidRPr="004B04DB">
              <w:rPr>
                <w:rFonts w:ascii="Times New Roman" w:hAnsi="Times New Roman" w:cs="Times New Roman"/>
                <w:b/>
                <w:bCs/>
                <w:sz w:val="20"/>
                <w:szCs w:val="20"/>
              </w:rPr>
              <w:t xml:space="preserve"> /kWh ( excluding VAT)</w:t>
            </w:r>
          </w:p>
        </w:tc>
      </w:tr>
      <w:tr w:rsidR="00A234DF" w:rsidRPr="004B04DB" w:rsidTr="00A234DF">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A234DF" w:rsidRPr="004B04DB" w:rsidRDefault="00A234DF" w:rsidP="00A234DF">
            <w:pPr>
              <w:pStyle w:val="Default"/>
              <w:jc w:val="center"/>
              <w:rPr>
                <w:sz w:val="20"/>
                <w:szCs w:val="20"/>
              </w:rPr>
            </w:pPr>
            <w:r w:rsidRPr="004B04DB">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A234DF" w:rsidRPr="004B04DB" w:rsidRDefault="00A234DF" w:rsidP="00A234DF">
            <w:pPr>
              <w:pStyle w:val="Default"/>
              <w:jc w:val="center"/>
              <w:rPr>
                <w:b/>
                <w:bCs/>
                <w:sz w:val="20"/>
                <w:szCs w:val="20"/>
              </w:rPr>
            </w:pPr>
            <w:r w:rsidRPr="004B04DB">
              <w:rPr>
                <w:b/>
                <w:bCs/>
                <w:sz w:val="20"/>
                <w:szCs w:val="20"/>
              </w:rPr>
              <w:t>5</w:t>
            </w:r>
          </w:p>
        </w:tc>
        <w:tc>
          <w:tcPr>
            <w:tcW w:w="1276" w:type="dxa"/>
            <w:tcBorders>
              <w:top w:val="nil"/>
              <w:left w:val="nil"/>
              <w:bottom w:val="single" w:sz="4" w:space="0" w:color="auto"/>
              <w:right w:val="single" w:sz="4" w:space="0" w:color="auto"/>
            </w:tcBorders>
            <w:shd w:val="clear" w:color="000000" w:fill="FFFF00"/>
            <w:vAlign w:val="center"/>
            <w:hideMark/>
          </w:tcPr>
          <w:p w:rsidR="00A234DF" w:rsidRPr="004B04DB" w:rsidRDefault="00A234DF" w:rsidP="00A234DF">
            <w:pPr>
              <w:pStyle w:val="Default"/>
              <w:jc w:val="center"/>
              <w:rPr>
                <w:b/>
                <w:bCs/>
                <w:sz w:val="20"/>
                <w:szCs w:val="20"/>
              </w:rPr>
            </w:pPr>
            <w:r w:rsidRPr="004B04DB">
              <w:rPr>
                <w:b/>
                <w:bCs/>
                <w:sz w:val="20"/>
                <w:szCs w:val="20"/>
              </w:rPr>
              <w:t>6.7</w:t>
            </w:r>
          </w:p>
        </w:tc>
        <w:tc>
          <w:tcPr>
            <w:tcW w:w="1276" w:type="dxa"/>
            <w:tcBorders>
              <w:top w:val="nil"/>
              <w:left w:val="nil"/>
              <w:bottom w:val="single" w:sz="4" w:space="0" w:color="auto"/>
              <w:right w:val="single" w:sz="4" w:space="0" w:color="auto"/>
            </w:tcBorders>
            <w:shd w:val="clear" w:color="000000" w:fill="FFFF00"/>
            <w:vAlign w:val="center"/>
            <w:hideMark/>
          </w:tcPr>
          <w:p w:rsidR="00A234DF" w:rsidRPr="004B04DB" w:rsidRDefault="00A234DF" w:rsidP="00A234DF">
            <w:pPr>
              <w:pStyle w:val="Default"/>
              <w:jc w:val="center"/>
              <w:rPr>
                <w:b/>
                <w:bCs/>
                <w:sz w:val="20"/>
                <w:szCs w:val="20"/>
              </w:rPr>
            </w:pPr>
            <w:r w:rsidRPr="004B04DB">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A234DF" w:rsidRPr="004B04DB" w:rsidRDefault="00A234DF" w:rsidP="00A234DF">
            <w:pPr>
              <w:pStyle w:val="Default"/>
              <w:jc w:val="center"/>
              <w:rPr>
                <w:b/>
                <w:bCs/>
                <w:sz w:val="20"/>
                <w:szCs w:val="20"/>
              </w:rPr>
            </w:pPr>
            <w:r w:rsidRPr="004B04DB">
              <w:rPr>
                <w:b/>
                <w:bCs/>
                <w:sz w:val="20"/>
                <w:szCs w:val="20"/>
              </w:rPr>
              <w:t>2.43</w:t>
            </w:r>
          </w:p>
        </w:tc>
        <w:tc>
          <w:tcPr>
            <w:tcW w:w="1134" w:type="dxa"/>
            <w:tcBorders>
              <w:top w:val="nil"/>
              <w:left w:val="nil"/>
              <w:bottom w:val="single" w:sz="4" w:space="0" w:color="auto"/>
              <w:right w:val="single" w:sz="4" w:space="0" w:color="auto"/>
            </w:tcBorders>
            <w:shd w:val="clear" w:color="000000" w:fill="FFFF00"/>
            <w:vAlign w:val="center"/>
            <w:hideMark/>
          </w:tcPr>
          <w:p w:rsidR="00A234DF" w:rsidRPr="004B04DB" w:rsidRDefault="00A234DF" w:rsidP="00A234DF">
            <w:pPr>
              <w:pStyle w:val="Default"/>
              <w:jc w:val="center"/>
              <w:rPr>
                <w:b/>
                <w:bCs/>
                <w:sz w:val="20"/>
                <w:szCs w:val="20"/>
              </w:rPr>
            </w:pPr>
            <w:r w:rsidRPr="004B04DB">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A234DF" w:rsidRPr="004B04DB" w:rsidRDefault="00A234DF" w:rsidP="00A234DF">
            <w:pPr>
              <w:pStyle w:val="Default"/>
              <w:jc w:val="center"/>
              <w:rPr>
                <w:b/>
                <w:bCs/>
                <w:sz w:val="20"/>
                <w:szCs w:val="20"/>
              </w:rPr>
            </w:pPr>
            <w:r w:rsidRPr="004B04DB">
              <w:rPr>
                <w:b/>
                <w:bCs/>
                <w:sz w:val="20"/>
                <w:szCs w:val="20"/>
              </w:rPr>
              <w:t>-</w:t>
            </w:r>
          </w:p>
        </w:tc>
      </w:tr>
      <w:tr w:rsidR="00A234DF" w:rsidRPr="004B04DB" w:rsidTr="00A234DF">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A234DF" w:rsidRPr="004B04DB" w:rsidRDefault="00A234DF" w:rsidP="00A234DF">
            <w:pPr>
              <w:pStyle w:val="Default"/>
              <w:jc w:val="center"/>
              <w:rPr>
                <w:sz w:val="20"/>
                <w:szCs w:val="20"/>
              </w:rPr>
            </w:pPr>
            <w:r w:rsidRPr="004B04DB">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A234DF" w:rsidRPr="004B04DB" w:rsidRDefault="00A234DF" w:rsidP="00A234DF">
            <w:pPr>
              <w:pStyle w:val="Default"/>
              <w:jc w:val="center"/>
              <w:rPr>
                <w:b/>
                <w:bCs/>
                <w:sz w:val="20"/>
                <w:szCs w:val="20"/>
              </w:rPr>
            </w:pPr>
            <w:r w:rsidRPr="004B04DB">
              <w:rPr>
                <w:b/>
                <w:bCs/>
                <w:sz w:val="20"/>
                <w:szCs w:val="20"/>
              </w:rPr>
              <w:t>6</w:t>
            </w:r>
          </w:p>
        </w:tc>
        <w:tc>
          <w:tcPr>
            <w:tcW w:w="1276" w:type="dxa"/>
            <w:tcBorders>
              <w:top w:val="nil"/>
              <w:left w:val="nil"/>
              <w:bottom w:val="single" w:sz="4" w:space="0" w:color="auto"/>
              <w:right w:val="single" w:sz="4" w:space="0" w:color="auto"/>
            </w:tcBorders>
            <w:shd w:val="clear" w:color="000000" w:fill="FFC000"/>
            <w:vAlign w:val="center"/>
            <w:hideMark/>
          </w:tcPr>
          <w:p w:rsidR="00A234DF" w:rsidRPr="004B04DB" w:rsidRDefault="00A234DF" w:rsidP="00A234DF">
            <w:pPr>
              <w:pStyle w:val="Default"/>
              <w:jc w:val="center"/>
              <w:rPr>
                <w:b/>
                <w:bCs/>
                <w:sz w:val="20"/>
                <w:szCs w:val="20"/>
              </w:rPr>
            </w:pPr>
            <w:r w:rsidRPr="004B04DB">
              <w:rPr>
                <w:b/>
                <w:bCs/>
                <w:sz w:val="20"/>
                <w:szCs w:val="20"/>
              </w:rPr>
              <w:t>9.6</w:t>
            </w:r>
          </w:p>
        </w:tc>
        <w:tc>
          <w:tcPr>
            <w:tcW w:w="1276" w:type="dxa"/>
            <w:tcBorders>
              <w:top w:val="nil"/>
              <w:left w:val="nil"/>
              <w:bottom w:val="single" w:sz="4" w:space="0" w:color="auto"/>
              <w:right w:val="single" w:sz="4" w:space="0" w:color="auto"/>
            </w:tcBorders>
            <w:shd w:val="clear" w:color="000000" w:fill="FFC000"/>
            <w:vAlign w:val="center"/>
            <w:hideMark/>
          </w:tcPr>
          <w:p w:rsidR="00A234DF" w:rsidRPr="004B04DB" w:rsidRDefault="00A234DF" w:rsidP="00A234DF">
            <w:pPr>
              <w:pStyle w:val="Default"/>
              <w:jc w:val="center"/>
              <w:rPr>
                <w:b/>
                <w:bCs/>
                <w:sz w:val="20"/>
                <w:szCs w:val="20"/>
              </w:rPr>
            </w:pPr>
            <w:r w:rsidRPr="004B04DB">
              <w:rPr>
                <w:b/>
                <w:bCs/>
                <w:sz w:val="20"/>
                <w:szCs w:val="20"/>
              </w:rPr>
              <w:t>9.21</w:t>
            </w:r>
          </w:p>
        </w:tc>
        <w:tc>
          <w:tcPr>
            <w:tcW w:w="1276" w:type="dxa"/>
            <w:tcBorders>
              <w:top w:val="nil"/>
              <w:left w:val="nil"/>
              <w:bottom w:val="single" w:sz="4" w:space="0" w:color="auto"/>
              <w:right w:val="single" w:sz="4" w:space="0" w:color="auto"/>
            </w:tcBorders>
            <w:shd w:val="clear" w:color="000000" w:fill="FFC000"/>
            <w:vAlign w:val="center"/>
            <w:hideMark/>
          </w:tcPr>
          <w:p w:rsidR="00A234DF" w:rsidRPr="004B04DB" w:rsidRDefault="00A234DF" w:rsidP="00A234DF">
            <w:pPr>
              <w:pStyle w:val="Default"/>
              <w:jc w:val="center"/>
              <w:rPr>
                <w:b/>
                <w:bCs/>
                <w:sz w:val="20"/>
                <w:szCs w:val="20"/>
              </w:rPr>
            </w:pPr>
            <w:r w:rsidRPr="004B04DB">
              <w:rPr>
                <w:b/>
                <w:bCs/>
                <w:sz w:val="20"/>
                <w:szCs w:val="20"/>
              </w:rPr>
              <w:t>11.3</w:t>
            </w:r>
          </w:p>
        </w:tc>
        <w:tc>
          <w:tcPr>
            <w:tcW w:w="1134" w:type="dxa"/>
            <w:tcBorders>
              <w:top w:val="nil"/>
              <w:left w:val="nil"/>
              <w:bottom w:val="single" w:sz="4" w:space="0" w:color="auto"/>
              <w:right w:val="single" w:sz="4" w:space="0" w:color="auto"/>
            </w:tcBorders>
            <w:shd w:val="clear" w:color="000000" w:fill="FFC000"/>
            <w:vAlign w:val="center"/>
            <w:hideMark/>
          </w:tcPr>
          <w:p w:rsidR="00A234DF" w:rsidRPr="004B04DB" w:rsidRDefault="00A234DF" w:rsidP="00A234DF">
            <w:pPr>
              <w:pStyle w:val="Default"/>
              <w:jc w:val="center"/>
              <w:rPr>
                <w:b/>
                <w:bCs/>
                <w:sz w:val="20"/>
                <w:szCs w:val="20"/>
              </w:rPr>
            </w:pPr>
            <w:r w:rsidRPr="004B04DB">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A234DF" w:rsidRPr="004B04DB" w:rsidRDefault="00A234DF" w:rsidP="00A234DF">
            <w:pPr>
              <w:pStyle w:val="Default"/>
              <w:jc w:val="center"/>
              <w:rPr>
                <w:b/>
                <w:bCs/>
                <w:sz w:val="20"/>
                <w:szCs w:val="20"/>
              </w:rPr>
            </w:pPr>
            <w:r w:rsidRPr="004B04DB">
              <w:rPr>
                <w:b/>
                <w:bCs/>
                <w:sz w:val="20"/>
                <w:szCs w:val="20"/>
              </w:rPr>
              <w:t>-</w:t>
            </w:r>
          </w:p>
        </w:tc>
      </w:tr>
    </w:tbl>
    <w:p w:rsidR="00A234DF" w:rsidRPr="004B04DB" w:rsidRDefault="00A234DF" w:rsidP="00A234DF">
      <w:pPr>
        <w:pStyle w:val="1"/>
        <w:spacing w:before="0" w:line="240" w:lineRule="auto"/>
        <w:ind w:firstLine="709"/>
        <w:rPr>
          <w:rFonts w:ascii="Times New Roman" w:hAnsi="Times New Roman" w:cs="Times New Roman"/>
          <w:b/>
          <w:i/>
          <w:color w:val="auto"/>
          <w:sz w:val="28"/>
        </w:rPr>
      </w:pPr>
      <w:bookmarkStart w:id="23" w:name="_Toc510196478"/>
    </w:p>
    <w:p w:rsidR="00A234DF" w:rsidRPr="004B04DB" w:rsidRDefault="00A234DF" w:rsidP="00A234DF">
      <w:pPr>
        <w:pStyle w:val="1"/>
        <w:spacing w:before="0" w:line="240" w:lineRule="auto"/>
        <w:ind w:firstLine="709"/>
        <w:rPr>
          <w:rFonts w:ascii="Times New Roman" w:hAnsi="Times New Roman" w:cs="Times New Roman"/>
          <w:b/>
          <w:i/>
          <w:color w:val="auto"/>
          <w:sz w:val="28"/>
        </w:rPr>
      </w:pPr>
      <w:r w:rsidRPr="004B04DB">
        <w:rPr>
          <w:rFonts w:ascii="Times New Roman" w:hAnsi="Times New Roman" w:cs="Times New Roman"/>
          <w:b/>
          <w:i/>
          <w:color w:val="auto"/>
          <w:sz w:val="28"/>
        </w:rPr>
        <w:t>Results of spot trading in the "day ahead" mode</w:t>
      </w:r>
      <w:bookmarkEnd w:id="23"/>
    </w:p>
    <w:p w:rsidR="00A234DF" w:rsidRPr="004B04DB" w:rsidRDefault="00A234DF" w:rsidP="00A234DF">
      <w:pPr>
        <w:pStyle w:val="a3"/>
        <w:spacing w:after="0" w:line="240" w:lineRule="auto"/>
        <w:ind w:left="0" w:firstLine="709"/>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 xml:space="preserve">Based on the results of spot trading in April 2021, 179 transactions were concluded in the amount of 95,032 thousand kWh, the minimum clearing price for spot trading in the “one day ahead” mode was 6 tenge / kWh (excluding VAT ) , and the maximum - 9.6 </w:t>
      </w:r>
      <w:proofErr w:type="spellStart"/>
      <w:r w:rsidRPr="004B04DB">
        <w:rPr>
          <w:rFonts w:ascii="Times New Roman" w:eastAsia="Times New Roman" w:hAnsi="Times New Roman" w:cs="Times New Roman"/>
          <w:sz w:val="28"/>
          <w:szCs w:val="28"/>
          <w:lang w:eastAsia="ru-RU"/>
        </w:rPr>
        <w:t>tenge</w:t>
      </w:r>
      <w:proofErr w:type="spellEnd"/>
      <w:r w:rsidRPr="004B04DB">
        <w:rPr>
          <w:rFonts w:ascii="Times New Roman" w:eastAsia="Times New Roman" w:hAnsi="Times New Roman" w:cs="Times New Roman"/>
          <w:sz w:val="28"/>
          <w:szCs w:val="28"/>
          <w:lang w:eastAsia="ru-RU"/>
        </w:rPr>
        <w:t xml:space="preserve"> / kWh (excluding VAT).</w:t>
      </w:r>
    </w:p>
    <w:p w:rsidR="00A234DF" w:rsidRPr="004B04DB" w:rsidRDefault="00A234DF" w:rsidP="00A234DF">
      <w:pPr>
        <w:pStyle w:val="a3"/>
        <w:spacing w:after="0" w:line="240" w:lineRule="auto"/>
        <w:ind w:left="0" w:firstLine="709"/>
        <w:jc w:val="both"/>
        <w:rPr>
          <w:rFonts w:ascii="Times New Roman" w:eastAsia="Times New Roman" w:hAnsi="Times New Roman" w:cs="Times New Roman"/>
          <w:sz w:val="28"/>
          <w:szCs w:val="28"/>
          <w:lang w:eastAsia="ru-RU"/>
        </w:rPr>
      </w:pPr>
      <w:r w:rsidRPr="004B04DB">
        <w:rPr>
          <w:rFonts w:ascii="Times New Roman" w:eastAsia="Times New Roman" w:hAnsi="Times New Roman" w:cs="Times New Roman"/>
          <w:sz w:val="28"/>
          <w:szCs w:val="28"/>
          <w:lang w:eastAsia="ru-RU"/>
        </w:rPr>
        <w:t>The table below shows the final day-ahead spot trading results for April 2021.</w:t>
      </w:r>
    </w:p>
    <w:p w:rsidR="00A234DF" w:rsidRPr="004B04DB" w:rsidRDefault="00A234DF" w:rsidP="00A234DF">
      <w:pPr>
        <w:pStyle w:val="a3"/>
        <w:spacing w:after="0" w:line="240" w:lineRule="auto"/>
        <w:ind w:left="-142" w:firstLine="142"/>
        <w:jc w:val="both"/>
        <w:rPr>
          <w:rFonts w:ascii="Times New Roman" w:hAnsi="Times New Roman" w:cs="Times New Roman"/>
          <w:sz w:val="28"/>
          <w:szCs w:val="28"/>
        </w:rPr>
      </w:pPr>
      <w:r w:rsidRPr="004B04DB">
        <w:rPr>
          <w:rFonts w:ascii="Times New Roman" w:hAnsi="Times New Roman" w:cs="Times New Roman"/>
          <w:noProof/>
          <w:sz w:val="28"/>
          <w:szCs w:val="28"/>
          <w:lang w:val="ru-RU" w:eastAsia="ru-RU"/>
        </w:rPr>
        <w:lastRenderedPageBreak/>
        <w:drawing>
          <wp:inline distT="0" distB="0" distL="0" distR="0" wp14:anchorId="21769010" wp14:editId="5C817A36">
            <wp:extent cx="6301105" cy="8016454"/>
            <wp:effectExtent l="0" t="0" r="444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8016454"/>
                    </a:xfrm>
                    <a:prstGeom prst="rect">
                      <a:avLst/>
                    </a:prstGeom>
                    <a:noFill/>
                    <a:ln>
                      <a:noFill/>
                    </a:ln>
                  </pic:spPr>
                </pic:pic>
              </a:graphicData>
            </a:graphic>
          </wp:inline>
        </w:drawing>
      </w:r>
    </w:p>
    <w:p w:rsidR="00A234DF" w:rsidRPr="004B04DB" w:rsidRDefault="00A234DF" w:rsidP="00A234DF">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4" w:name="_Toc510196479"/>
      <w:r w:rsidRPr="004B04DB">
        <w:rPr>
          <w:rFonts w:ascii="Times New Roman" w:eastAsia="Times New Roman" w:hAnsi="Times New Roman" w:cs="Times New Roman"/>
          <w:color w:val="auto"/>
          <w:sz w:val="28"/>
          <w:szCs w:val="28"/>
          <w:lang w:eastAsia="ru-RU"/>
        </w:rPr>
        <w:lastRenderedPageBreak/>
        <w:t>The table shows that the total demand amounted to 175,229 thousand kWh, while the total supply amounted to 119,064 thousand kWh, with transactions in the amount of 95,032 thousand kWh.</w:t>
      </w:r>
    </w:p>
    <w:p w:rsidR="00A234DF" w:rsidRPr="004B04DB" w:rsidRDefault="00A234DF" w:rsidP="00A234DF">
      <w:pPr>
        <w:pStyle w:val="1"/>
        <w:spacing w:before="0" w:line="240" w:lineRule="auto"/>
        <w:ind w:firstLine="709"/>
        <w:jc w:val="both"/>
        <w:rPr>
          <w:rFonts w:ascii="Times New Roman" w:eastAsia="Times New Roman" w:hAnsi="Times New Roman" w:cs="Times New Roman"/>
          <w:color w:val="auto"/>
          <w:sz w:val="28"/>
          <w:szCs w:val="28"/>
          <w:lang w:eastAsia="ru-RU"/>
        </w:rPr>
      </w:pPr>
      <w:r w:rsidRPr="004B04DB">
        <w:rPr>
          <w:rFonts w:ascii="Times New Roman" w:eastAsia="Times New Roman" w:hAnsi="Times New Roman" w:cs="Times New Roman"/>
          <w:color w:val="auto"/>
          <w:sz w:val="28"/>
          <w:szCs w:val="28"/>
          <w:lang w:eastAsia="ru-RU"/>
        </w:rPr>
        <w:t>The unsatisfied volume of demand in April 2021 amounted to 80,197 thousand kWh, and the unsatisfied volume of supply was 24,032 thousand kWh. In the process of spot trading, 460 orders were accepted into the trading system, of which 394 were from buyers and 66 were from sellers.</w:t>
      </w:r>
    </w:p>
    <w:p w:rsidR="00A234DF" w:rsidRPr="004B04DB" w:rsidRDefault="00A234DF" w:rsidP="00A234DF">
      <w:pPr>
        <w:pStyle w:val="1"/>
        <w:spacing w:before="0" w:line="240" w:lineRule="auto"/>
        <w:ind w:firstLine="709"/>
        <w:jc w:val="both"/>
        <w:rPr>
          <w:rFonts w:ascii="Times New Roman" w:hAnsi="Times New Roman" w:cs="Times New Roman"/>
          <w:b/>
          <w:i/>
          <w:color w:val="auto"/>
          <w:sz w:val="28"/>
        </w:rPr>
      </w:pPr>
      <w:r w:rsidRPr="004B04DB">
        <w:rPr>
          <w:rFonts w:ascii="Times New Roman" w:hAnsi="Times New Roman" w:cs="Times New Roman"/>
          <w:b/>
          <w:i/>
          <w:color w:val="auto"/>
          <w:sz w:val="28"/>
        </w:rPr>
        <w:t>Results of spot trading "during the trading day"</w:t>
      </w:r>
      <w:bookmarkEnd w:id="24"/>
    </w:p>
    <w:p w:rsidR="00A234DF" w:rsidRPr="004B04DB" w:rsidRDefault="00A234DF" w:rsidP="00A234DF">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5" w:name="_Toc510196480"/>
      <w:r w:rsidRPr="004B04DB">
        <w:rPr>
          <w:rFonts w:ascii="Times New Roman" w:eastAsia="Times New Roman" w:hAnsi="Times New Roman" w:cs="Times New Roman"/>
          <w:color w:val="auto"/>
          <w:sz w:val="28"/>
          <w:szCs w:val="28"/>
          <w:lang w:eastAsia="ru-RU"/>
        </w:rPr>
        <w:t>As a result of the auctions held in April 2021, no transactions were concluded. According to the results of the auctions held in April 2020, no deals were also concluded.</w:t>
      </w:r>
    </w:p>
    <w:p w:rsidR="00A234DF" w:rsidRPr="004B04DB" w:rsidRDefault="00A234DF" w:rsidP="00A234DF">
      <w:pPr>
        <w:pStyle w:val="1"/>
        <w:spacing w:before="0" w:line="240" w:lineRule="auto"/>
        <w:ind w:firstLine="709"/>
        <w:jc w:val="both"/>
        <w:rPr>
          <w:rFonts w:ascii="Times New Roman" w:hAnsi="Times New Roman" w:cs="Times New Roman"/>
          <w:b/>
          <w:i/>
          <w:color w:val="auto"/>
          <w:sz w:val="28"/>
        </w:rPr>
      </w:pPr>
      <w:r w:rsidRPr="004B04DB">
        <w:rPr>
          <w:rFonts w:ascii="Times New Roman" w:hAnsi="Times New Roman" w:cs="Times New Roman"/>
          <w:b/>
          <w:i/>
          <w:color w:val="auto"/>
          <w:sz w:val="28"/>
        </w:rPr>
        <w:t>Trading results for the medium and long term</w:t>
      </w:r>
      <w:bookmarkEnd w:id="25"/>
    </w:p>
    <w:p w:rsidR="00A234DF" w:rsidRPr="004B04DB" w:rsidRDefault="00A234DF" w:rsidP="00A234DF">
      <w:pPr>
        <w:pStyle w:val="1"/>
        <w:spacing w:before="0" w:line="240" w:lineRule="auto"/>
        <w:ind w:firstLine="709"/>
        <w:jc w:val="both"/>
        <w:rPr>
          <w:rFonts w:ascii="Times New Roman" w:eastAsia="Times New Roman" w:hAnsi="Times New Roman" w:cs="Times New Roman"/>
          <w:color w:val="auto"/>
          <w:sz w:val="28"/>
          <w:szCs w:val="28"/>
          <w:lang w:eastAsia="ru-RU"/>
        </w:rPr>
      </w:pPr>
      <w:r w:rsidRPr="004B04DB">
        <w:rPr>
          <w:rFonts w:ascii="Times New Roman" w:eastAsia="Times New Roman" w:hAnsi="Times New Roman" w:cs="Times New Roman"/>
          <w:color w:val="auto"/>
          <w:sz w:val="28"/>
          <w:szCs w:val="28"/>
          <w:lang w:eastAsia="ru-RU"/>
        </w:rPr>
        <w:t xml:space="preserve">In April 2021, following the results of trading for the medium and long term, 7 transactions were concluded with a volume of 122,496 thousand kWh for a total amount of 1,170,068.16 thousand tenge (excluding VAT). The minimum price for this type of centralized trading was 9.21 </w:t>
      </w:r>
      <w:proofErr w:type="spellStart"/>
      <w:r w:rsidRPr="004B04DB">
        <w:rPr>
          <w:rFonts w:ascii="Times New Roman" w:eastAsia="Times New Roman" w:hAnsi="Times New Roman" w:cs="Times New Roman"/>
          <w:color w:val="auto"/>
          <w:sz w:val="28"/>
          <w:szCs w:val="28"/>
          <w:lang w:eastAsia="ru-RU"/>
        </w:rPr>
        <w:t>tenge</w:t>
      </w:r>
      <w:proofErr w:type="spellEnd"/>
      <w:r w:rsidRPr="004B04DB">
        <w:rPr>
          <w:rFonts w:ascii="Times New Roman" w:eastAsia="Times New Roman" w:hAnsi="Times New Roman" w:cs="Times New Roman"/>
          <w:color w:val="auto"/>
          <w:sz w:val="28"/>
          <w:szCs w:val="28"/>
          <w:lang w:eastAsia="ru-RU"/>
        </w:rPr>
        <w:t xml:space="preserve"> / kWh (excluding VAT), and the maximum price was 11.3 </w:t>
      </w:r>
      <w:proofErr w:type="spellStart"/>
      <w:r w:rsidRPr="004B04DB">
        <w:rPr>
          <w:rFonts w:ascii="Times New Roman" w:eastAsia="Times New Roman" w:hAnsi="Times New Roman" w:cs="Times New Roman"/>
          <w:color w:val="auto"/>
          <w:sz w:val="28"/>
          <w:szCs w:val="28"/>
          <w:lang w:eastAsia="ru-RU"/>
        </w:rPr>
        <w:t>tenge</w:t>
      </w:r>
      <w:proofErr w:type="spellEnd"/>
      <w:r w:rsidRPr="004B04DB">
        <w:rPr>
          <w:rFonts w:ascii="Times New Roman" w:eastAsia="Times New Roman" w:hAnsi="Times New Roman" w:cs="Times New Roman"/>
          <w:color w:val="auto"/>
          <w:sz w:val="28"/>
          <w:szCs w:val="28"/>
          <w:lang w:eastAsia="ru-RU"/>
        </w:rPr>
        <w:t xml:space="preserve"> / kWh (excluding VAT).</w:t>
      </w:r>
    </w:p>
    <w:p w:rsidR="00A234DF" w:rsidRPr="004B04DB" w:rsidRDefault="00A234DF" w:rsidP="00A234DF">
      <w:pPr>
        <w:pStyle w:val="1"/>
        <w:spacing w:before="0" w:line="240" w:lineRule="auto"/>
        <w:ind w:firstLine="709"/>
        <w:jc w:val="both"/>
        <w:rPr>
          <w:rFonts w:ascii="Times New Roman" w:eastAsia="Times New Roman" w:hAnsi="Times New Roman" w:cs="Times New Roman"/>
          <w:color w:val="auto"/>
          <w:sz w:val="28"/>
          <w:szCs w:val="28"/>
          <w:lang w:eastAsia="ru-RU"/>
        </w:rPr>
      </w:pPr>
      <w:r w:rsidRPr="004B04DB">
        <w:rPr>
          <w:rFonts w:ascii="Times New Roman" w:eastAsia="Times New Roman" w:hAnsi="Times New Roman" w:cs="Times New Roman"/>
          <w:color w:val="auto"/>
          <w:sz w:val="28"/>
          <w:szCs w:val="28"/>
          <w:lang w:eastAsia="ru-RU"/>
        </w:rPr>
        <w:t xml:space="preserve">For the same period in 2020, 15 transactions were concluded in electricity trades for the medium and long-term periods in the amount of 331,440 thousand kWh for a total amount of 620,149.2 thousand tenge (excluding VAT). The minimum price for this type of centralized trading was 1.1 </w:t>
      </w:r>
      <w:proofErr w:type="spellStart"/>
      <w:r w:rsidRPr="004B04DB">
        <w:rPr>
          <w:rFonts w:ascii="Times New Roman" w:eastAsia="Times New Roman" w:hAnsi="Times New Roman" w:cs="Times New Roman"/>
          <w:color w:val="auto"/>
          <w:sz w:val="28"/>
          <w:szCs w:val="28"/>
          <w:lang w:eastAsia="ru-RU"/>
        </w:rPr>
        <w:t>tenge</w:t>
      </w:r>
      <w:proofErr w:type="spellEnd"/>
      <w:r w:rsidRPr="004B04DB">
        <w:rPr>
          <w:rFonts w:ascii="Times New Roman" w:eastAsia="Times New Roman" w:hAnsi="Times New Roman" w:cs="Times New Roman"/>
          <w:color w:val="auto"/>
          <w:sz w:val="28"/>
          <w:szCs w:val="28"/>
          <w:lang w:eastAsia="ru-RU"/>
        </w:rPr>
        <w:t xml:space="preserve"> / kWh (excluding VAT), and the maximum price was 2.43 </w:t>
      </w:r>
      <w:proofErr w:type="spellStart"/>
      <w:r w:rsidRPr="004B04DB">
        <w:rPr>
          <w:rFonts w:ascii="Times New Roman" w:eastAsia="Times New Roman" w:hAnsi="Times New Roman" w:cs="Times New Roman"/>
          <w:color w:val="auto"/>
          <w:sz w:val="28"/>
          <w:szCs w:val="28"/>
          <w:lang w:eastAsia="ru-RU"/>
        </w:rPr>
        <w:t>tenge</w:t>
      </w:r>
      <w:proofErr w:type="spellEnd"/>
      <w:r w:rsidRPr="004B04DB">
        <w:rPr>
          <w:rFonts w:ascii="Times New Roman" w:eastAsia="Times New Roman" w:hAnsi="Times New Roman" w:cs="Times New Roman"/>
          <w:color w:val="auto"/>
          <w:sz w:val="28"/>
          <w:szCs w:val="28"/>
          <w:lang w:eastAsia="ru-RU"/>
        </w:rPr>
        <w:t xml:space="preserve"> / kWh (excluding VAT).</w:t>
      </w:r>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6" w:name="_Toc52533539"/>
      <w:bookmarkStart w:id="27" w:name="_Toc70507501"/>
      <w:r w:rsidRPr="007F6813">
        <w:rPr>
          <w:rFonts w:ascii="Times New Roman" w:hAnsi="Times New Roman" w:cs="Times New Roman"/>
          <w:b/>
          <w:color w:val="auto"/>
        </w:rPr>
        <w:t>Export-import of electrical energy</w:t>
      </w:r>
      <w:bookmarkEnd w:id="26"/>
      <w:bookmarkEnd w:id="27"/>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A234DF" w:rsidRPr="004B04DB" w:rsidRDefault="00A234DF" w:rsidP="00A234DF">
      <w:pPr>
        <w:spacing w:after="0" w:line="240" w:lineRule="auto"/>
        <w:ind w:firstLine="709"/>
        <w:jc w:val="both"/>
        <w:rPr>
          <w:rFonts w:ascii="Times New Roman" w:hAnsi="Times New Roman" w:cs="Times New Roman"/>
          <w:sz w:val="28"/>
          <w:szCs w:val="28"/>
        </w:rPr>
      </w:pPr>
      <w:bookmarkStart w:id="28" w:name="_Toc70507502"/>
      <w:r w:rsidRPr="004B04DB">
        <w:rPr>
          <w:rFonts w:ascii="Times New Roman" w:hAnsi="Times New Roman" w:cs="Times New Roman"/>
          <w:sz w:val="28"/>
          <w:szCs w:val="28"/>
        </w:rPr>
        <w:t>In order to balance the production and consumption of electricity in January-April 2021, exports to the Russian Federation amounted to 401.3 million kWh , imports from the Russian Federation - 431.1 million kWh .</w:t>
      </w:r>
    </w:p>
    <w:p w:rsidR="00A234DF" w:rsidRPr="004B04DB" w:rsidRDefault="00A234DF" w:rsidP="00A234DF">
      <w:pPr>
        <w:spacing w:after="0" w:line="240" w:lineRule="auto"/>
        <w:ind w:firstLine="709"/>
        <w:jc w:val="both"/>
        <w:rPr>
          <w:rFonts w:ascii="Times New Roman" w:hAnsi="Times New Roman" w:cs="Times New Roman"/>
          <w:sz w:val="24"/>
        </w:rPr>
      </w:pPr>
      <w:r w:rsidRPr="004B04DB">
        <w:rPr>
          <w:rFonts w:ascii="Times New Roman" w:hAnsi="Times New Roman" w:cs="Times New Roman"/>
          <w:sz w:val="28"/>
          <w:szCs w:val="28"/>
        </w:rPr>
        <w:t xml:space="preserve">Including export of </w:t>
      </w:r>
      <w:r w:rsidRPr="004B04DB">
        <w:rPr>
          <w:rFonts w:ascii="Times New Roman" w:hAnsi="Times New Roman" w:cs="Times New Roman"/>
          <w:sz w:val="28"/>
          <w:szCs w:val="28"/>
          <w:lang w:val="en-US"/>
        </w:rPr>
        <w:t xml:space="preserve">KEGOC JSC </w:t>
      </w:r>
      <w:r w:rsidRPr="004B04DB">
        <w:rPr>
          <w:rFonts w:ascii="Times New Roman" w:hAnsi="Times New Roman" w:cs="Times New Roman"/>
          <w:sz w:val="28"/>
          <w:szCs w:val="28"/>
        </w:rPr>
        <w:t>- 386.1 million kWh , import of electricity from the Russian Federation for the reporting period in the amount of 338.7 million kWh .</w:t>
      </w:r>
    </w:p>
    <w:p w:rsidR="00A234DF" w:rsidRPr="004B04DB" w:rsidRDefault="00A234DF" w:rsidP="00A234DF">
      <w:pPr>
        <w:spacing w:after="0" w:line="240" w:lineRule="auto"/>
        <w:jc w:val="right"/>
        <w:rPr>
          <w:rFonts w:ascii="Times New Roman" w:hAnsi="Times New Roman" w:cs="Times New Roman"/>
          <w:sz w:val="24"/>
        </w:rPr>
      </w:pPr>
      <w:r w:rsidRPr="004B04DB">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234DF" w:rsidRPr="004B04DB" w:rsidTr="00A234DF">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Name</w:t>
            </w:r>
          </w:p>
        </w:tc>
        <w:tc>
          <w:tcPr>
            <w:tcW w:w="1169" w:type="dxa"/>
            <w:tcBorders>
              <w:top w:val="single" w:sz="4" w:space="0" w:color="auto"/>
              <w:left w:val="nil"/>
              <w:bottom w:val="single" w:sz="4" w:space="0" w:color="auto"/>
              <w:right w:val="nil"/>
            </w:tcBorders>
            <w:shd w:val="clear" w:color="auto" w:fill="auto"/>
            <w:vAlign w:val="center"/>
            <w:hideMark/>
          </w:tcPr>
          <w:p w:rsidR="00A234DF" w:rsidRPr="004B04DB" w:rsidRDefault="00A234DF" w:rsidP="00A234DF">
            <w:pPr>
              <w:spacing w:after="0" w:line="240" w:lineRule="auto"/>
              <w:ind w:left="-113" w:right="-113"/>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2020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DF" w:rsidRPr="004B04DB" w:rsidRDefault="00A234DF" w:rsidP="00A234DF">
            <w:pPr>
              <w:spacing w:after="0" w:line="240" w:lineRule="auto"/>
              <w:ind w:left="-119" w:right="-132"/>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234DF" w:rsidRPr="004B04DB" w:rsidRDefault="00A234DF" w:rsidP="00A234DF">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Δ 2021/2020</w:t>
            </w:r>
          </w:p>
        </w:tc>
      </w:tr>
      <w:tr w:rsidR="00A234DF" w:rsidRPr="004B04DB" w:rsidTr="00A234DF">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A234DF" w:rsidRPr="004B04DB" w:rsidRDefault="00A234DF" w:rsidP="00A234DF">
            <w:pPr>
              <w:spacing w:after="0" w:line="240" w:lineRule="auto"/>
              <w:rPr>
                <w:rFonts w:ascii="Times New Roman" w:eastAsia="Times New Roman" w:hAnsi="Times New Roman" w:cs="Times New Roman"/>
                <w:b/>
                <w:bCs/>
                <w:lang w:eastAsia="ru-RU"/>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234DF" w:rsidRPr="004B04DB" w:rsidRDefault="00A234DF" w:rsidP="00A234DF">
            <w:pPr>
              <w:spacing w:after="0" w:line="240" w:lineRule="auto"/>
              <w:jc w:val="center"/>
              <w:rPr>
                <w:rFonts w:ascii="Times New Roman" w:eastAsia="Times New Roman" w:hAnsi="Times New Roman" w:cs="Times New Roman"/>
                <w:b/>
                <w:bCs/>
                <w:lang w:val="en-US" w:eastAsia="ru-RU"/>
              </w:rPr>
            </w:pPr>
            <w:r w:rsidRPr="004B04DB">
              <w:rPr>
                <w:rFonts w:ascii="Times New Roman" w:eastAsia="Times New Roman" w:hAnsi="Times New Roman" w:cs="Times New Roman"/>
                <w:b/>
                <w:bCs/>
                <w:lang w:eastAsia="ru-RU"/>
              </w:rPr>
              <w:t>January-April</w:t>
            </w:r>
          </w:p>
        </w:tc>
        <w:tc>
          <w:tcPr>
            <w:tcW w:w="1275" w:type="dxa"/>
            <w:tcBorders>
              <w:top w:val="single" w:sz="4" w:space="0" w:color="auto"/>
              <w:left w:val="single" w:sz="4" w:space="0" w:color="auto"/>
              <w:bottom w:val="single" w:sz="4" w:space="0" w:color="auto"/>
              <w:right w:val="single" w:sz="8" w:space="0" w:color="auto"/>
            </w:tcBorders>
            <w:vAlign w:val="center"/>
          </w:tcPr>
          <w:p w:rsidR="00A234DF" w:rsidRPr="004B04DB" w:rsidRDefault="00A234DF" w:rsidP="00A234DF">
            <w:pPr>
              <w:spacing w:after="0" w:line="240" w:lineRule="auto"/>
              <w:ind w:left="-57" w:right="-57"/>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A234DF" w:rsidRPr="004B04DB" w:rsidRDefault="00A234DF" w:rsidP="00A234DF">
            <w:pPr>
              <w:spacing w:after="0" w:line="240" w:lineRule="auto"/>
              <w:ind w:left="-57" w:right="-57"/>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w:t>
            </w:r>
          </w:p>
        </w:tc>
      </w:tr>
      <w:tr w:rsidR="00A234DF" w:rsidRPr="004B04DB" w:rsidTr="00A234DF">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234DF" w:rsidRPr="004B04DB" w:rsidRDefault="00A234DF" w:rsidP="00A234DF">
            <w:pPr>
              <w:spacing w:after="0" w:line="240" w:lineRule="auto"/>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Export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-763.0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-1,373.5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-610.5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80.0%</w:t>
            </w:r>
          </w:p>
        </w:tc>
      </w:tr>
      <w:tr w:rsidR="00A234DF" w:rsidRPr="004B04DB" w:rsidTr="00A234DF">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ind w:firstLineChars="500" w:firstLine="1104"/>
              <w:rPr>
                <w:rFonts w:ascii="Times New Roman" w:eastAsia="Times New Roman" w:hAnsi="Times New Roman" w:cs="Times New Roman"/>
                <w:b/>
                <w:lang w:eastAsia="ru-RU"/>
              </w:rPr>
            </w:pPr>
            <w:r w:rsidRPr="004B04DB">
              <w:rPr>
                <w:rFonts w:ascii="Times New Roman" w:eastAsia="Times New Roman" w:hAnsi="Times New Roman" w:cs="Times New Roman"/>
                <w:b/>
                <w:lang w:eastAsia="ru-RU"/>
              </w:rPr>
              <w:t>in Russia</w:t>
            </w:r>
          </w:p>
        </w:tc>
        <w:tc>
          <w:tcPr>
            <w:tcW w:w="1169"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-306.9</w:t>
            </w:r>
          </w:p>
        </w:tc>
        <w:tc>
          <w:tcPr>
            <w:tcW w:w="1241"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-401.3</w:t>
            </w:r>
          </w:p>
        </w:tc>
        <w:tc>
          <w:tcPr>
            <w:tcW w:w="1275"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-94.4</w:t>
            </w:r>
          </w:p>
        </w:tc>
        <w:tc>
          <w:tcPr>
            <w:tcW w:w="1134"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30.8%</w:t>
            </w:r>
          </w:p>
        </w:tc>
      </w:tr>
      <w:tr w:rsidR="00A234DF" w:rsidRPr="004B04DB" w:rsidTr="00A234DF">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ind w:firstLineChars="500" w:firstLine="1104"/>
              <w:rPr>
                <w:rFonts w:ascii="Times New Roman" w:eastAsia="Times New Roman" w:hAnsi="Times New Roman" w:cs="Times New Roman"/>
                <w:b/>
                <w:lang w:eastAsia="ru-RU"/>
              </w:rPr>
            </w:pPr>
            <w:r w:rsidRPr="004B04DB">
              <w:rPr>
                <w:rFonts w:ascii="Times New Roman" w:eastAsia="Times New Roman" w:hAnsi="Times New Roman" w:cs="Times New Roman"/>
                <w:b/>
                <w:lang w:eastAsia="ru-RU"/>
              </w:rPr>
              <w:t>in the IPS of Central Asia</w:t>
            </w:r>
          </w:p>
        </w:tc>
        <w:tc>
          <w:tcPr>
            <w:tcW w:w="1169"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-456.1</w:t>
            </w:r>
          </w:p>
        </w:tc>
        <w:tc>
          <w:tcPr>
            <w:tcW w:w="1241"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-972.2</w:t>
            </w:r>
          </w:p>
        </w:tc>
        <w:tc>
          <w:tcPr>
            <w:tcW w:w="1275"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-516.1</w:t>
            </w:r>
          </w:p>
        </w:tc>
        <w:tc>
          <w:tcPr>
            <w:tcW w:w="1134"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113.1%</w:t>
            </w:r>
          </w:p>
        </w:tc>
      </w:tr>
      <w:tr w:rsidR="00A234DF" w:rsidRPr="004B04DB" w:rsidTr="00A234DF">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234DF" w:rsidRPr="004B04DB" w:rsidRDefault="00A234DF" w:rsidP="00A234DF">
            <w:pPr>
              <w:spacing w:after="0" w:line="240" w:lineRule="auto"/>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Import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366.0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431.1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65.1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17.8%</w:t>
            </w:r>
          </w:p>
        </w:tc>
      </w:tr>
      <w:tr w:rsidR="00A234DF" w:rsidRPr="004B04DB" w:rsidTr="00A234DF">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ind w:firstLineChars="500" w:firstLine="1104"/>
              <w:rPr>
                <w:rFonts w:ascii="Times New Roman" w:eastAsia="Times New Roman" w:hAnsi="Times New Roman" w:cs="Times New Roman"/>
                <w:b/>
                <w:lang w:eastAsia="ru-RU"/>
              </w:rPr>
            </w:pPr>
            <w:r w:rsidRPr="004B04DB">
              <w:rPr>
                <w:rFonts w:ascii="Times New Roman" w:eastAsia="Times New Roman" w:hAnsi="Times New Roman" w:cs="Times New Roman"/>
                <w:b/>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363.3</w:t>
            </w:r>
          </w:p>
        </w:tc>
        <w:tc>
          <w:tcPr>
            <w:tcW w:w="1241"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431.1</w:t>
            </w:r>
          </w:p>
        </w:tc>
        <w:tc>
          <w:tcPr>
            <w:tcW w:w="1275"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67.8</w:t>
            </w:r>
          </w:p>
        </w:tc>
        <w:tc>
          <w:tcPr>
            <w:tcW w:w="1134"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18.6%</w:t>
            </w:r>
          </w:p>
        </w:tc>
      </w:tr>
      <w:tr w:rsidR="00A234DF" w:rsidRPr="004B04DB" w:rsidTr="00A234DF">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234DF" w:rsidRPr="004B04DB" w:rsidRDefault="00A234DF" w:rsidP="00A234DF">
            <w:pPr>
              <w:spacing w:after="0" w:line="240" w:lineRule="auto"/>
              <w:ind w:firstLineChars="500" w:firstLine="1104"/>
              <w:rPr>
                <w:rFonts w:ascii="Times New Roman" w:eastAsia="Times New Roman" w:hAnsi="Times New Roman" w:cs="Times New Roman"/>
                <w:b/>
                <w:lang w:eastAsia="ru-RU"/>
              </w:rPr>
            </w:pPr>
            <w:r w:rsidRPr="004B04DB">
              <w:rPr>
                <w:rFonts w:ascii="Times New Roman" w:eastAsia="Times New Roman" w:hAnsi="Times New Roman" w:cs="Times New Roman"/>
                <w:b/>
                <w:lang w:eastAsia="ru-RU"/>
              </w:rPr>
              <w:t>from IPS Central Asia</w:t>
            </w:r>
          </w:p>
        </w:tc>
        <w:tc>
          <w:tcPr>
            <w:tcW w:w="1169"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2.6</w:t>
            </w:r>
          </w:p>
        </w:tc>
        <w:tc>
          <w:tcPr>
            <w:tcW w:w="1241" w:type="dxa"/>
            <w:tcBorders>
              <w:top w:val="nil"/>
              <w:left w:val="nil"/>
              <w:bottom w:val="single" w:sz="4" w:space="0" w:color="auto"/>
              <w:right w:val="single" w:sz="4" w:space="0" w:color="auto"/>
            </w:tcBorders>
            <w:shd w:val="clear" w:color="auto" w:fill="auto"/>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0.0</w:t>
            </w:r>
          </w:p>
        </w:tc>
        <w:tc>
          <w:tcPr>
            <w:tcW w:w="1275"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-2.6</w:t>
            </w:r>
          </w:p>
        </w:tc>
        <w:tc>
          <w:tcPr>
            <w:tcW w:w="1134" w:type="dxa"/>
            <w:tcBorders>
              <w:top w:val="nil"/>
              <w:left w:val="nil"/>
              <w:bottom w:val="single" w:sz="4" w:space="0" w:color="auto"/>
              <w:right w:val="single" w:sz="4" w:space="0" w:color="auto"/>
            </w:tcBorders>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-100.0%</w:t>
            </w:r>
          </w:p>
        </w:tc>
      </w:tr>
      <w:tr w:rsidR="00A234DF" w:rsidRPr="004B04DB" w:rsidTr="00A234DF">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234DF" w:rsidRPr="004B04DB" w:rsidRDefault="00A234DF" w:rsidP="00A234DF">
            <w:pPr>
              <w:spacing w:after="0" w:line="240" w:lineRule="auto"/>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Balance- flow "+" deficit,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-397.0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-942.4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-545.4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234DF" w:rsidRPr="004B04DB" w:rsidRDefault="00A234DF" w:rsidP="00A234DF">
            <w:pPr>
              <w:spacing w:after="0" w:line="240" w:lineRule="auto"/>
              <w:jc w:val="right"/>
              <w:rPr>
                <w:rFonts w:ascii="Times New Roman" w:hAnsi="Times New Roman" w:cs="Times New Roman"/>
                <w:b/>
                <w:bCs/>
              </w:rPr>
            </w:pPr>
            <w:r w:rsidRPr="004B04DB">
              <w:rPr>
                <w:rFonts w:ascii="Times New Roman" w:hAnsi="Times New Roman" w:cs="Times New Roman"/>
                <w:b/>
                <w:bCs/>
              </w:rPr>
              <w:t>137.4%</w:t>
            </w:r>
          </w:p>
        </w:tc>
      </w:tr>
    </w:tbl>
    <w:p w:rsidR="00A234DF" w:rsidRPr="004B04DB" w:rsidRDefault="00A234DF" w:rsidP="00A234DF">
      <w:pPr>
        <w:spacing w:after="0" w:line="240" w:lineRule="auto"/>
        <w:jc w:val="both"/>
        <w:rPr>
          <w:rFonts w:ascii="Times New Roman" w:hAnsi="Times New Roman" w:cs="Times New Roman"/>
          <w:sz w:val="24"/>
        </w:rPr>
      </w:pPr>
    </w:p>
    <w:p w:rsidR="00A234DF" w:rsidRPr="004B04DB" w:rsidRDefault="00A234DF" w:rsidP="00A234DF">
      <w:pPr>
        <w:pStyle w:val="a3"/>
        <w:spacing w:after="0" w:line="240" w:lineRule="auto"/>
        <w:jc w:val="both"/>
        <w:rPr>
          <w:rFonts w:ascii="Times New Roman" w:hAnsi="Times New Roman" w:cs="Times New Roman"/>
          <w:sz w:val="28"/>
          <w:szCs w:val="28"/>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r w:rsidRPr="007F6813">
        <w:rPr>
          <w:rFonts w:ascii="Times New Roman" w:hAnsi="Times New Roman" w:cs="Times New Roman"/>
          <w:b/>
          <w:color w:val="auto"/>
        </w:rPr>
        <w:t>SECTION II</w:t>
      </w:r>
      <w:bookmarkEnd w:id="28"/>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9" w:name="_Toc70507503"/>
      <w:r w:rsidRPr="007F6813">
        <w:rPr>
          <w:rFonts w:ascii="Times New Roman" w:hAnsi="Times New Roman" w:cs="Times New Roman"/>
          <w:b/>
          <w:color w:val="auto"/>
        </w:rPr>
        <w:lastRenderedPageBreak/>
        <w:t>Status of formation of the Common Electricity Market of the Eurasian Economic Union</w:t>
      </w:r>
      <w:bookmarkEnd w:id="29"/>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BA158D" w:rsidRPr="00B244C2" w:rsidRDefault="00EA70B1" w:rsidP="00BF417E">
      <w:pPr>
        <w:spacing w:after="0" w:line="240" w:lineRule="auto"/>
        <w:ind w:firstLine="709"/>
        <w:contextualSpacing/>
        <w:jc w:val="both"/>
        <w:rPr>
          <w:rFonts w:ascii="Times New Roman" w:hAnsi="Times New Roman" w:cs="Times New Roman"/>
          <w:sz w:val="28"/>
        </w:rPr>
      </w:pPr>
      <w:r w:rsidRPr="00EA70B1">
        <w:rPr>
          <w:rFonts w:ascii="Times New Roman" w:hAnsi="Times New Roman" w:cs="Times New Roman"/>
          <w:sz w:val="28"/>
        </w:rPr>
        <w:t xml:space="preserve">In 2021, one meeting of the Advisory Committee on the Electricity Industry under the EEC Board (hereinafter referred to as the Advisory Committee) was held </w:t>
      </w:r>
      <w:r w:rsidRPr="00EA70B1">
        <w:rPr>
          <w:rFonts w:ascii="Times New Roman" w:hAnsi="Times New Roman" w:cs="Times New Roman"/>
          <w:sz w:val="28"/>
        </w:rPr>
        <w:br/>
        <w:t xml:space="preserve">(14th meeting, January 21, 2021) and one meeting of the Subcommittee on the formation of the EAEU ERA of the Advisory Committee on the Electricity Industry under the EEC Board (hereinafter referred to as the Subcommittee) (56th meeting 14 January </w:t>
      </w:r>
      <w:r w:rsidR="00BA158D" w:rsidRPr="00BA158D">
        <w:rPr>
          <w:rFonts w:ascii="Times New Roman" w:hAnsi="Times New Roman" w:cs="Times New Roman"/>
          <w:sz w:val="28"/>
        </w:rPr>
        <w:t>, 57th meeting 5 February, 58th meeting 25-26 February, 59th meeting 11-12 March, 60th meeting 26 March, 61st meeting 9 April, 62nd April 16 meeting).</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30" w:name="_Toc70507504"/>
      <w:r w:rsidRPr="007F6813">
        <w:rPr>
          <w:rFonts w:ascii="Times New Roman" w:hAnsi="Times New Roman" w:cs="Times New Roman"/>
          <w:b/>
          <w:color w:val="auto"/>
        </w:rPr>
        <w:t>Status of formation of the Electricity market of the CIS</w:t>
      </w:r>
      <w:bookmarkEnd w:id="30"/>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No.</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 .</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1338ED" w:rsidRPr="00272794" w:rsidRDefault="001338ED" w:rsidP="00BF417E">
      <w:pPr>
        <w:pStyle w:val="ad"/>
        <w:shd w:val="clear" w:color="auto" w:fill="FFFFFF"/>
        <w:spacing w:before="0" w:beforeAutospacing="0" w:after="0" w:afterAutospacing="0"/>
        <w:jc w:val="both"/>
        <w:rPr>
          <w:lang w:val="en-US"/>
        </w:rPr>
      </w:pPr>
    </w:p>
    <w:sectPr w:rsidR="001338ED" w:rsidRPr="00272794"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4A" w:rsidRDefault="00FD224A" w:rsidP="00AD7754">
      <w:pPr>
        <w:spacing w:after="0" w:line="240" w:lineRule="auto"/>
      </w:pPr>
      <w:r>
        <w:separator/>
      </w:r>
    </w:p>
  </w:endnote>
  <w:endnote w:type="continuationSeparator" w:id="0">
    <w:p w:rsidR="00FD224A" w:rsidRDefault="00FD224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F21D47" w:rsidRDefault="00F21D47">
        <w:pPr>
          <w:pStyle w:val="a7"/>
          <w:jc w:val="right"/>
        </w:pPr>
        <w:r>
          <w:fldChar w:fldCharType="begin"/>
        </w:r>
        <w:r>
          <w:instrText>PAGE   \* MERGEFORMAT</w:instrText>
        </w:r>
        <w:r>
          <w:fldChar w:fldCharType="separate"/>
        </w:r>
        <w:r w:rsidR="0039625F">
          <w:rPr>
            <w:noProof/>
          </w:rPr>
          <w:t>15</w:t>
        </w:r>
        <w:r>
          <w:rPr>
            <w:noProof/>
          </w:rPr>
          <w:fldChar w:fldCharType="end"/>
        </w:r>
      </w:p>
    </w:sdtContent>
  </w:sdt>
  <w:p w:rsidR="00F21D47" w:rsidRDefault="00F21D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4A" w:rsidRDefault="00FD224A" w:rsidP="00AD7754">
      <w:pPr>
        <w:spacing w:after="0" w:line="240" w:lineRule="auto"/>
      </w:pPr>
      <w:r>
        <w:separator/>
      </w:r>
    </w:p>
  </w:footnote>
  <w:footnote w:type="continuationSeparator" w:id="0">
    <w:p w:rsidR="00FD224A" w:rsidRDefault="00FD224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F21D47" w:rsidTr="009437D6">
      <w:tc>
        <w:tcPr>
          <w:tcW w:w="2235" w:type="dxa"/>
        </w:tcPr>
        <w:p w:rsidR="00F21D47" w:rsidRDefault="00F21D47"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F21D47" w:rsidRDefault="00F21D47" w:rsidP="005F127E">
          <w:pPr>
            <w:jc w:val="right"/>
            <w:rPr>
              <w:rFonts w:ascii="Times New Roman" w:hAnsi="Times New Roman" w:cs="Times New Roman"/>
              <w:i/>
              <w:sz w:val="28"/>
            </w:rPr>
          </w:pPr>
        </w:p>
        <w:p w:rsidR="00F21D47" w:rsidRDefault="00F21D47"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F21D47" w:rsidRPr="009437D6" w:rsidRDefault="00F21D47"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8"/>
  </w:num>
  <w:num w:numId="8">
    <w:abstractNumId w:val="0"/>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04898"/>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9625F"/>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0538E"/>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2FF3"/>
    <w:rsid w:val="0045404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427"/>
    <w:rsid w:val="00AE458B"/>
    <w:rsid w:val="00AE6952"/>
    <w:rsid w:val="00AF0DCC"/>
    <w:rsid w:val="00AF4346"/>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2412"/>
    <w:rsid w:val="00E23745"/>
    <w:rsid w:val="00E238D5"/>
    <w:rsid w:val="00E23C2C"/>
    <w:rsid w:val="00E25210"/>
    <w:rsid w:val="00E320C2"/>
    <w:rsid w:val="00E33F98"/>
    <w:rsid w:val="00E3596D"/>
    <w:rsid w:val="00E35C6A"/>
    <w:rsid w:val="00E366C0"/>
    <w:rsid w:val="00E37727"/>
    <w:rsid w:val="00E46EE4"/>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1D47"/>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224A"/>
    <w:rsid w:val="00FD596B"/>
    <w:rsid w:val="00FD6F9F"/>
    <w:rsid w:val="00FD7683"/>
    <w:rsid w:val="00FE37D0"/>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4;&#1072;&#1081;%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21E-2"/>
          <c:y val="2.847924291153752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1E-5"/>
                </c:manualLayout>
              </c:layout>
              <c:tx>
                <c:rich>
                  <a:bodyPr/>
                  <a:lstStyle/>
                  <a:p>
                    <a:r>
                      <a:rPr lang="en-US"/>
                      <a:t>-14.2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1E-3"/>
                  <c:y val="-1.4786884033862011E-5"/>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53E-3"/>
                  <c:y val="0"/>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22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1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4.2</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877E-3"/>
                  <c:y val="-3.7558685446009441E-3"/>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877E-3"/>
                  <c:y val="0"/>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1984E-3"/>
                  <c:y val="-1.4786884033862011E-5"/>
                </c:manualLayout>
              </c:layout>
              <c:tx>
                <c:rich>
                  <a:bodyPr/>
                  <a:lstStyle/>
                  <a:p>
                    <a:r>
                      <a:rPr lang="en-US"/>
                      <a:t>7.7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077E-7"/>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877E-3"/>
                  <c:y val="0"/>
                </c:manualLayout>
              </c:layout>
              <c:tx>
                <c:rich>
                  <a:bodyPr/>
                  <a:lstStyle/>
                  <a:p>
                    <a:r>
                      <a:rPr lang="en-US"/>
                      <a:t>9.5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198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8757854766371247E-2"/>
                  <c:y val="-5.6352972018062587E-2"/>
                </c:manualLayout>
              </c:layout>
              <c:tx>
                <c:rich>
                  <a:bodyPr/>
                  <a:lstStyle/>
                  <a:p>
                    <a:r>
                      <a:rPr lang="en-US"/>
                      <a:t>15.3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4.5571249552181947E-2"/>
                  <c:y val="5.2567392351729823E-2"/>
                </c:manualLayout>
              </c:layout>
              <c:tx>
                <c:rich>
                  <a:bodyPr/>
                  <a:lstStyle/>
                  <a:p>
                    <a:r>
                      <a:rPr lang="en-US"/>
                      <a:t>13.5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3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36E-3"/>
                  <c:y val="4.2959864614135249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5">
                  <c:v>Карагандинская</c:v>
                </c:pt>
                <c:pt idx="6">
                  <c:v>Павлодарская</c:v>
                </c:pt>
                <c:pt idx="7">
                  <c:v>Восточно-Казахстанская</c:v>
                </c:pt>
                <c:pt idx="8">
                  <c:v>Жамбылская</c:v>
                </c:pt>
                <c:pt idx="9">
                  <c:v>Актюбинская</c:v>
                </c:pt>
                <c:pt idx="10">
                  <c:v>Акмолинская</c:v>
                </c:pt>
                <c:pt idx="11">
                  <c:v>Костанайская</c:v>
                </c:pt>
                <c:pt idx="12">
                  <c:v>Северо-Казахстанская</c:v>
                </c:pt>
                <c:pt idx="13">
                  <c:v>г. Шымкент</c:v>
                </c:pt>
                <c:pt idx="14">
                  <c:v>Алматинская</c:v>
                </c:pt>
                <c:pt idx="15">
                  <c:v>г. Алматы</c:v>
                </c:pt>
                <c:pt idx="16">
                  <c:v>г. Нур-Султан</c:v>
                </c:pt>
              </c:strCache>
            </c:strRef>
          </c:cat>
          <c:val>
            <c:numRef>
              <c:f>рус!$B$3:$B$19</c:f>
              <c:numCache>
                <c:formatCode>0.0</c:formatCode>
                <c:ptCount val="17"/>
                <c:pt idx="0">
                  <c:v>-14.200000000000003</c:v>
                </c:pt>
                <c:pt idx="1">
                  <c:v>-7.2000000000000028</c:v>
                </c:pt>
                <c:pt idx="2">
                  <c:v>-6.9000000000000083</c:v>
                </c:pt>
                <c:pt idx="3">
                  <c:v>-1.7999999999999956</c:v>
                </c:pt>
                <c:pt idx="4">
                  <c:v>-0.29999999999999766</c:v>
                </c:pt>
                <c:pt idx="5">
                  <c:v>0.7999999999999976</c:v>
                </c:pt>
                <c:pt idx="6">
                  <c:v>4.2000000000000028</c:v>
                </c:pt>
                <c:pt idx="7">
                  <c:v>6.7000000000000028</c:v>
                </c:pt>
                <c:pt idx="8">
                  <c:v>7.0999999999999943</c:v>
                </c:pt>
                <c:pt idx="9">
                  <c:v>7.7000000000000028</c:v>
                </c:pt>
                <c:pt idx="10">
                  <c:v>8.1000000000000014</c:v>
                </c:pt>
                <c:pt idx="11">
                  <c:v>9.5</c:v>
                </c:pt>
                <c:pt idx="12">
                  <c:v>10.3</c:v>
                </c:pt>
                <c:pt idx="13">
                  <c:v>13.5</c:v>
                </c:pt>
                <c:pt idx="14">
                  <c:v>15.3</c:v>
                </c:pt>
                <c:pt idx="15">
                  <c:v>19.5</c:v>
                </c:pt>
                <c:pt idx="16">
                  <c:v>20.299999999999986</c:v>
                </c:pt>
              </c:numCache>
            </c:numRef>
          </c:val>
        </c:ser>
        <c:dLbls>
          <c:showLegendKey val="0"/>
          <c:showVal val="0"/>
          <c:showCatName val="0"/>
          <c:showSerName val="0"/>
          <c:showPercent val="0"/>
          <c:showBubbleSize val="0"/>
        </c:dLbls>
        <c:gapWidth val="150"/>
        <c:axId val="426522680"/>
        <c:axId val="426523072"/>
      </c:barChart>
      <c:catAx>
        <c:axId val="42652268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426523072"/>
        <c:crosses val="autoZero"/>
        <c:auto val="1"/>
        <c:lblAlgn val="ctr"/>
        <c:lblOffset val="100"/>
        <c:tickLblSkip val="1"/>
        <c:tickMarkSkip val="1"/>
        <c:noMultiLvlLbl val="0"/>
      </c:catAx>
      <c:valAx>
        <c:axId val="426523072"/>
        <c:scaling>
          <c:orientation val="minMax"/>
          <c:max val="30"/>
          <c:min val="-20"/>
        </c:scaling>
        <c:delete val="0"/>
        <c:axPos val="b"/>
        <c:numFmt formatCode="0.0" sourceLinked="1"/>
        <c:majorTickMark val="out"/>
        <c:minorTickMark val="none"/>
        <c:tickLblPos val="none"/>
        <c:crossAx val="42652268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0.41931</cdr:x>
      <cdr:y>0.68115</cdr:y>
    </cdr:from>
    <cdr:to>
      <cdr:x>0.58288</cdr:x>
      <cdr:y>0.72501</cdr:y>
    </cdr:to>
    <cdr:sp macro="" textlink="">
      <cdr:nvSpPr>
        <cdr:cNvPr id="9" name="Text Box 20"/>
        <cdr:cNvSpPr txBox="1">
          <a:spLocks xmlns:a="http://schemas.openxmlformats.org/drawingml/2006/main" noChangeArrowheads="1"/>
        </cdr:cNvSpPr>
      </cdr:nvSpPr>
      <cdr:spPr bwMode="auto">
        <a:xfrm xmlns:a="http://schemas.openxmlformats.org/drawingml/2006/main">
          <a:off x="2215803" y="1716430"/>
          <a:ext cx="864366" cy="11052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en" sz="800" b="0" i="0" strike="noStrike">
              <a:solidFill>
                <a:srgbClr val="000000"/>
              </a:solidFill>
              <a:latin typeface="+mn-lt"/>
              <a:cs typeface="Arial" pitchFamily="34" charset="0"/>
            </a:rPr>
            <a:t>Kyzylorda</a:t>
          </a:r>
        </a:p>
      </cdr:txBody>
    </cdr:sp>
  </cdr:relSizeAnchor>
  <cdr:relSizeAnchor xmlns:cdr="http://schemas.openxmlformats.org/drawingml/2006/chartDrawing">
    <cdr:from>
      <cdr:x>0.4188</cdr:x>
      <cdr:y>0.83949</cdr:y>
    </cdr:from>
    <cdr:to>
      <cdr:x>0.61848</cdr:x>
      <cdr:y>0.88335</cdr:y>
    </cdr:to>
    <cdr:sp macro="" textlink="">
      <cdr:nvSpPr>
        <cdr:cNvPr id="13" name="Text Box 20"/>
        <cdr:cNvSpPr txBox="1">
          <a:spLocks xmlns:a="http://schemas.openxmlformats.org/drawingml/2006/main" noChangeArrowheads="1"/>
        </cdr:cNvSpPr>
      </cdr:nvSpPr>
      <cdr:spPr bwMode="auto">
        <a:xfrm xmlns:a="http://schemas.openxmlformats.org/drawingml/2006/main">
          <a:off x="2213099" y="2115441"/>
          <a:ext cx="1055186" cy="11052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0.41956</cdr:x>
      <cdr:y>0.73349</cdr:y>
    </cdr:from>
    <cdr:to>
      <cdr:x>0.58313</cdr:x>
      <cdr:y>0.77735</cdr:y>
    </cdr:to>
    <cdr:sp macro="" textlink="">
      <cdr:nvSpPr>
        <cdr:cNvPr id="7" name="Text Box 20"/>
        <cdr:cNvSpPr txBox="1">
          <a:spLocks xmlns:a="http://schemas.openxmlformats.org/drawingml/2006/main" noChangeArrowheads="1"/>
        </cdr:cNvSpPr>
      </cdr:nvSpPr>
      <cdr:spPr bwMode="auto">
        <a:xfrm xmlns:a="http://schemas.openxmlformats.org/drawingml/2006/main">
          <a:off x="2217112" y="1848344"/>
          <a:ext cx="864367" cy="11052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0.42082</cdr:x>
      <cdr:y>0.90071</cdr:y>
    </cdr:from>
    <cdr:to>
      <cdr:x>0.58439</cdr:x>
      <cdr:y>0.94457</cdr:y>
    </cdr:to>
    <cdr:sp macro="" textlink="">
      <cdr:nvSpPr>
        <cdr:cNvPr id="8" name="Text Box 20"/>
        <cdr:cNvSpPr txBox="1">
          <a:spLocks xmlns:a="http://schemas.openxmlformats.org/drawingml/2006/main" noChangeArrowheads="1"/>
        </cdr:cNvSpPr>
      </cdr:nvSpPr>
      <cdr:spPr bwMode="auto">
        <a:xfrm xmlns:a="http://schemas.openxmlformats.org/drawingml/2006/main">
          <a:off x="2223784" y="2269716"/>
          <a:ext cx="864366" cy="11052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0.41767</cdr:x>
      <cdr:y>0.7863</cdr:y>
    </cdr:from>
    <cdr:to>
      <cdr:x>0.63766</cdr:x>
      <cdr:y>0.8672</cdr:y>
    </cdr:to>
    <cdr:sp macro="" textlink="">
      <cdr:nvSpPr>
        <cdr:cNvPr id="11" name="Text Box 20"/>
        <cdr:cNvSpPr txBox="1">
          <a:spLocks xmlns:a="http://schemas.openxmlformats.org/drawingml/2006/main" noChangeArrowheads="1"/>
        </cdr:cNvSpPr>
      </cdr:nvSpPr>
      <cdr:spPr bwMode="auto">
        <a:xfrm xmlns:a="http://schemas.openxmlformats.org/drawingml/2006/main">
          <a:off x="2207128" y="1981420"/>
          <a:ext cx="1162511" cy="20386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5503-93C3-4242-8CE1-C764025A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15</Pages>
  <Words>3894</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215</cp:revision>
  <cp:lastPrinted>2018-09-04T08:39:00Z</cp:lastPrinted>
  <dcterms:created xsi:type="dcterms:W3CDTF">2018-09-04T11:04:00Z</dcterms:created>
  <dcterms:modified xsi:type="dcterms:W3CDTF">2023-08-18T09:59:00Z</dcterms:modified>
</cp:coreProperties>
</file>