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583E36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A9057A8" wp14:editId="7E7F8F6F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4B60D8">
        <w:rPr>
          <w:rFonts w:ascii="Times New Roman" w:hAnsi="Times New Roman" w:cs="Times New Roman"/>
          <w:b/>
          <w:sz w:val="28"/>
        </w:rPr>
        <w:t xml:space="preserve">И УГЛЯ </w:t>
      </w:r>
      <w:r w:rsidRPr="004B60D8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4B60D8" w:rsidRDefault="006A4A69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sz w:val="28"/>
        </w:rPr>
        <w:t>ЯНВАРЬ</w:t>
      </w:r>
      <w:r w:rsidR="00C07CA7" w:rsidRPr="004B60D8">
        <w:rPr>
          <w:rFonts w:ascii="Times New Roman" w:hAnsi="Times New Roman" w:cs="Times New Roman"/>
          <w:b/>
          <w:sz w:val="28"/>
        </w:rPr>
        <w:t>-ФЕВРАЛЬ</w:t>
      </w:r>
      <w:r w:rsidRPr="004B60D8">
        <w:rPr>
          <w:rFonts w:ascii="Times New Roman" w:hAnsi="Times New Roman" w:cs="Times New Roman"/>
          <w:b/>
          <w:sz w:val="28"/>
        </w:rPr>
        <w:t xml:space="preserve"> </w:t>
      </w:r>
      <w:r w:rsidR="000C3143" w:rsidRPr="004B60D8">
        <w:rPr>
          <w:rFonts w:ascii="Times New Roman" w:hAnsi="Times New Roman" w:cs="Times New Roman"/>
          <w:b/>
          <w:sz w:val="28"/>
        </w:rPr>
        <w:t>201</w:t>
      </w:r>
      <w:r w:rsidR="009C2F09" w:rsidRPr="004B60D8">
        <w:rPr>
          <w:rFonts w:ascii="Times New Roman" w:hAnsi="Times New Roman" w:cs="Times New Roman"/>
          <w:b/>
          <w:sz w:val="28"/>
        </w:rPr>
        <w:t>9</w:t>
      </w:r>
      <w:r w:rsidR="000C3143" w:rsidRPr="004B60D8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4B60D8" w:rsidRDefault="00984FBA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0C3143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4B60D8" w:rsidRDefault="00C07CA7" w:rsidP="004B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hAnsi="Times New Roman" w:cs="Times New Roman"/>
          <w:b/>
          <w:sz w:val="28"/>
        </w:rPr>
        <w:t>Март</w:t>
      </w:r>
      <w:r w:rsidR="009C2F09" w:rsidRPr="004B60D8">
        <w:rPr>
          <w:rFonts w:ascii="Times New Roman" w:hAnsi="Times New Roman" w:cs="Times New Roman"/>
          <w:b/>
          <w:sz w:val="28"/>
        </w:rPr>
        <w:t>, 2019</w:t>
      </w:r>
      <w:r w:rsidR="00984FBA" w:rsidRPr="004B60D8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4B60D8" w:rsidRDefault="00545712" w:rsidP="004B60D8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4B60D8">
            <w:rPr>
              <w:rFonts w:ascii="Times New Roman" w:hAnsi="Times New Roman" w:cs="Times New Roman"/>
            </w:rPr>
            <w:t>Оглавление</w:t>
          </w:r>
        </w:p>
        <w:p w:rsidR="004B60D8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4B60D8">
            <w:fldChar w:fldCharType="begin"/>
          </w:r>
          <w:r w:rsidR="00545712" w:rsidRPr="004B60D8">
            <w:instrText xml:space="preserve"> TOC \o "1-3" \h \z \u </w:instrText>
          </w:r>
          <w:r w:rsidRPr="004B60D8">
            <w:fldChar w:fldCharType="separate"/>
          </w:r>
          <w:hyperlink w:anchor="_Toc4766253" w:history="1">
            <w:r w:rsidR="004B60D8" w:rsidRPr="002F6CED">
              <w:rPr>
                <w:rStyle w:val="aa"/>
                <w:b/>
              </w:rPr>
              <w:t xml:space="preserve">РАЗДЕЛ </w:t>
            </w:r>
            <w:r w:rsidR="004B60D8" w:rsidRPr="002F6CED">
              <w:rPr>
                <w:rStyle w:val="aa"/>
                <w:b/>
                <w:lang w:val="en-US"/>
              </w:rPr>
              <w:t>I</w:t>
            </w:r>
            <w:r w:rsidR="004B60D8">
              <w:rPr>
                <w:webHidden/>
              </w:rPr>
              <w:tab/>
            </w:r>
            <w:r w:rsidR="004B60D8">
              <w:rPr>
                <w:webHidden/>
              </w:rPr>
              <w:fldChar w:fldCharType="begin"/>
            </w:r>
            <w:r w:rsidR="004B60D8">
              <w:rPr>
                <w:webHidden/>
              </w:rPr>
              <w:instrText xml:space="preserve"> PAGEREF _Toc4766253 \h </w:instrText>
            </w:r>
            <w:r w:rsidR="004B60D8">
              <w:rPr>
                <w:webHidden/>
              </w:rPr>
            </w:r>
            <w:r w:rsidR="004B60D8">
              <w:rPr>
                <w:webHidden/>
              </w:rPr>
              <w:fldChar w:fldCharType="separate"/>
            </w:r>
            <w:r w:rsidR="004B60D8">
              <w:rPr>
                <w:webHidden/>
              </w:rPr>
              <w:t>3</w:t>
            </w:r>
            <w:r w:rsidR="004B60D8"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4" w:history="1">
            <w:r w:rsidRPr="002F6CED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Производство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5" w:history="1">
            <w:r w:rsidRPr="002F6CED">
              <w:rPr>
                <w:rStyle w:val="aa"/>
                <w:i/>
              </w:rPr>
              <w:t>Производство электроэнергии по областям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6" w:history="1">
            <w:r w:rsidRPr="002F6CED">
              <w:rPr>
                <w:rStyle w:val="aa"/>
                <w:i/>
              </w:rPr>
              <w:t>Производство электроэнергии связанной генерацией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7" w:history="1">
            <w:r w:rsidRPr="002F6CED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Потребление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8" w:history="1">
            <w:r w:rsidRPr="002F6CED">
              <w:rPr>
                <w:rStyle w:val="aa"/>
                <w:i/>
              </w:rPr>
              <w:t>Потребление электрической энергии по зонам и областям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59" w:history="1">
            <w:r w:rsidRPr="002F6CED">
              <w:rPr>
                <w:rStyle w:val="aa"/>
                <w:i/>
              </w:rPr>
              <w:t>Итоги работы промышленности за 2 месяца 2019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0" w:history="1">
            <w:r w:rsidRPr="002F6CED">
              <w:rPr>
                <w:rStyle w:val="aa"/>
                <w:i/>
              </w:rPr>
              <w:t>Электропотребление крупными потребителями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1" w:history="1">
            <w:r w:rsidRPr="002F6CED">
              <w:rPr>
                <w:rStyle w:val="aa"/>
                <w:i/>
              </w:rPr>
              <w:t>Электропотребление потребителями связанной генерации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2" w:history="1">
            <w:r w:rsidRPr="002F6CED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Уголь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3" w:history="1">
            <w:r w:rsidRPr="002F6CED">
              <w:rPr>
                <w:rStyle w:val="aa"/>
                <w:i/>
              </w:rPr>
              <w:t>Добыча энергетического угля в Казахстане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4" w:history="1">
            <w:r w:rsidRPr="002F6CED">
              <w:rPr>
                <w:rStyle w:val="aa"/>
                <w:i/>
              </w:rPr>
              <w:t>Добыча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5" w:history="1">
            <w:r w:rsidRPr="002F6CED">
              <w:rPr>
                <w:rStyle w:val="aa"/>
                <w:i/>
              </w:rPr>
              <w:t>Реализация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6" w:history="1">
            <w:r w:rsidRPr="002F6CED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Возобновляемые источники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7" w:history="1">
            <w:r w:rsidRPr="002F6CED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Централизованные торги электроэнергией АО «КОРЭМ»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8" w:history="1">
            <w:r w:rsidRPr="002F6CED">
              <w:rPr>
                <w:rStyle w:val="aa"/>
                <w:i/>
              </w:rPr>
              <w:t>Общие итоги торгов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69" w:history="1">
            <w:r w:rsidRPr="002F6CED">
              <w:rPr>
                <w:rStyle w:val="aa"/>
                <w:i/>
              </w:rPr>
              <w:t>Итоги спот-торгов в режиме «за день вперед»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0" w:history="1">
            <w:r w:rsidRPr="002F6CED">
              <w:rPr>
                <w:rStyle w:val="aa"/>
                <w:i/>
              </w:rPr>
              <w:t>Итоги спот-торгов «в течение операционных суток»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1" w:history="1">
            <w:r w:rsidRPr="002F6CED">
              <w:rPr>
                <w:rStyle w:val="aa"/>
                <w:i/>
              </w:rPr>
              <w:t>Итоги торгов на средне- и долгосрочный период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2" w:history="1">
            <w:r w:rsidRPr="002F6CED">
              <w:rPr>
                <w:rStyle w:val="aa"/>
                <w:b/>
              </w:rPr>
              <w:t>6.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Экспорт-импорт электрической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3" w:history="1">
            <w:r w:rsidRPr="002F6CED">
              <w:rPr>
                <w:rStyle w:val="aa"/>
                <w:b/>
              </w:rPr>
              <w:t>РАЗДЕЛ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4" w:history="1">
            <w:r w:rsidRPr="002F6CED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5" w:history="1">
            <w:r w:rsidRPr="002F6CED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Статус формирования Электроэнергетического рынка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6" w:history="1">
            <w:r w:rsidRPr="002F6CED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Статус реализации проекта CASA-1000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B60D8" w:rsidRDefault="004B60D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766277" w:history="1">
            <w:r w:rsidRPr="002F6CED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2F6CED">
              <w:rPr>
                <w:rStyle w:val="aa"/>
                <w:b/>
              </w:rPr>
              <w:t>Обзор СМИ в странах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_Toc4766277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45712" w:rsidRPr="004B60D8" w:rsidRDefault="00562751" w:rsidP="004B60D8">
          <w:pPr>
            <w:spacing w:after="0"/>
            <w:rPr>
              <w:rFonts w:ascii="Times New Roman" w:hAnsi="Times New Roman" w:cs="Times New Roman"/>
            </w:rPr>
          </w:pPr>
          <w:r w:rsidRPr="004B60D8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4B60D8" w:rsidRDefault="00995E50" w:rsidP="004B60D8">
      <w:pPr>
        <w:pStyle w:val="11"/>
        <w:spacing w:before="0"/>
        <w:rPr>
          <w:lang w:val="en-US"/>
        </w:rPr>
      </w:pPr>
    </w:p>
    <w:p w:rsidR="001D295E" w:rsidRPr="004B60D8" w:rsidRDefault="001D295E" w:rsidP="004B60D8">
      <w:pPr>
        <w:spacing w:after="0" w:line="240" w:lineRule="auto"/>
        <w:rPr>
          <w:lang w:val="en-US"/>
        </w:rPr>
      </w:pPr>
    </w:p>
    <w:p w:rsidR="00F47C61" w:rsidRPr="004B60D8" w:rsidRDefault="00F47C61" w:rsidP="004B60D8">
      <w:pPr>
        <w:spacing w:after="0" w:line="240" w:lineRule="auto"/>
        <w:rPr>
          <w:lang w:val="en-US"/>
        </w:rPr>
      </w:pPr>
    </w:p>
    <w:p w:rsidR="00F47C61" w:rsidRPr="004B60D8" w:rsidRDefault="00F47C61" w:rsidP="004B60D8">
      <w:pPr>
        <w:spacing w:after="0" w:line="240" w:lineRule="auto"/>
      </w:pPr>
    </w:p>
    <w:p w:rsidR="00C71038" w:rsidRPr="004B60D8" w:rsidRDefault="00C71038" w:rsidP="004B60D8">
      <w:pPr>
        <w:spacing w:after="0" w:line="240" w:lineRule="auto"/>
      </w:pPr>
    </w:p>
    <w:p w:rsidR="00C71038" w:rsidRPr="004B60D8" w:rsidRDefault="00C71038" w:rsidP="004B60D8">
      <w:pPr>
        <w:spacing w:after="0" w:line="240" w:lineRule="auto"/>
      </w:pPr>
    </w:p>
    <w:p w:rsidR="00C71038" w:rsidRPr="004B60D8" w:rsidRDefault="00C71038" w:rsidP="004B60D8">
      <w:pPr>
        <w:spacing w:after="0" w:line="240" w:lineRule="auto"/>
      </w:pPr>
    </w:p>
    <w:p w:rsidR="00633669" w:rsidRPr="004B60D8" w:rsidRDefault="00633669" w:rsidP="004B60D8">
      <w:pPr>
        <w:spacing w:after="0" w:line="240" w:lineRule="auto"/>
        <w:rPr>
          <w:lang w:val="en-US"/>
        </w:rPr>
      </w:pPr>
    </w:p>
    <w:p w:rsidR="00CB6062" w:rsidRPr="004B60D8" w:rsidRDefault="00CB6062" w:rsidP="004B60D8">
      <w:pPr>
        <w:spacing w:after="0" w:line="240" w:lineRule="auto"/>
        <w:rPr>
          <w:lang w:val="en-US"/>
        </w:rPr>
      </w:pPr>
    </w:p>
    <w:p w:rsidR="00CB6062" w:rsidRPr="004B60D8" w:rsidRDefault="00CB6062" w:rsidP="004B60D8">
      <w:pPr>
        <w:spacing w:after="0" w:line="240" w:lineRule="auto"/>
        <w:rPr>
          <w:lang w:val="en-US"/>
        </w:rPr>
      </w:pPr>
    </w:p>
    <w:p w:rsidR="00CB6062" w:rsidRPr="004B60D8" w:rsidRDefault="00CB6062" w:rsidP="004B60D8">
      <w:pPr>
        <w:spacing w:after="0" w:line="240" w:lineRule="auto"/>
        <w:rPr>
          <w:lang w:val="en-US"/>
        </w:rPr>
      </w:pPr>
    </w:p>
    <w:p w:rsidR="00CB6062" w:rsidRPr="004B60D8" w:rsidRDefault="00CB6062" w:rsidP="004B60D8">
      <w:pPr>
        <w:spacing w:after="0" w:line="240" w:lineRule="auto"/>
        <w:rPr>
          <w:lang w:val="en-US"/>
        </w:rPr>
      </w:pPr>
    </w:p>
    <w:p w:rsidR="00CB6062" w:rsidRPr="004B60D8" w:rsidRDefault="00CB6062" w:rsidP="004B60D8">
      <w:pPr>
        <w:spacing w:after="0" w:line="240" w:lineRule="auto"/>
        <w:rPr>
          <w:lang w:val="en-US"/>
        </w:rPr>
      </w:pPr>
    </w:p>
    <w:p w:rsidR="00CB6062" w:rsidRPr="004B60D8" w:rsidRDefault="00B94F51" w:rsidP="004B60D8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4766253"/>
      <w:r w:rsidRPr="004B60D8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4B60D8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4B60D8" w:rsidRDefault="00541D3A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4766254"/>
      <w:r w:rsidRPr="004B60D8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4B60D8" w:rsidRDefault="00F31222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2D6BEB" w:rsidRPr="004B60D8" w:rsidRDefault="002D6BEB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январе-феврале 2019 года было выработано 18 871,1 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электроэнергии, что на 4,1% меньше аналогичного периода 2018 года. Рост выработки наблюдался лишь в Западной зоне ЕЭС Казахстана.</w:t>
      </w:r>
    </w:p>
    <w:p w:rsidR="001447DB" w:rsidRPr="004B60D8" w:rsidRDefault="001447DB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60D8">
        <w:rPr>
          <w:rFonts w:ascii="Times New Roman" w:hAnsi="Times New Roman" w:cs="Times New Roman"/>
          <w:i/>
          <w:sz w:val="24"/>
        </w:rPr>
        <w:t>мл</w:t>
      </w:r>
      <w:r w:rsidR="00582144" w:rsidRPr="004B60D8">
        <w:rPr>
          <w:rFonts w:ascii="Times New Roman" w:hAnsi="Times New Roman" w:cs="Times New Roman"/>
          <w:i/>
          <w:sz w:val="24"/>
        </w:rPr>
        <w:t>н</w:t>
      </w:r>
      <w:r w:rsidRPr="004B60D8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4B60D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2D6BEB" w:rsidRPr="004B60D8" w:rsidTr="004B60D8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19682,4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18871,1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-4,1%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-5,0%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-0,9%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54,5%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127,9%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-5,0%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13504,3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-5,7%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12,6%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-4,1%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-4,5%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70,2%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D6BEB" w:rsidRPr="004B60D8" w:rsidTr="002D6BEB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2D6BEB" w:rsidRPr="004B60D8" w:rsidRDefault="002D6BEB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23FFD" w:rsidRPr="004B60D8" w:rsidRDefault="00682876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  <w:r w:rsidRPr="004B60D8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4B60D8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2D6BEB" w:rsidRPr="004B60D8" w:rsidRDefault="002D6BEB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В январе-феврале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</w:t>
      </w:r>
      <w:proofErr w:type="spellStart"/>
      <w:r w:rsidRPr="004B60D8">
        <w:rPr>
          <w:rFonts w:ascii="Times New Roman" w:hAnsi="Times New Roman" w:cs="Times New Roman"/>
          <w:sz w:val="28"/>
        </w:rPr>
        <w:t>Алматинской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60D8">
        <w:rPr>
          <w:rFonts w:ascii="Times New Roman" w:hAnsi="Times New Roman" w:cs="Times New Roman"/>
          <w:sz w:val="28"/>
        </w:rPr>
        <w:t>Жамбылской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60D8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4B60D8" w:rsidRDefault="00023FFD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2D6BEB" w:rsidRPr="004B60D8" w:rsidRDefault="002D6BEB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4B60D8" w:rsidRDefault="009B7719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60D8">
        <w:rPr>
          <w:rFonts w:ascii="Times New Roman" w:hAnsi="Times New Roman" w:cs="Times New Roman"/>
          <w:i/>
          <w:sz w:val="24"/>
        </w:rPr>
        <w:lastRenderedPageBreak/>
        <w:t>мл</w:t>
      </w:r>
      <w:r w:rsidR="00582144" w:rsidRPr="004B60D8">
        <w:rPr>
          <w:rFonts w:ascii="Times New Roman" w:hAnsi="Times New Roman" w:cs="Times New Roman"/>
          <w:i/>
          <w:sz w:val="24"/>
        </w:rPr>
        <w:t>н</w:t>
      </w:r>
      <w:r w:rsidRPr="004B60D8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4B60D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2D6BEB" w:rsidRPr="004B60D8" w:rsidTr="004B60D8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D6BEB" w:rsidRPr="004B60D8" w:rsidTr="002D6BEB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</w:tr>
      <w:tr w:rsidR="002D6BEB" w:rsidRPr="004B60D8" w:rsidTr="002D6BEB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2D6BEB" w:rsidRPr="004B60D8" w:rsidTr="002D6BEB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-11,9%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-9,3%</w:t>
            </w:r>
          </w:p>
        </w:tc>
      </w:tr>
      <w:tr w:rsidR="002D6BEB" w:rsidRPr="004B60D8" w:rsidTr="002D6BEB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</w:tr>
      <w:tr w:rsidR="002D6BEB" w:rsidRPr="004B60D8" w:rsidTr="002D6BEB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-10,6%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2D6BEB" w:rsidRPr="004B60D8" w:rsidTr="002D6BEB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</w:tr>
      <w:tr w:rsidR="002D6BEB" w:rsidRPr="004B60D8" w:rsidTr="002D6BEB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19 682,4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-4,1%</w:t>
            </w:r>
          </w:p>
        </w:tc>
      </w:tr>
    </w:tbl>
    <w:p w:rsidR="00BC6332" w:rsidRPr="004B60D8" w:rsidRDefault="00BC633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4766256"/>
      <w:r w:rsidRPr="004B60D8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CB6062" w:rsidRPr="004B60D8" w:rsidRDefault="00CB606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2D6BEB" w:rsidRPr="004B60D8" w:rsidRDefault="002D6BEB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60D8">
        <w:rPr>
          <w:rFonts w:ascii="Times New Roman" w:hAnsi="Times New Roman" w:cs="Times New Roman"/>
          <w:sz w:val="28"/>
        </w:rPr>
        <w:t xml:space="preserve">За </w:t>
      </w:r>
      <w:bookmarkStart w:id="4" w:name="_GoBack"/>
      <w:r w:rsidRPr="004B60D8">
        <w:rPr>
          <w:rFonts w:ascii="Times New Roman" w:hAnsi="Times New Roman" w:cs="Times New Roman"/>
          <w:sz w:val="28"/>
        </w:rPr>
        <w:t xml:space="preserve">два месяца 2019 года производство электроэнергии связанной генерацией составило 9,43 млрд.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, что на 0,05 млрд.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ниже по сравнению с аналогичным периодом 2018 года (9,49 млрд.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). Вместе с тем, по сравнению с двумя месяцами 2018 </w:t>
      </w:r>
      <w:bookmarkEnd w:id="4"/>
      <w:r w:rsidRPr="004B60D8">
        <w:rPr>
          <w:rFonts w:ascii="Times New Roman" w:hAnsi="Times New Roman" w:cs="Times New Roman"/>
          <w:sz w:val="28"/>
        </w:rPr>
        <w:t xml:space="preserve">года доля связанной генерации незначительно увеличилась, и составила 50% от общего объема производства электроэнергии в РК. </w:t>
      </w:r>
    </w:p>
    <w:p w:rsidR="004A4775" w:rsidRPr="004B60D8" w:rsidRDefault="004A4775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60D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4B60D8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46649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CD400E"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  <w:p w:rsidR="00CD400E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46649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="00CD400E"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proofErr w:type="gramStart"/>
            <w:r w:rsidR="002D6BEB"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proofErr w:type="gramEnd"/>
            <w:r w:rsidR="002D6BEB"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7E2BB4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CD400E"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/2018гг</w:t>
            </w:r>
          </w:p>
        </w:tc>
      </w:tr>
      <w:tr w:rsidR="00CD400E" w:rsidRPr="004B60D8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4B60D8" w:rsidRDefault="00CD400E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3 533,3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3 465,2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-1,9%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110,8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9,7%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-2,7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-0,6%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-97,7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-20,8%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59,2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</w:tr>
      <w:tr w:rsidR="002D6BEB" w:rsidRPr="004B60D8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1 308,7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1 305,9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-2,8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EB" w:rsidRPr="004B60D8" w:rsidRDefault="002D6BE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-0,2%</w:t>
            </w:r>
          </w:p>
        </w:tc>
      </w:tr>
      <w:tr w:rsidR="00285AC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-61,4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-12,9%</w:t>
            </w:r>
          </w:p>
        </w:tc>
      </w:tr>
      <w:tr w:rsidR="00285ACB" w:rsidRPr="004B60D8" w:rsidTr="00076A8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904,7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916,0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11,3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1,2%</w:t>
            </w:r>
          </w:p>
        </w:tc>
      </w:tr>
      <w:tr w:rsidR="00285ACB" w:rsidRPr="004B60D8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9 485,1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9 433,7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-0,5%</w:t>
            </w:r>
          </w:p>
        </w:tc>
      </w:tr>
    </w:tbl>
    <w:p w:rsidR="00CD400E" w:rsidRPr="004B60D8" w:rsidRDefault="00CD400E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7F45" w:rsidRPr="004B60D8" w:rsidRDefault="00CD400E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4B60D8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4B60D8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» </w:t>
      </w:r>
      <w:r w:rsidR="00285ACB" w:rsidRPr="004B60D8">
        <w:rPr>
          <w:rFonts w:ascii="Times New Roman" w:hAnsi="Times New Roman" w:cs="Times New Roman"/>
          <w:sz w:val="28"/>
        </w:rPr>
        <w:t>за 2 месяца 2019 года составил 5,4</w:t>
      </w:r>
      <w:r w:rsidR="00D36832" w:rsidRPr="004B60D8">
        <w:rPr>
          <w:rFonts w:ascii="Times New Roman" w:hAnsi="Times New Roman" w:cs="Times New Roman"/>
          <w:sz w:val="28"/>
        </w:rPr>
        <w:t xml:space="preserve"> млрд.</w:t>
      </w:r>
      <w:r w:rsidR="00285ACB" w:rsidRPr="004B60D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ACB" w:rsidRPr="004B60D8">
        <w:rPr>
          <w:rFonts w:ascii="Times New Roman" w:hAnsi="Times New Roman" w:cs="Times New Roman"/>
          <w:sz w:val="28"/>
        </w:rPr>
        <w:t>кВтч</w:t>
      </w:r>
      <w:proofErr w:type="spellEnd"/>
      <w:r w:rsidR="00285ACB" w:rsidRPr="004B60D8">
        <w:rPr>
          <w:rFonts w:ascii="Times New Roman" w:hAnsi="Times New Roman" w:cs="Times New Roman"/>
          <w:sz w:val="28"/>
        </w:rPr>
        <w:t xml:space="preserve"> или снижение на 11,6</w:t>
      </w:r>
      <w:r w:rsidRPr="004B60D8">
        <w:rPr>
          <w:rFonts w:ascii="Times New Roman" w:hAnsi="Times New Roman" w:cs="Times New Roman"/>
          <w:sz w:val="28"/>
        </w:rPr>
        <w:t>% в сравнении с показа</w:t>
      </w:r>
      <w:r w:rsidR="0099385A" w:rsidRPr="004B60D8">
        <w:rPr>
          <w:rFonts w:ascii="Times New Roman" w:hAnsi="Times New Roman" w:cs="Times New Roman"/>
          <w:sz w:val="28"/>
        </w:rPr>
        <w:t>телями аналогичного периода 2018</w:t>
      </w:r>
      <w:r w:rsidR="00457F45" w:rsidRPr="004B60D8">
        <w:rPr>
          <w:rFonts w:ascii="Times New Roman" w:hAnsi="Times New Roman" w:cs="Times New Roman"/>
          <w:sz w:val="28"/>
        </w:rPr>
        <w:t xml:space="preserve"> года.</w:t>
      </w:r>
    </w:p>
    <w:p w:rsidR="004A4775" w:rsidRPr="004B60D8" w:rsidRDefault="004A4775" w:rsidP="004B60D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60D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246"/>
        <w:gridCol w:w="992"/>
        <w:gridCol w:w="1151"/>
        <w:gridCol w:w="992"/>
        <w:gridCol w:w="1151"/>
        <w:gridCol w:w="1134"/>
        <w:gridCol w:w="973"/>
      </w:tblGrid>
      <w:tr w:rsidR="00285ACB" w:rsidRPr="004B60D8" w:rsidTr="00285AC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285ACB" w:rsidRPr="004B60D8" w:rsidTr="00285AC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85ACB" w:rsidRPr="004B60D8" w:rsidTr="00285AC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6 117,4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5 407,7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28,7%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-709,6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-11,6%</w:t>
            </w:r>
          </w:p>
        </w:tc>
      </w:tr>
      <w:tr w:rsidR="00285ACB" w:rsidRPr="004B60D8" w:rsidTr="00285AC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1 222,5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1 130,3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-92,2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-7,5%</w:t>
            </w:r>
          </w:p>
        </w:tc>
      </w:tr>
      <w:tr w:rsidR="00285ACB" w:rsidRPr="004B60D8" w:rsidTr="00285AC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3 538,4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2 815,4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-722,9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-20,4%</w:t>
            </w:r>
          </w:p>
        </w:tc>
      </w:tr>
      <w:tr w:rsidR="00285ACB" w:rsidRPr="004B60D8" w:rsidTr="00285AC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1 092,4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1 177,3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85,0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7,8%</w:t>
            </w:r>
          </w:p>
        </w:tc>
      </w:tr>
      <w:tr w:rsidR="00285ACB" w:rsidRPr="004B60D8" w:rsidTr="00285AC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94,0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42,5%</w:t>
            </w:r>
          </w:p>
        </w:tc>
      </w:tr>
      <w:tr w:rsidR="00285ACB" w:rsidRPr="004B60D8" w:rsidTr="00285AC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159,7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-10,7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-6,3%</w:t>
            </w:r>
          </w:p>
        </w:tc>
      </w:tr>
      <w:tr w:rsidR="00285ACB" w:rsidRPr="004B60D8" w:rsidTr="00285AC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0,002%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0,002%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5,7%</w:t>
            </w:r>
          </w:p>
        </w:tc>
      </w:tr>
      <w:tr w:rsidR="00285ACB" w:rsidRPr="004B60D8" w:rsidTr="00285AC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CB" w:rsidRPr="004B60D8" w:rsidRDefault="00285ACB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4B60D8">
              <w:rPr>
                <w:rFonts w:ascii="Times New Roman" w:hAnsi="Times New Roman" w:cs="Times New Roman"/>
                <w:bCs/>
                <w:i/>
              </w:rPr>
              <w:t>11,6%</w:t>
            </w:r>
          </w:p>
        </w:tc>
      </w:tr>
    </w:tbl>
    <w:p w:rsidR="004A4775" w:rsidRPr="004B60D8" w:rsidRDefault="004A4775" w:rsidP="004B60D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4B60D8" w:rsidRDefault="004A4775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16129783"/>
      <w:bookmarkStart w:id="6" w:name="_Toc4766257"/>
      <w:r w:rsidRPr="004B60D8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4A4775" w:rsidRPr="004B60D8" w:rsidRDefault="004A4775" w:rsidP="004B60D8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66258"/>
      <w:r w:rsidRPr="004B60D8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EC42B5" w:rsidRPr="004B60D8" w:rsidRDefault="00EC42B5" w:rsidP="004B60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>По данным Системного оператора, в январе-феврале 2019 года наблюдался рост в динамике потребления электрической энергии республики в сравнении с показателями января-февраля 2018 года. Так, в северной зоне республики потребление увеличилось на 1,3%, в западной зоне на 1,2%, а в южной зоне на 0,5%.</w:t>
      </w:r>
    </w:p>
    <w:p w:rsidR="004A4775" w:rsidRPr="004B60D8" w:rsidRDefault="004A4775" w:rsidP="004B60D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4B60D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EC42B5" w:rsidRPr="004B60D8" w:rsidTr="00E64F87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фев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2018г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фев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2019г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18 700,9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12 216,9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12 373,8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2 383,5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2 413,3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3 124,4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3 125,5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1 805,8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1 814,6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888,6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3 341,1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3 393,3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1 057,5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1 128,3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951,5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-4,5%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1 112,3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1 121,3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2 100,2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-2,1%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812,4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6,9%</w:t>
            </w:r>
          </w:p>
        </w:tc>
      </w:tr>
      <w:tr w:rsidR="00EC42B5" w:rsidRPr="004B60D8" w:rsidTr="00E64F8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B5" w:rsidRPr="004B60D8" w:rsidRDefault="00EC42B5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B5" w:rsidRPr="004B60D8" w:rsidRDefault="00EC42B5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0,1%</w:t>
            </w:r>
          </w:p>
        </w:tc>
      </w:tr>
    </w:tbl>
    <w:p w:rsidR="00C6011E" w:rsidRPr="004B60D8" w:rsidRDefault="00C6011E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134A2" w:rsidRPr="004B60D8" w:rsidRDefault="006C7B7B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8"/>
      <w:bookmarkStart w:id="10" w:name="_Toc2249073"/>
      <w:bookmarkStart w:id="11" w:name="_Toc4766259"/>
      <w:r w:rsidRPr="004B60D8">
        <w:rPr>
          <w:rFonts w:ascii="Times New Roman" w:hAnsi="Times New Roman" w:cs="Times New Roman"/>
          <w:i/>
          <w:color w:val="auto"/>
          <w:sz w:val="28"/>
        </w:rPr>
        <w:t>Итоги работы промышленности за 2</w:t>
      </w:r>
      <w:r w:rsidR="000134A2" w:rsidRPr="004B60D8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Pr="004B60D8">
        <w:rPr>
          <w:rFonts w:ascii="Times New Roman" w:hAnsi="Times New Roman" w:cs="Times New Roman"/>
          <w:i/>
          <w:color w:val="auto"/>
          <w:sz w:val="28"/>
        </w:rPr>
        <w:t>а</w:t>
      </w:r>
      <w:r w:rsidR="000134A2" w:rsidRPr="004B60D8">
        <w:rPr>
          <w:rFonts w:ascii="Times New Roman" w:hAnsi="Times New Roman" w:cs="Times New Roman"/>
          <w:i/>
          <w:color w:val="auto"/>
          <w:sz w:val="28"/>
        </w:rPr>
        <w:t xml:space="preserve"> 2019 года</w:t>
      </w:r>
      <w:bookmarkEnd w:id="9"/>
      <w:bookmarkEnd w:id="10"/>
      <w:bookmarkEnd w:id="11"/>
      <w:r w:rsidR="000134A2" w:rsidRPr="004B60D8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0134A2" w:rsidRPr="004B60D8" w:rsidRDefault="000134A2" w:rsidP="004B60D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4B60D8">
        <w:rPr>
          <w:i/>
          <w:szCs w:val="22"/>
        </w:rPr>
        <w:t>(экспресс-информация Комитета по статистике МНЭ РК)</w:t>
      </w:r>
    </w:p>
    <w:p w:rsidR="00457F45" w:rsidRPr="004B60D8" w:rsidRDefault="00457F45" w:rsidP="004B60D8">
      <w:pPr>
        <w:pStyle w:val="ab"/>
        <w:spacing w:before="0" w:beforeAutospacing="0" w:after="0" w:afterAutospacing="0"/>
        <w:jc w:val="center"/>
        <w:rPr>
          <w:i/>
          <w:szCs w:val="22"/>
        </w:rPr>
      </w:pPr>
    </w:p>
    <w:p w:rsidR="00E56657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январе-феврале 2019 года по сравнению с январем-февралем 2018 года индекс промышленного производства составил 102,7%. Увеличение объемов производства зафиксировано в 13 регионах республики, снижение наблюдалось в Карагандинской,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, Западно-Казахстанской и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  <w:proofErr w:type="gramEnd"/>
    </w:p>
    <w:p w:rsidR="00A90F00" w:rsidRPr="004B60D8" w:rsidRDefault="00A90F00" w:rsidP="004B60D8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B60D8">
        <w:rPr>
          <w:rFonts w:ascii="Times New Roman" w:hAnsi="Times New Roman"/>
          <w:b/>
          <w:sz w:val="28"/>
          <w:szCs w:val="28"/>
        </w:rPr>
        <w:lastRenderedPageBreak/>
        <w:t>Изменение объемов промышленной продукции по регионам</w:t>
      </w:r>
    </w:p>
    <w:p w:rsidR="00A90F00" w:rsidRPr="004B60D8" w:rsidRDefault="00A90F00" w:rsidP="004B60D8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4B60D8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4B60D8">
        <w:rPr>
          <w:rFonts w:ascii="Times New Roman" w:hAnsi="Times New Roman"/>
          <w:i/>
          <w:sz w:val="28"/>
          <w:szCs w:val="28"/>
        </w:rPr>
        <w:t xml:space="preserve"> % к соответствующему периоду предыдущего года</w:t>
      </w:r>
    </w:p>
    <w:p w:rsidR="00770E28" w:rsidRPr="004B60D8" w:rsidRDefault="00EC42B5" w:rsidP="004B60D8">
      <w:pPr>
        <w:pStyle w:val="OsnTxt"/>
        <w:spacing w:line="240" w:lineRule="auto"/>
        <w:ind w:right="-284"/>
        <w:jc w:val="left"/>
        <w:rPr>
          <w:rFonts w:ascii="Times New Roman" w:hAnsi="Times New Roman"/>
          <w:i/>
          <w:sz w:val="28"/>
          <w:szCs w:val="28"/>
        </w:rPr>
      </w:pPr>
      <w:r w:rsidRPr="004B60D8">
        <w:rPr>
          <w:rFonts w:ascii="Calibri" w:hAnsi="Calibri" w:cs="Arial"/>
          <w:noProof/>
        </w:rPr>
        <w:drawing>
          <wp:inline distT="0" distB="0" distL="0" distR="0" wp14:anchorId="7EAE997F" wp14:editId="0B4386DD">
            <wp:extent cx="5438140" cy="25520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возросла добыча медных, золотосодержащих руд и концентратов, увеличилось производство аффинированного золота, рафинированной меди и легковых автомобилей (114,5%).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объемов добычи сырой нефти индекс промышленного производства составил 110,7%.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агломерированных железных руд и железорудных окатышей, возросло производство прутков и стержней из стали, золота в сплаве Доре и легковых автомобилей (109,1%).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стана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товарного бетона,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и аффинированного золота (108,2%).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лматы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переработанного чая и кофе, пива, нелегированной стали и рафинированной меди (104,5%).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.Ш</w:t>
      </w:r>
      <w:proofErr w:type="gram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ымкент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ковров, бензина, керосина, сжиженного пропана и бутана (103,7%).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(103,3%).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концентратов, увеличилось производство золота в сплаве Доре, шариковых и роликовых подшипников (103,1%).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ab/>
        <w:t>Туркестанской области увеличилась добыча урановых руд, возросло производство трансформаторов, обработанного хлопка и электроэнергии (102,8%).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каменного угля, медных руд и концентратов, возросло производство дизельного топлива, топочного мазута и феррохрома (102,5%).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фосфатного сырья, увеличилось производство фосфора (102,2%).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 и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гипсокартона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(101,9%).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 Северо-Казахстанской области воз</w:t>
      </w:r>
      <w:r w:rsidR="005C0FBF" w:rsidRPr="004B60D8">
        <w:rPr>
          <w:rFonts w:ascii="Times New Roman" w:eastAsiaTheme="minorHAnsi" w:hAnsi="Times New Roman"/>
          <w:sz w:val="28"/>
          <w:szCs w:val="22"/>
          <w:lang w:val="kk-KZ" w:eastAsia="en-US"/>
        </w:rPr>
        <w:t>р</w:t>
      </w: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осла добыча урановых руд, увеличилось производство нер</w:t>
      </w:r>
      <w:r w:rsidR="005C0FBF" w:rsidRPr="004B60D8">
        <w:rPr>
          <w:rFonts w:ascii="Times New Roman" w:eastAsiaTheme="minorHAnsi" w:hAnsi="Times New Roman"/>
          <w:sz w:val="28"/>
          <w:szCs w:val="22"/>
          <w:lang w:eastAsia="en-US"/>
        </w:rPr>
        <w:t>афинированного рапсового и льня</w:t>
      </w: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ного масла и электроэнергии (101,6%).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98,4%.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В Западно-Казахстанской области из-за снижения добычи газового конденсата индекс промышленного производства составил 97,8%.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94,5%.</w:t>
      </w:r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 и изолированного провода индекс промышленного производства составил 87,8%.</w:t>
      </w:r>
    </w:p>
    <w:p w:rsidR="000134A2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4B60D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134A2" w:rsidRPr="004B60D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1" w:history="1">
        <w:r w:rsidR="000134A2" w:rsidRPr="004B60D8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134A2" w:rsidRPr="004B60D8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4B60D8" w:rsidRDefault="00BC7CB8" w:rsidP="004B60D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134A2" w:rsidRPr="004B60D8" w:rsidRDefault="00596C30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4766260"/>
      <w:r w:rsidRPr="004B60D8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4B60D8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4B60D8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12"/>
    </w:p>
    <w:p w:rsidR="00EC42B5" w:rsidRPr="004B60D8" w:rsidRDefault="00EC42B5" w:rsidP="004B60D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За январь-февраль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ТОО «Корпорация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», РГП «Канал им. 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», ТОО «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Таразский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 Металлургический завод» и ТОО «</w:t>
      </w:r>
      <w:proofErr w:type="spellStart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4B60D8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A42AA0" w:rsidRPr="004B60D8" w:rsidRDefault="006C6971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60D8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4B60D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4B60D8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EC42B5" w:rsidRPr="004B60D8" w:rsidTr="00E64F87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Toc2249075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</w:tr>
      <w:tr w:rsidR="00EC42B5" w:rsidRPr="004B60D8" w:rsidTr="00E64F87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590,4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881,6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953,2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199,1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485,6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297,7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308,8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207,9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499,9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-33%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408,4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365,0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27,8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-27%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131,9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320,3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154,2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603,9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618,8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297,9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56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906,2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954,2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C42B5" w:rsidRPr="004B60D8" w:rsidTr="00E64F87">
        <w:trPr>
          <w:trHeight w:val="360"/>
          <w:jc w:val="center"/>
        </w:trPr>
        <w:tc>
          <w:tcPr>
            <w:tcW w:w="6804" w:type="dxa"/>
            <w:gridSpan w:val="2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6 183,8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6 174,4 </w:t>
            </w:r>
          </w:p>
        </w:tc>
        <w:tc>
          <w:tcPr>
            <w:tcW w:w="1087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-0,15%</w:t>
            </w:r>
          </w:p>
        </w:tc>
      </w:tr>
    </w:tbl>
    <w:p w:rsidR="000134A2" w:rsidRPr="004B60D8" w:rsidRDefault="000134A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4766261"/>
      <w:r w:rsidRPr="004B60D8">
        <w:rPr>
          <w:rFonts w:ascii="Times New Roman" w:hAnsi="Times New Roman" w:cs="Times New Roman"/>
          <w:i/>
          <w:color w:val="auto"/>
          <w:sz w:val="28"/>
        </w:rPr>
        <w:t>Электропотребление потребителями связанной генерации</w:t>
      </w:r>
      <w:bookmarkEnd w:id="13"/>
      <w:bookmarkEnd w:id="14"/>
    </w:p>
    <w:p w:rsidR="00E56657" w:rsidRPr="004B60D8" w:rsidRDefault="00E56657" w:rsidP="004B60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4B60D8" w:rsidRDefault="00A32670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5" w:name="_Toc4766262"/>
      <w:r w:rsidRPr="004B60D8">
        <w:rPr>
          <w:rFonts w:ascii="Times New Roman" w:hAnsi="Times New Roman" w:cs="Times New Roman"/>
          <w:b/>
        </w:rPr>
        <w:lastRenderedPageBreak/>
        <w:t>Уголь</w:t>
      </w:r>
      <w:bookmarkEnd w:id="15"/>
    </w:p>
    <w:p w:rsidR="00BC7CB8" w:rsidRPr="004B60D8" w:rsidRDefault="00BC7CB8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4B60D8" w:rsidRDefault="00E23C2C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4766263"/>
      <w:r w:rsidRPr="004B60D8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4B60D8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4B60D8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4B60D8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4B60D8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6"/>
    </w:p>
    <w:p w:rsidR="00EC42B5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январь-февраль 2019 года добыто 19,4 млн. тонн каменного угля, что на 0,95% больше, чем за аналогичный период 2018 года (19,2 млн. тонн).</w:t>
      </w:r>
    </w:p>
    <w:p w:rsidR="003F0FFA" w:rsidRPr="004B60D8" w:rsidRDefault="003F0FFA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4A2" w:rsidRPr="004B60D8" w:rsidRDefault="000134A2" w:rsidP="004B60D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4B60D8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EC42B5" w:rsidRPr="004B60D8" w:rsidTr="00E64F87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Январь-февраль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C42B5" w:rsidRPr="004B60D8" w:rsidTr="00E64F87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EC42B5" w:rsidRPr="004B60D8" w:rsidRDefault="00EC42B5" w:rsidP="004B6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C42B5" w:rsidRPr="004B60D8" w:rsidRDefault="00EC42B5" w:rsidP="004B6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B5" w:rsidRPr="004B60D8" w:rsidTr="00E64F87">
        <w:trPr>
          <w:trHeight w:val="333"/>
        </w:trPr>
        <w:tc>
          <w:tcPr>
            <w:tcW w:w="566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12 153,3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12 812,8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EC42B5" w:rsidRPr="004B60D8" w:rsidTr="00E64F87">
        <w:trPr>
          <w:trHeight w:val="333"/>
        </w:trPr>
        <w:tc>
          <w:tcPr>
            <w:tcW w:w="566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5 529,6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5 046,2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C42B5" w:rsidRPr="004B60D8" w:rsidTr="00E64F87">
        <w:trPr>
          <w:trHeight w:val="333"/>
        </w:trPr>
        <w:tc>
          <w:tcPr>
            <w:tcW w:w="566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1 476,2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1 446,6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EC42B5" w:rsidRPr="004B60D8" w:rsidTr="00E64F87">
        <w:trPr>
          <w:trHeight w:val="333"/>
        </w:trPr>
        <w:tc>
          <w:tcPr>
            <w:tcW w:w="566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19 174,9</w:t>
            </w:r>
          </w:p>
        </w:tc>
        <w:tc>
          <w:tcPr>
            <w:tcW w:w="1938" w:type="dxa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19 357,5</w:t>
            </w:r>
          </w:p>
        </w:tc>
        <w:tc>
          <w:tcPr>
            <w:tcW w:w="1938" w:type="dxa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101%</w:t>
            </w:r>
          </w:p>
        </w:tc>
      </w:tr>
    </w:tbl>
    <w:p w:rsidR="000134A2" w:rsidRPr="004B60D8" w:rsidRDefault="000134A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4B60D8" w:rsidRDefault="000134A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2249078"/>
      <w:bookmarkStart w:id="18" w:name="_Toc4766264"/>
      <w:r w:rsidRPr="004B60D8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4B60D8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4B60D8">
        <w:rPr>
          <w:rFonts w:ascii="Times New Roman" w:hAnsi="Times New Roman" w:cs="Times New Roman"/>
          <w:i/>
          <w:color w:val="auto"/>
          <w:sz w:val="28"/>
        </w:rPr>
        <w:t>»</w:t>
      </w:r>
      <w:bookmarkEnd w:id="17"/>
      <w:bookmarkEnd w:id="18"/>
    </w:p>
    <w:p w:rsidR="00EC42B5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249079"/>
      <w:r w:rsidRPr="004B60D8">
        <w:rPr>
          <w:rFonts w:ascii="Times New Roman" w:hAnsi="Times New Roman" w:cs="Times New Roman"/>
          <w:sz w:val="28"/>
          <w:szCs w:val="28"/>
        </w:rPr>
        <w:t>В январе-феврале 2019 года ТОО «Богатырь Комир» добыто 8 499 тыс. тонн, что на 7,9% больше, чем за соответствующий период 2018 года (7 878 тыс. тонн).</w:t>
      </w:r>
    </w:p>
    <w:p w:rsidR="00EC42B5" w:rsidRPr="004B60D8" w:rsidRDefault="00EC42B5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4B60D8" w:rsidRDefault="000134A2" w:rsidP="004B60D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0" w:name="_Toc4766265"/>
      <w:r w:rsidRPr="004B60D8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4B60D8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4B60D8">
        <w:rPr>
          <w:rFonts w:ascii="Times New Roman" w:hAnsi="Times New Roman" w:cs="Times New Roman"/>
          <w:i/>
          <w:color w:val="auto"/>
          <w:sz w:val="28"/>
        </w:rPr>
        <w:t>»</w:t>
      </w:r>
      <w:bookmarkEnd w:id="19"/>
      <w:bookmarkEnd w:id="20"/>
    </w:p>
    <w:p w:rsidR="00EC42B5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 xml:space="preserve">В январе-феврале 2019 года реализовано 8 303 тыс. тонн, в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>.:</w:t>
      </w:r>
    </w:p>
    <w:p w:rsidR="00EC42B5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>- на внутренний рынок РК 6 822 тыс. тонн, что на 1,5% больше, чем за соответствующий период 2018 года (6 720 тыс. тонн);</w:t>
      </w:r>
    </w:p>
    <w:p w:rsidR="00EC42B5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>- на экспорт (РФ) – 1 481 млн. тонн, что на 35,8% больше, чем за соответствующий период 2018 года (1 090 тыс. тонн).</w:t>
      </w:r>
    </w:p>
    <w:p w:rsidR="00F64552" w:rsidRPr="004B60D8" w:rsidRDefault="00F64552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1" w:rsidRPr="004B60D8" w:rsidRDefault="00B34E61" w:rsidP="004B60D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B60D8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796"/>
      </w:tblGrid>
      <w:tr w:rsidR="00B34E61" w:rsidRPr="004B60D8" w:rsidTr="00457F4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4B60D8" w:rsidRDefault="00B34E61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4B60D8" w:rsidRDefault="00B34E61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4B60D8" w:rsidRDefault="00B34E61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3B36BC" w:rsidRPr="004B60D8" w:rsidRDefault="00B9424F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4B60D8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42B5" w:rsidRPr="004B60D8" w:rsidTr="00457F45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янв.-</w:t>
            </w:r>
            <w:r w:rsidR="003F0FFA"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фев. 2018г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янв.-</w:t>
            </w:r>
            <w:r w:rsidR="003F0FFA"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фев. 2019г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B5" w:rsidRPr="004B60D8" w:rsidTr="00457F45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6 720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6 822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101,5%</w:t>
            </w:r>
          </w:p>
        </w:tc>
      </w:tr>
      <w:tr w:rsidR="00EC42B5" w:rsidRPr="004B60D8" w:rsidTr="00457F45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42B5" w:rsidRPr="004B60D8" w:rsidRDefault="00EC42B5" w:rsidP="004B60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Всего на экспо</w:t>
            </w:r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1 090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1 481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EC42B5" w:rsidRPr="004B60D8" w:rsidRDefault="00EC42B5" w:rsidP="004B60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135,8%</w:t>
            </w:r>
          </w:p>
        </w:tc>
      </w:tr>
    </w:tbl>
    <w:p w:rsidR="003F0FFA" w:rsidRPr="004B60D8" w:rsidRDefault="003F0FFA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062" w:rsidRPr="004B60D8" w:rsidRDefault="00EC42B5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 xml:space="preserve">По показателям за январь-февраль 2019 года по сравнению с аналогичным периодом 2018 года в Обществе наблюдается рост добычи (+7,9%) и реализации угля (+6,3%). </w:t>
      </w:r>
    </w:p>
    <w:p w:rsidR="000134A2" w:rsidRPr="004B60D8" w:rsidRDefault="000134A2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52" w:rsidRPr="004B60D8" w:rsidRDefault="00F64552" w:rsidP="004B6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4B60D8" w:rsidRDefault="006C42DB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1" w:name="_Toc503289885"/>
      <w:bookmarkStart w:id="22" w:name="_Toc4766266"/>
      <w:r w:rsidRPr="004B60D8">
        <w:rPr>
          <w:rFonts w:ascii="Times New Roman" w:hAnsi="Times New Roman" w:cs="Times New Roman"/>
          <w:b/>
        </w:rPr>
        <w:t>Возобновляемые источники энергии</w:t>
      </w:r>
      <w:bookmarkEnd w:id="21"/>
      <w:bookmarkEnd w:id="22"/>
    </w:p>
    <w:p w:rsidR="00AE6952" w:rsidRPr="004B60D8" w:rsidRDefault="00AE6952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C42B5" w:rsidRPr="004B60D8" w:rsidRDefault="00EC42B5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ГЭС, согласно Закону «О поддержке и использования ВИЭ») за 2 месяца 2019 года составил 187,3 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. В сравнении с показателями 2018 года (138,3 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>) прирост составил 35,4%.</w:t>
      </w:r>
    </w:p>
    <w:p w:rsidR="00F64552" w:rsidRPr="004B60D8" w:rsidRDefault="00F64552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4552" w:rsidRPr="004B60D8" w:rsidRDefault="00F64552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42DB" w:rsidRPr="004B60D8" w:rsidRDefault="006C42DB" w:rsidP="004B60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4B60D8">
        <w:rPr>
          <w:rFonts w:ascii="Times New Roman" w:hAnsi="Times New Roman" w:cs="Times New Roman"/>
          <w:sz w:val="24"/>
        </w:rPr>
        <w:lastRenderedPageBreak/>
        <w:t xml:space="preserve">млн. </w:t>
      </w:r>
      <w:proofErr w:type="spellStart"/>
      <w:r w:rsidRPr="004B60D8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80"/>
        <w:gridCol w:w="1114"/>
        <w:gridCol w:w="1031"/>
        <w:gridCol w:w="1135"/>
        <w:gridCol w:w="969"/>
        <w:gridCol w:w="1041"/>
        <w:gridCol w:w="931"/>
      </w:tblGrid>
      <w:tr w:rsidR="00E64F87" w:rsidRPr="004B60D8" w:rsidTr="00E64F87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E64F87" w:rsidRPr="004B60D8" w:rsidTr="00E64F87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4B60D8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19682,4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18871,1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-811,3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-4,1%</w:t>
            </w:r>
          </w:p>
        </w:tc>
      </w:tr>
      <w:tr w:rsidR="00E64F87" w:rsidRPr="004B60D8" w:rsidTr="00E64F8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138,3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0,7%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187,3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43,3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31,3%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53,3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28,5%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23,1%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95,0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68,7%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108,7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58,0%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14,4%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47,5%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E64F87" w:rsidRPr="004B60D8" w:rsidTr="00E64F8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138,3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0,7%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187,3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49,0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7,5%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-100,0%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60,2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-60,2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-100,0%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67,7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49,0%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70,0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37,4%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3,4%</w:t>
            </w:r>
          </w:p>
        </w:tc>
      </w:tr>
      <w:tr w:rsidR="00E64F87" w:rsidRPr="004B60D8" w:rsidTr="00E64F8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87" w:rsidRPr="004B60D8" w:rsidRDefault="00E64F87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B6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87" w:rsidRPr="004B60D8" w:rsidRDefault="00E64F8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457F45" w:rsidRPr="004B60D8" w:rsidRDefault="00457F45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F0FFA" w:rsidRPr="004B60D8" w:rsidRDefault="003F0FFA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выросло. </w:t>
      </w:r>
    </w:p>
    <w:p w:rsidR="00B17273" w:rsidRPr="004B60D8" w:rsidRDefault="00B17273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4B60D8">
        <w:rPr>
          <w:rFonts w:ascii="Times New Roman" w:eastAsia="Times New Roman" w:hAnsi="Times New Roman" w:cs="Times New Roman"/>
          <w:i/>
          <w:sz w:val="28"/>
          <w:szCs w:val="28"/>
        </w:rPr>
        <w:t>В январе введено 5 объектов ВИЭ (</w:t>
      </w:r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ВЭС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Кербулак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1 - 4,5 МВт,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Алматинская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ВЭС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Кербулак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  - 4,5 МВт,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Алматинская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СЭС «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Гульшат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КПМ Дельта – 40 МВт, Карагандинская область; ВЭС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Ветроэнерготехнологии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52,8 МВт, 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Мангистауская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область; Биогазовая установка агрофирма «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Курма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- 1,3 МВт, Карагандинская область. </w:t>
      </w:r>
      <w:proofErr w:type="gramEnd"/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феврале </w:t>
      </w:r>
      <w:proofErr w:type="gram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введена</w:t>
      </w:r>
      <w:proofErr w:type="gram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СЭС ТОО "</w:t>
      </w:r>
      <w:proofErr w:type="spellStart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Байкен</w:t>
      </w:r>
      <w:proofErr w:type="spellEnd"/>
      <w:r w:rsidRPr="004B60D8">
        <w:rPr>
          <w:rFonts w:ascii="Times New Roman" w:eastAsia="Times New Roman" w:hAnsi="Times New Roman" w:cs="Times New Roman"/>
          <w:i/>
          <w:iCs/>
          <w:sz w:val="28"/>
          <w:szCs w:val="28"/>
        </w:rPr>
        <w:t>-U".</w:t>
      </w:r>
    </w:p>
    <w:p w:rsidR="009A2788" w:rsidRPr="004B60D8" w:rsidRDefault="009A2788" w:rsidP="004B60D8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4B60D8" w:rsidRDefault="006C42DB" w:rsidP="004B60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B60D8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1041"/>
        <w:gridCol w:w="914"/>
      </w:tblGrid>
      <w:tr w:rsidR="003F0FFA" w:rsidRPr="004B60D8" w:rsidTr="003F0FF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F0FFA" w:rsidRPr="004B60D8" w:rsidTr="003F0FF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4B60D8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F0FFA" w:rsidRPr="004B60D8" w:rsidTr="003F0FF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19682,4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18871,1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-811,3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-4,1%</w:t>
            </w:r>
          </w:p>
        </w:tc>
      </w:tr>
      <w:tr w:rsidR="003F0FFA" w:rsidRPr="004B60D8" w:rsidTr="003F0FFA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FA" w:rsidRPr="004B60D8" w:rsidRDefault="003F0FFA" w:rsidP="004B60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1472,6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7,5%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1506,8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8,0%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34,2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</w:tr>
      <w:tr w:rsidR="003F0FFA" w:rsidRPr="004B60D8" w:rsidTr="003F0FFA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FA" w:rsidRPr="004B60D8" w:rsidRDefault="003F0FFA" w:rsidP="004B60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138,3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187,3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49,0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35,4%</w:t>
            </w:r>
          </w:p>
        </w:tc>
      </w:tr>
    </w:tbl>
    <w:p w:rsidR="006C42DB" w:rsidRPr="004B60D8" w:rsidRDefault="006C42DB" w:rsidP="004B60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B60D8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4B60D8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» (малые ГЭС, ВЭС, СЭС) за 2 месяца 2019 года </w:t>
      </w:r>
      <w:r w:rsidRPr="004B60D8">
        <w:rPr>
          <w:rFonts w:ascii="Times New Roman" w:hAnsi="Times New Roman" w:cs="Times New Roman"/>
          <w:sz w:val="28"/>
          <w:szCs w:val="28"/>
        </w:rPr>
        <w:t xml:space="preserve">составила 52,1 </w:t>
      </w:r>
      <w:r w:rsidRPr="004B60D8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или 27,8% от общего объема вырабатываемой объектами ВИЭ электроэнергии, что по сравнению с аналогичным периодом 2018 года выше на </w:t>
      </w: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4B60D8">
        <w:rPr>
          <w:rFonts w:ascii="Times New Roman" w:hAnsi="Times New Roman" w:cs="Times New Roman"/>
          <w:sz w:val="28"/>
          <w:szCs w:val="28"/>
        </w:rPr>
        <w:t>%</w:t>
      </w:r>
      <w:r w:rsidRPr="004B60D8">
        <w:rPr>
          <w:rFonts w:ascii="Times New Roman" w:hAnsi="Times New Roman" w:cs="Times New Roman"/>
          <w:sz w:val="28"/>
        </w:rPr>
        <w:t xml:space="preserve"> (за 2 месяца 2018г. выработка ВИЭ Общества</w:t>
      </w:r>
      <w:r w:rsidRPr="004B60D8">
        <w:rPr>
          <w:rFonts w:ascii="Times New Roman" w:hAnsi="Times New Roman" w:cs="Times New Roman"/>
        </w:rPr>
        <w:t xml:space="preserve"> – </w:t>
      </w:r>
      <w:r w:rsidRPr="004B60D8">
        <w:rPr>
          <w:rFonts w:ascii="Times New Roman" w:eastAsia="Times New Roman" w:hAnsi="Times New Roman" w:cs="Times New Roman"/>
          <w:sz w:val="28"/>
          <w:lang w:eastAsia="ru-RU"/>
        </w:rPr>
        <w:t xml:space="preserve">48,8 </w:t>
      </w:r>
      <w:r w:rsidRPr="004B60D8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>, а доля ВИЭ Общества – 35,3%).</w:t>
      </w:r>
      <w:proofErr w:type="gramEnd"/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lastRenderedPageBreak/>
        <w:t xml:space="preserve">Доля Общества в производстве «чистой» электроэнергии (крупные, малые ГЭС, ВЭС, СЭС) за 2 месяца 2019г. снизилась до </w:t>
      </w:r>
      <w:r w:rsidRPr="004B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29,6%</w:t>
      </w:r>
      <w:r w:rsidRPr="004B60D8">
        <w:rPr>
          <w:rFonts w:ascii="Times New Roman" w:hAnsi="Times New Roman" w:cs="Times New Roman"/>
          <w:sz w:val="28"/>
        </w:rPr>
        <w:t xml:space="preserve"> (</w:t>
      </w:r>
      <w:r w:rsidRPr="004B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445,8</w:t>
      </w:r>
      <w:r w:rsidRPr="004B60D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B60D8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) в сравнении с аналогичным периодом 2018г. (31,6% или 465,5 млн. </w:t>
      </w:r>
      <w:proofErr w:type="spellStart"/>
      <w:r w:rsidRPr="004B60D8">
        <w:rPr>
          <w:rFonts w:ascii="Times New Roman" w:hAnsi="Times New Roman" w:cs="Times New Roman"/>
          <w:sz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</w:rPr>
        <w:t>).</w:t>
      </w:r>
    </w:p>
    <w:p w:rsidR="003F0FFA" w:rsidRPr="004B60D8" w:rsidRDefault="003F0FFA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Снижение показателей выработки электроэнергии ВИЭ Общества связано с </w:t>
      </w:r>
      <w:r w:rsidRPr="004B60D8">
        <w:rPr>
          <w:rFonts w:ascii="Times New Roman" w:hAnsi="Times New Roman" w:cs="Times New Roman"/>
          <w:sz w:val="28"/>
          <w:szCs w:val="28"/>
          <w:lang w:val="kk-KZ"/>
        </w:rPr>
        <w:t xml:space="preserve">повреждением главного редуктора ВЭУ </w:t>
      </w:r>
      <w:r w:rsidRPr="004B60D8">
        <w:rPr>
          <w:rFonts w:ascii="Times New Roman" w:hAnsi="Times New Roman" w:cs="Times New Roman"/>
          <w:sz w:val="28"/>
          <w:szCs w:val="28"/>
        </w:rPr>
        <w:t>№21 ТОО «ПВЭС» (вывод с</w:t>
      </w:r>
      <w:r w:rsidRPr="004B60D8">
        <w:rPr>
          <w:rFonts w:ascii="Times New Roman" w:hAnsi="Times New Roman" w:cs="Times New Roman"/>
          <w:sz w:val="28"/>
          <w:szCs w:val="28"/>
          <w:lang w:val="kk-KZ"/>
        </w:rPr>
        <w:t xml:space="preserve"> 19.02.2018г.), </w:t>
      </w:r>
      <w:r w:rsidRPr="004B60D8">
        <w:rPr>
          <w:rFonts w:ascii="Times New Roman" w:hAnsi="Times New Roman" w:cs="Times New Roman"/>
          <w:sz w:val="28"/>
        </w:rPr>
        <w:t xml:space="preserve">снижением притока большого </w:t>
      </w:r>
      <w:proofErr w:type="spellStart"/>
      <w:r w:rsidRPr="004B60D8">
        <w:rPr>
          <w:rFonts w:ascii="Times New Roman" w:hAnsi="Times New Roman" w:cs="Times New Roman"/>
          <w:sz w:val="28"/>
        </w:rPr>
        <w:t>алматинского</w:t>
      </w:r>
      <w:proofErr w:type="spellEnd"/>
      <w:r w:rsidRPr="004B60D8">
        <w:rPr>
          <w:rFonts w:ascii="Times New Roman" w:hAnsi="Times New Roman" w:cs="Times New Roman"/>
          <w:sz w:val="28"/>
        </w:rPr>
        <w:t xml:space="preserve"> озера (БАО) </w:t>
      </w:r>
      <w:r w:rsidRPr="004B60D8">
        <w:rPr>
          <w:rFonts w:ascii="Times New Roman" w:hAnsi="Times New Roman" w:cs="Times New Roman"/>
          <w:sz w:val="28"/>
          <w:szCs w:val="28"/>
        </w:rPr>
        <w:t xml:space="preserve">на </w:t>
      </w:r>
      <w:r w:rsidRPr="004B6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Каскаде малых ГЭС АО «</w:t>
      </w:r>
      <w:proofErr w:type="spellStart"/>
      <w:r w:rsidRPr="004B6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АлЭС</w:t>
      </w:r>
      <w:proofErr w:type="spellEnd"/>
      <w:r w:rsidRPr="004B6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4B60D8">
        <w:rPr>
          <w:rFonts w:ascii="Times New Roman" w:hAnsi="Times New Roman" w:cs="Times New Roman"/>
          <w:sz w:val="28"/>
          <w:szCs w:val="28"/>
        </w:rPr>
        <w:t>, а также увеличением объемов производства электроэнергии другими объе</w:t>
      </w:r>
      <w:r w:rsidRPr="004B60D8">
        <w:rPr>
          <w:rFonts w:ascii="Times New Roman" w:hAnsi="Times New Roman" w:cs="Times New Roman"/>
          <w:sz w:val="28"/>
        </w:rPr>
        <w:t>ктами ВИЭ вследствие ввода новых мощностей ВИЭ в РК.</w:t>
      </w:r>
    </w:p>
    <w:p w:rsidR="006C42DB" w:rsidRPr="004B60D8" w:rsidRDefault="006C42DB" w:rsidP="004B60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B60D8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786"/>
        <w:gridCol w:w="1057"/>
        <w:gridCol w:w="968"/>
        <w:gridCol w:w="1057"/>
        <w:gridCol w:w="956"/>
        <w:gridCol w:w="960"/>
        <w:gridCol w:w="893"/>
      </w:tblGrid>
      <w:tr w:rsidR="003F0FFA" w:rsidRPr="004B60D8" w:rsidTr="003F0FF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F0FFA" w:rsidRPr="004B60D8" w:rsidTr="003F0FF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4B60D8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D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F0FFA" w:rsidRPr="004B60D8" w:rsidTr="00224C6E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крупных и малых ГЭС, ВЭС и СЭС)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445,8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-19,7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-4,2%</w:t>
            </w:r>
          </w:p>
        </w:tc>
      </w:tr>
      <w:tr w:rsidR="003F0FFA" w:rsidRPr="004B60D8" w:rsidTr="00224C6E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Производство 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малых ГЭС, ВЭС и СЭС) (согласно Закону о ВИЭ), в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35,3%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27,8%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D8">
              <w:rPr>
                <w:rFonts w:ascii="Times New Roman" w:hAnsi="Times New Roman" w:cs="Times New Roman"/>
              </w:rPr>
              <w:t>6,8%</w:t>
            </w:r>
          </w:p>
        </w:tc>
      </w:tr>
      <w:tr w:rsidR="003F0FFA" w:rsidRPr="004B60D8" w:rsidTr="00224C6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15,3%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-0,5%</w:t>
            </w:r>
          </w:p>
        </w:tc>
      </w:tr>
      <w:tr w:rsidR="003F0FFA" w:rsidRPr="004B60D8" w:rsidTr="00224C6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</w:tr>
      <w:tr w:rsidR="003F0FFA" w:rsidRPr="004B60D8" w:rsidTr="00224C6E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FA" w:rsidRPr="004B60D8" w:rsidRDefault="003F0FFA" w:rsidP="004B60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27,4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19,8%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3,3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60D8">
              <w:rPr>
                <w:rFonts w:ascii="Times New Roman" w:hAnsi="Times New Roman" w:cs="Times New Roman"/>
                <w:i/>
                <w:iCs/>
              </w:rPr>
              <w:t>12,0%</w:t>
            </w:r>
          </w:p>
        </w:tc>
      </w:tr>
    </w:tbl>
    <w:p w:rsidR="006C42DB" w:rsidRPr="004B60D8" w:rsidRDefault="006C42DB" w:rsidP="004B60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4B60D8" w:rsidRDefault="00541D3A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3" w:name="_Toc4766267"/>
      <w:r w:rsidRPr="004B60D8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4B60D8">
        <w:rPr>
          <w:rFonts w:ascii="Times New Roman" w:hAnsi="Times New Roman" w:cs="Times New Roman"/>
          <w:b/>
        </w:rPr>
        <w:t xml:space="preserve">АО </w:t>
      </w:r>
      <w:r w:rsidR="00A23008" w:rsidRPr="004B60D8">
        <w:rPr>
          <w:rFonts w:ascii="Times New Roman" w:hAnsi="Times New Roman" w:cs="Times New Roman"/>
          <w:b/>
        </w:rPr>
        <w:t>«</w:t>
      </w:r>
      <w:r w:rsidR="00596C30" w:rsidRPr="004B60D8">
        <w:rPr>
          <w:rFonts w:ascii="Times New Roman" w:hAnsi="Times New Roman" w:cs="Times New Roman"/>
          <w:b/>
        </w:rPr>
        <w:t>КОРЭМ</w:t>
      </w:r>
      <w:r w:rsidR="00A23008" w:rsidRPr="004B60D8">
        <w:rPr>
          <w:rFonts w:ascii="Times New Roman" w:hAnsi="Times New Roman" w:cs="Times New Roman"/>
          <w:b/>
        </w:rPr>
        <w:t>»</w:t>
      </w:r>
      <w:bookmarkEnd w:id="23"/>
    </w:p>
    <w:p w:rsidR="00BC7CB8" w:rsidRPr="004B60D8" w:rsidRDefault="00BC7CB8" w:rsidP="004B60D8">
      <w:pPr>
        <w:spacing w:after="0" w:line="240" w:lineRule="auto"/>
      </w:pPr>
    </w:p>
    <w:p w:rsidR="003F0FFA" w:rsidRPr="004B60D8" w:rsidRDefault="003F0FFA" w:rsidP="004B60D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4" w:name="_Toc510196477"/>
      <w:bookmarkStart w:id="25" w:name="_Toc4681890"/>
      <w:bookmarkStart w:id="26" w:name="_Toc4766268"/>
      <w:r w:rsidRPr="004B60D8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4"/>
      <w:bookmarkEnd w:id="25"/>
      <w:bookmarkEnd w:id="26"/>
    </w:p>
    <w:p w:rsidR="003F0FFA" w:rsidRPr="004B60D8" w:rsidRDefault="003F0FFA" w:rsidP="004B60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0D8">
        <w:rPr>
          <w:rFonts w:ascii="Times New Roman" w:hAnsi="Times New Roman" w:cs="Times New Roman"/>
          <w:sz w:val="28"/>
          <w:szCs w:val="28"/>
        </w:rPr>
        <w:t xml:space="preserve">По результатам проведенных централизованных торгов электроэнергией в феврале 2019 года была заключена 141 сделка объемом 1 079 058 тыс. кВт*ч на общую сумму 6 252 545,7 тыс. тенге (без НДС) (включая, спот-торги в режиме «за день вперед» и торги на среднесрочный и долгосрочный периоды), в том числе: </w:t>
      </w:r>
      <w:proofErr w:type="gramEnd"/>
    </w:p>
    <w:p w:rsidR="003F0FFA" w:rsidRPr="004B60D8" w:rsidRDefault="003F0FFA" w:rsidP="004B60D8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0D8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в режиме «за день вперед» - было заключено 129 сделок в объеме 27 786 тыс. кВт*ч на общую сумму 188 648,1 тыс. тенге. Минимальная цена на </w:t>
      </w:r>
      <w:proofErr w:type="gramStart"/>
      <w:r w:rsidRPr="004B60D8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в режиме «за день вперед» составила – 5,7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7,31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/кВт*ч (без НДС); </w:t>
      </w:r>
    </w:p>
    <w:p w:rsidR="003F0FFA" w:rsidRPr="004B60D8" w:rsidRDefault="003F0FFA" w:rsidP="004B60D8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0D8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- сделок заключено не было; </w:t>
      </w:r>
    </w:p>
    <w:p w:rsidR="003F0FFA" w:rsidRPr="004B60D8" w:rsidRDefault="003F0FFA" w:rsidP="004B60D8">
      <w:pPr>
        <w:pStyle w:val="a3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были заключены 12 сделок объемом 1 050 528 тыс. кВт*</w:t>
      </w:r>
      <w:proofErr w:type="gramStart"/>
      <w:r w:rsidRPr="004B60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на общую сумму 6 063 897,6 тыс. тенге (без НДС). Минимальная цена по данному виду централизованных торгов составила 5,76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4B60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(без НДС), максимальная – 7,2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/кВт*ч (без НДС). </w:t>
      </w:r>
    </w:p>
    <w:p w:rsidR="003F0FFA" w:rsidRPr="004B60D8" w:rsidRDefault="003F0FFA" w:rsidP="004B60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 xml:space="preserve">За аналогичный период 2018 года общий объем централизованных торгов составил 237 750 тыс. кВт*ч. Нижеприведенная таблица </w:t>
      </w:r>
      <w:proofErr w:type="gramStart"/>
      <w:r w:rsidRPr="004B60D8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приведена динамику цен сделок, заключенных на централизованных торгах в феврале 2018-2019 год.</w:t>
      </w:r>
    </w:p>
    <w:p w:rsidR="003F0FFA" w:rsidRPr="004B60D8" w:rsidRDefault="003F0FFA" w:rsidP="004B60D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lastRenderedPageBreak/>
        <w:t>Динамика цен, сложившихся по итогам централизованных торгов</w:t>
      </w:r>
    </w:p>
    <w:p w:rsidR="000134A2" w:rsidRPr="004B60D8" w:rsidRDefault="003F0FFA" w:rsidP="004B60D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0D8">
        <w:rPr>
          <w:rFonts w:ascii="Times New Roman" w:hAnsi="Times New Roman" w:cs="Times New Roman"/>
          <w:sz w:val="28"/>
          <w:szCs w:val="28"/>
        </w:rPr>
        <w:t>в феврале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3F0FFA" w:rsidRPr="004B60D8" w:rsidTr="003F0FFA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</w:t>
            </w:r>
            <w:proofErr w:type="gramEnd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F0FFA" w:rsidRPr="004B60D8" w:rsidTr="003F0FFA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F0FFA" w:rsidRPr="004B60D8" w:rsidTr="003F0FF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FA" w:rsidRPr="004B60D8" w:rsidRDefault="003F0FFA" w:rsidP="004B60D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FA" w:rsidRPr="004B60D8" w:rsidRDefault="003F0FFA" w:rsidP="004B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</w:t>
            </w:r>
            <w:proofErr w:type="gramStart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4B6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(без НДС)</w:t>
            </w:r>
          </w:p>
        </w:tc>
      </w:tr>
      <w:tr w:rsidR="003F0FFA" w:rsidRPr="004B60D8" w:rsidTr="003F0FF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7.5</w:t>
            </w:r>
          </w:p>
        </w:tc>
      </w:tr>
      <w:tr w:rsidR="003F0FFA" w:rsidRPr="004B60D8" w:rsidTr="003F0FF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0FFA" w:rsidRPr="004B60D8" w:rsidRDefault="003F0FFA" w:rsidP="004B60D8">
            <w:pPr>
              <w:pStyle w:val="Default"/>
              <w:jc w:val="center"/>
              <w:rPr>
                <w:sz w:val="20"/>
                <w:szCs w:val="20"/>
              </w:rPr>
            </w:pPr>
            <w:r w:rsidRPr="004B60D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2E3ABD" w:rsidRPr="004B60D8" w:rsidRDefault="003417C6" w:rsidP="004B60D8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7" w:name="_Toc4766269"/>
      <w:r w:rsidRPr="004B60D8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4B60D8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4B60D8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27"/>
    </w:p>
    <w:p w:rsidR="003F0FFA" w:rsidRPr="004B60D8" w:rsidRDefault="003F0FFA" w:rsidP="004B60D8">
      <w:pPr>
        <w:pStyle w:val="a3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спот-торгов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«за день вперед» в феврале 2019 года было заключено 129 сделок объемом 27 786 тыс. кВт*ч, минимальная клиринговая цена составила – 5,7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7,31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  <w:r w:rsidRPr="004B60D8">
        <w:rPr>
          <w:sz w:val="28"/>
          <w:szCs w:val="28"/>
        </w:rPr>
        <w:t xml:space="preserve"> </w:t>
      </w: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итоговые результаты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спот-торгов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«за день вперед» за февраль 2019 года.</w:t>
      </w:r>
    </w:p>
    <w:p w:rsidR="003F0FFA" w:rsidRPr="004B60D8" w:rsidRDefault="003F0FFA" w:rsidP="004B60D8">
      <w:pPr>
        <w:pStyle w:val="a3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B06" w:rsidRPr="004B60D8" w:rsidRDefault="003F0FFA" w:rsidP="004B60D8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60D8">
        <w:rPr>
          <w:noProof/>
          <w:lang w:eastAsia="ru-RU"/>
        </w:rPr>
        <w:drawing>
          <wp:inline distT="0" distB="0" distL="0" distR="0" wp14:anchorId="38998B27" wp14:editId="757C19DA">
            <wp:extent cx="6301105" cy="6097270"/>
            <wp:effectExtent l="19050" t="19050" r="23495" b="177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075" t="8696" r="11578" b="5712"/>
                    <a:stretch/>
                  </pic:blipFill>
                  <pic:spPr bwMode="auto">
                    <a:xfrm>
                      <a:off x="0" y="0"/>
                      <a:ext cx="6301105" cy="60972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552" w:rsidRPr="004B60D8" w:rsidRDefault="00F64552" w:rsidP="004B60D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06" w:rsidRPr="004B60D8" w:rsidRDefault="003F0FFA" w:rsidP="004B60D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таблицы видно, что суммарный объем спроса составил 77 278 тыс. кВт*ч., при этом суммарный объем предложения составил 38 736 тыс. кВт*ч. Неудовлетворенный объем спроса в феврале 2019 года составил 49 492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*ч, а неудовлетворенный объем предложения 10 950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*ч. В процессе спот-торгов в торговую систему всего было принято заявок в количестве -433, из них 350 заявок от покупателей и 83 заявки от продавцов.</w:t>
      </w:r>
    </w:p>
    <w:p w:rsidR="003F0FFA" w:rsidRPr="004B60D8" w:rsidRDefault="003F0FFA" w:rsidP="004B60D8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8" w:name="_Toc4681892"/>
      <w:bookmarkStart w:id="29" w:name="_Toc4766270"/>
      <w:r w:rsidRPr="004B60D8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4B60D8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4B60D8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28"/>
      <w:bookmarkEnd w:id="29"/>
    </w:p>
    <w:p w:rsidR="003F0FFA" w:rsidRPr="004B60D8" w:rsidRDefault="003F0FFA" w:rsidP="004B60D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Toc510196480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торгов в феврале 2019 года сделок заключено не было. По итогам проведенных торгов в феврале 2018 года было заключено 1311 сделок в объеме 7 939 тыс. кВт*ч. Минимальная цена на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спот-торгах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операционных суток» составила 4,5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цена – 7,5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3F0FFA" w:rsidRPr="004B60D8" w:rsidRDefault="003F0FFA" w:rsidP="004B60D8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31" w:name="_Toc4681893"/>
      <w:bookmarkStart w:id="32" w:name="_Toc4766271"/>
      <w:r w:rsidRPr="004B60D8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30"/>
      <w:bookmarkEnd w:id="31"/>
      <w:bookmarkEnd w:id="32"/>
    </w:p>
    <w:p w:rsidR="003F0FFA" w:rsidRPr="004B60D8" w:rsidRDefault="003F0FFA" w:rsidP="004B60D8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2019 года по итогам торгов на средне- и долгосрочный периоды были заключены 12 сделок объемом 1 050 528 тыс. кВт*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6 063 897,6 тыс. тенге, максимальная цена составила 7,2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минимальная цена составила 5,76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Данные сделки были заключены с поставкой на март месяц. Заключены 18 сделок объемом 229 440 тыс. кВт*ч. Минимальная цена по данному виду централизованных торгов составила 7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максимальная – 9,5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6C42DB" w:rsidRPr="004B60D8" w:rsidRDefault="006C42DB" w:rsidP="004B60D8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4B60D8" w:rsidRDefault="006C42DB" w:rsidP="004B60D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3" w:name="_Toc4766272"/>
      <w:r w:rsidRPr="004B60D8">
        <w:rPr>
          <w:rFonts w:ascii="Times New Roman" w:hAnsi="Times New Roman" w:cs="Times New Roman"/>
          <w:b/>
        </w:rPr>
        <w:t>Экспорт-импорт электрической энергии</w:t>
      </w:r>
      <w:bookmarkEnd w:id="33"/>
      <w:r w:rsidRPr="004B60D8">
        <w:rPr>
          <w:rFonts w:ascii="Times New Roman" w:hAnsi="Times New Roman" w:cs="Times New Roman"/>
          <w:b/>
        </w:rPr>
        <w:t xml:space="preserve"> </w:t>
      </w:r>
    </w:p>
    <w:p w:rsidR="006C42DB" w:rsidRPr="004B60D8" w:rsidRDefault="006C42DB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FA" w:rsidRPr="004B60D8" w:rsidRDefault="003F0FFA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60D8">
        <w:rPr>
          <w:rFonts w:ascii="Times New Roman" w:hAnsi="Times New Roman" w:cs="Times New Roman"/>
          <w:sz w:val="28"/>
          <w:szCs w:val="28"/>
        </w:rPr>
        <w:t>В январе-феврале 2019 года основным направлением экспорта-импорта электроэнергии РК стала РФ (экспо</w:t>
      </w:r>
      <w:proofErr w:type="gramStart"/>
      <w:r w:rsidRPr="004B60D8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4B60D8">
        <w:rPr>
          <w:rFonts w:ascii="Times New Roman" w:hAnsi="Times New Roman" w:cs="Times New Roman"/>
          <w:sz w:val="28"/>
          <w:szCs w:val="28"/>
        </w:rPr>
        <w:t xml:space="preserve"> – 185,5 млн.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, импорт из РФ – 223,7 млн.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>). АО «</w:t>
      </w:r>
      <w:r w:rsidRPr="004B60D8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4B60D8">
        <w:rPr>
          <w:rFonts w:ascii="Times New Roman" w:hAnsi="Times New Roman" w:cs="Times New Roman"/>
          <w:sz w:val="28"/>
          <w:szCs w:val="28"/>
        </w:rPr>
        <w:t xml:space="preserve">» – 176,7 млн.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181,0 млн. </w:t>
      </w:r>
      <w:proofErr w:type="spellStart"/>
      <w:r w:rsidRPr="004B60D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60D8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4B60D8" w:rsidRDefault="006C42DB" w:rsidP="004B60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B60D8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60D8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272BB4" w:rsidRPr="004B60D8" w:rsidTr="00224C6E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янв.-февр.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янв.-февр.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272BB4" w:rsidRPr="004B60D8" w:rsidTr="00224C6E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4" w:rsidRPr="004B60D8" w:rsidRDefault="00272BB4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1 192,2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-1 006,3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-84,4%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1 191,8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-84,4%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0,9%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210,7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6,2%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210,5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6,3%</w:t>
            </w:r>
          </w:p>
        </w:tc>
      </w:tr>
      <w:tr w:rsidR="00272BB4" w:rsidRPr="004B60D8" w:rsidTr="00224C6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-30,1%</w:t>
            </w:r>
          </w:p>
        </w:tc>
      </w:tr>
      <w:tr w:rsidR="00272BB4" w:rsidRPr="004B60D8" w:rsidTr="00224C6E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2BB4" w:rsidRPr="004B60D8" w:rsidRDefault="00272BB4" w:rsidP="004B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4B6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-981,5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BB4" w:rsidRPr="004B60D8" w:rsidRDefault="00272BB4" w:rsidP="004B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B60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-103,9%</w:t>
            </w:r>
          </w:p>
        </w:tc>
      </w:tr>
    </w:tbl>
    <w:p w:rsidR="00F64552" w:rsidRPr="004B60D8" w:rsidRDefault="00F64552" w:rsidP="004B60D8"/>
    <w:p w:rsidR="008647BB" w:rsidRPr="004B60D8" w:rsidRDefault="00B94F51" w:rsidP="004B60D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34" w:name="_Toc4766273"/>
      <w:r w:rsidRPr="004B60D8">
        <w:rPr>
          <w:rFonts w:ascii="Times New Roman" w:hAnsi="Times New Roman" w:cs="Times New Roman"/>
          <w:b/>
        </w:rPr>
        <w:lastRenderedPageBreak/>
        <w:t>РАЗДЕЛ II</w:t>
      </w:r>
      <w:bookmarkEnd w:id="34"/>
    </w:p>
    <w:p w:rsidR="00387115" w:rsidRPr="004B60D8" w:rsidRDefault="00387115" w:rsidP="004B60D8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5" w:name="_Toc4766274"/>
      <w:r w:rsidRPr="004B60D8">
        <w:rPr>
          <w:rFonts w:ascii="Times New Roman" w:hAnsi="Times New Roman" w:cs="Times New Roman"/>
          <w:b/>
        </w:rPr>
        <w:t>Статус формировани</w:t>
      </w:r>
      <w:r w:rsidR="005070DF" w:rsidRPr="004B60D8">
        <w:rPr>
          <w:rFonts w:ascii="Times New Roman" w:hAnsi="Times New Roman" w:cs="Times New Roman"/>
          <w:b/>
        </w:rPr>
        <w:t>я</w:t>
      </w:r>
      <w:r w:rsidRPr="004B60D8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35"/>
    </w:p>
    <w:p w:rsidR="00C82DFF" w:rsidRPr="004B60D8" w:rsidRDefault="00C82DFF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432D5" w:rsidRPr="004B60D8" w:rsidRDefault="006432D5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432D5" w:rsidRPr="004B60D8" w:rsidRDefault="006432D5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6C3EF7" w:rsidRPr="004B60D8" w:rsidRDefault="00272BB4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>18.01.2019г., 13-14.03.2019г.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</w:t>
      </w:r>
    </w:p>
    <w:p w:rsidR="006432D5" w:rsidRPr="004B60D8" w:rsidRDefault="006432D5" w:rsidP="004B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4B60D8" w:rsidRDefault="00387115" w:rsidP="004B60D8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36" w:name="_Toc4766275"/>
      <w:r w:rsidRPr="004B60D8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4B60D8">
        <w:rPr>
          <w:rFonts w:ascii="Times New Roman" w:hAnsi="Times New Roman" w:cs="Times New Roman"/>
          <w:b/>
        </w:rPr>
        <w:t>Э</w:t>
      </w:r>
      <w:r w:rsidRPr="004B60D8">
        <w:rPr>
          <w:rFonts w:ascii="Times New Roman" w:hAnsi="Times New Roman" w:cs="Times New Roman"/>
          <w:b/>
        </w:rPr>
        <w:t>лектроэнергетического рынка СНГ</w:t>
      </w:r>
      <w:bookmarkEnd w:id="36"/>
    </w:p>
    <w:p w:rsidR="00387115" w:rsidRPr="004B60D8" w:rsidRDefault="00387115" w:rsidP="004B60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4B60D8" w:rsidRDefault="006B1F89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4B60D8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4B60D8" w:rsidRDefault="0007078E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60D8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4B60D8">
        <w:rPr>
          <w:rFonts w:ascii="Times New Roman" w:hAnsi="Times New Roman" w:cs="Times New Roman"/>
          <w:sz w:val="28"/>
        </w:rPr>
        <w:t>.</w:t>
      </w:r>
    </w:p>
    <w:p w:rsidR="006C3EF7" w:rsidRPr="004B60D8" w:rsidRDefault="006C3EF7" w:rsidP="004B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4B60D8" w:rsidTr="006C3EF7">
        <w:trPr>
          <w:trHeight w:val="845"/>
        </w:trPr>
        <w:tc>
          <w:tcPr>
            <w:tcW w:w="217" w:type="pct"/>
            <w:vAlign w:val="center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4B60D8" w:rsidTr="006C3EF7">
        <w:trPr>
          <w:trHeight w:val="1560"/>
        </w:trPr>
        <w:tc>
          <w:tcPr>
            <w:tcW w:w="217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4B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4B60D8" w:rsidRDefault="006C3EF7" w:rsidP="004B60D8">
            <w:pPr>
              <w:pStyle w:val="ae"/>
              <w:jc w:val="both"/>
              <w:rPr>
                <w:sz w:val="24"/>
                <w:szCs w:val="24"/>
              </w:rPr>
            </w:pPr>
            <w:r w:rsidRPr="004B60D8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4B60D8" w:rsidRDefault="006C3EF7" w:rsidP="004B60D8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4B60D8" w:rsidTr="006C3EF7">
        <w:trPr>
          <w:trHeight w:val="560"/>
        </w:trPr>
        <w:tc>
          <w:tcPr>
            <w:tcW w:w="217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</w:t>
            </w:r>
            <w:r w:rsidRPr="004B6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4B60D8" w:rsidTr="006C3EF7">
        <w:trPr>
          <w:trHeight w:val="2088"/>
        </w:trPr>
        <w:tc>
          <w:tcPr>
            <w:tcW w:w="217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проекта Порядка распределения пропускной способности межгосударственных сечений/сечений экспорта-импорта</w:t>
            </w:r>
            <w:proofErr w:type="gram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</w:t>
            </w:r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межгосударственных</w:t>
            </w:r>
          </w:p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4B60D8" w:rsidTr="006C3EF7">
        <w:trPr>
          <w:trHeight w:val="1410"/>
        </w:trPr>
        <w:tc>
          <w:tcPr>
            <w:tcW w:w="217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4B60D8" w:rsidRDefault="006C3EF7" w:rsidP="004B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4B60D8" w:rsidTr="006C3EF7">
        <w:trPr>
          <w:trHeight w:val="2404"/>
        </w:trPr>
        <w:tc>
          <w:tcPr>
            <w:tcW w:w="217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4B60D8" w:rsidRDefault="006C3EF7" w:rsidP="004B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4B60D8" w:rsidRDefault="006C3EF7" w:rsidP="004B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4B60D8" w:rsidRDefault="006C3EF7" w:rsidP="004B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D8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4B60D8" w:rsidRDefault="008928B2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4B60D8" w:rsidRDefault="001D295E" w:rsidP="004B60D8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4B60D8">
        <w:rPr>
          <w:rFonts w:ascii="Times New Roman" w:hAnsi="Times New Roman" w:cs="Times New Roman"/>
          <w:b/>
        </w:rPr>
        <w:t xml:space="preserve"> </w:t>
      </w:r>
      <w:bookmarkStart w:id="37" w:name="_Toc4766276"/>
      <w:r w:rsidR="00A32670" w:rsidRPr="004B60D8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4B60D8">
        <w:rPr>
          <w:rFonts w:ascii="Times New Roman" w:hAnsi="Times New Roman" w:cs="Times New Roman"/>
          <w:b/>
        </w:rPr>
        <w:t>CASA-1000</w:t>
      </w:r>
      <w:bookmarkEnd w:id="37"/>
    </w:p>
    <w:p w:rsidR="00C82DFF" w:rsidRPr="004B60D8" w:rsidRDefault="00C82DFF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4B60D8">
        <w:rPr>
          <w:rStyle w:val="body-c-c0"/>
          <w:i/>
          <w:color w:val="000000"/>
          <w:sz w:val="28"/>
        </w:rPr>
        <w:t>Описание проекта</w:t>
      </w: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4B60D8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4B60D8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4B60D8">
        <w:rPr>
          <w:rStyle w:val="body-c-c0"/>
          <w:color w:val="000000"/>
          <w:sz w:val="28"/>
        </w:rPr>
        <w:t>кВтч</w:t>
      </w:r>
      <w:proofErr w:type="spellEnd"/>
      <w:r w:rsidRPr="004B60D8">
        <w:rPr>
          <w:rStyle w:val="body-c-c0"/>
          <w:color w:val="000000"/>
          <w:sz w:val="28"/>
        </w:rPr>
        <w:t xml:space="preserve"> в год.</w:t>
      </w: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4B60D8">
        <w:rPr>
          <w:bCs/>
          <w:sz w:val="28"/>
        </w:rPr>
        <w:lastRenderedPageBreak/>
        <w:t>Процесс финансирования проекта управляется Всемирным банком.</w:t>
      </w: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4B60D8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4B60D8" w:rsidRDefault="006C42DB" w:rsidP="004B60D8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4B60D8">
        <w:rPr>
          <w:rStyle w:val="body-c-c0"/>
          <w:color w:val="00000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4B60D8" w:rsidDel="00473F4C">
        <w:rPr>
          <w:rStyle w:val="body-c-c0"/>
          <w:color w:val="000000"/>
          <w:sz w:val="28"/>
          <w:szCs w:val="28"/>
        </w:rPr>
        <w:t xml:space="preserve"> </w:t>
      </w:r>
      <w:r w:rsidRPr="004B60D8">
        <w:rPr>
          <w:rStyle w:val="body-c-c0"/>
          <w:color w:val="000000"/>
          <w:sz w:val="28"/>
          <w:szCs w:val="28"/>
        </w:rPr>
        <w:t>и Пакистане;</w:t>
      </w:r>
    </w:p>
    <w:p w:rsidR="006C42DB" w:rsidRPr="004B60D8" w:rsidRDefault="006C42DB" w:rsidP="004B60D8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4B60D8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4B60D8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4B60D8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6C42DB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4B60D8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4B60D8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4B60D8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4B60D8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410BC9" w:rsidRPr="004B60D8" w:rsidRDefault="006C42DB" w:rsidP="004B60D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0D8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4B60D8">
        <w:rPr>
          <w:rStyle w:val="body-c-c0"/>
          <w:sz w:val="28"/>
          <w:szCs w:val="28"/>
        </w:rPr>
        <w:t>2 месяца (2021г).</w:t>
      </w:r>
    </w:p>
    <w:p w:rsidR="00410BC9" w:rsidRPr="004B60D8" w:rsidRDefault="00410BC9" w:rsidP="004B60D8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4B60D8" w:rsidRDefault="000A3B02" w:rsidP="004B60D8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8" w:name="_Toc525902070"/>
      <w:bookmarkStart w:id="39" w:name="_Toc4766277"/>
      <w:r w:rsidRPr="004B60D8">
        <w:rPr>
          <w:rFonts w:ascii="Times New Roman" w:hAnsi="Times New Roman" w:cs="Times New Roman"/>
          <w:b/>
        </w:rPr>
        <w:t>Обзор СМИ в странах СНГ</w:t>
      </w:r>
      <w:bookmarkEnd w:id="38"/>
      <w:bookmarkEnd w:id="39"/>
    </w:p>
    <w:p w:rsidR="00620733" w:rsidRPr="004B60D8" w:rsidRDefault="000A3B02" w:rsidP="004B60D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0D8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4B60D8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p w:rsidR="00272BB4" w:rsidRPr="004B60D8" w:rsidRDefault="00272BB4" w:rsidP="004B60D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РусГидро</w:t>
      </w:r>
      <w:proofErr w:type="spellEnd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установлен исторический рекорд по выработке электроэнергии </w:t>
      </w:r>
      <w:r w:rsidRPr="004B60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(01.02.2019г)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минувшего года выработка электроэнергии электростанциями ГК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учетом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выросла на 2,8% в сравнении с 2017 годом и достигла рекорда в 144,2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кВт/ч. При этом, по информации Системного оператора ЕЭС, выработка электроэнергии суммарно по Российской Федерации за 2018 год увеличилась на 1,7%, а потребление – на 1,6%.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электроэнергии, производимой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выработке электроэнергии всей страны составила 13,2%. В сообщении отмечено, что выработка электроэнергии энергокомпании увеличивается уже 4-й год подряд.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Пресс-службой подчеркнуто, что такие высокие производственные результаты компании достигнуты благодаря эффективному планированию водно-энергетических режимов ГЭС в условиях повышенной водности в водохранилищах ГЭС Волжско-Камского каскада и Сибири, спросом на электроэнергию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связанным с повышением энергопотребления в ДФО.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Российские</w:t>
      </w:r>
      <w:proofErr w:type="gramEnd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ВИЭ пойдут на биржу</w:t>
      </w:r>
      <w:r w:rsidRPr="004B60D8">
        <w:rPr>
          <w:rFonts w:eastAsiaTheme="majorEastAsia" w:cstheme="majorBidi"/>
          <w:color w:val="222222"/>
          <w:sz w:val="32"/>
          <w:szCs w:val="32"/>
        </w:rPr>
        <w:t xml:space="preserve"> </w:t>
      </w:r>
      <w:r w:rsidRPr="004B60D8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</w:rPr>
        <w:t>(</w:t>
      </w:r>
      <w:r w:rsidRPr="004B6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05.02.2019г)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российского Минэкономики выступили с инициативой об отборе проектов ВИЭ в случае пролонгации поддержки их государством после 2024-го года в рамках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 (сюда входят доходности, а также CAPEX и OPEX), ежегодно опуская его «потолок» от значения, зафиксированного на последних конкурсах. В минувшем 2018-м отбор приблизил цены на создание ВИЭ на территории России к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глобальным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бенчмаркам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Соответствующим отечественным ведомствам направили накануне проект доклада, который содержит в себе детальную схему.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периода до 2024 года будет действовать поддержка посредством договоров, предусматривающих поставки мощностей (ДПМ): по итогам конкурса победу одерживал тот инвестор, который по максимуму опустил CAPEX, а объем затрат возвращался из повышенных размеров платежей энергетического рынка за 15 лет.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Минэкономики РФ полагают, что понижение общей стоимости создания ВИЭ успешно обеспечит предназначенному для зеленой энергетики оборудованию высокую степень конкурентоспособности. Выиграет от этого в конечном итоге экспорт, акцентируют внимание в экономическом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иных источниках поддержки, эксперты называют рынки капитала, указывая в том числе и на так называемые «зеленые» облигации. В министерстве упомянули также о секторе инвестиций и инноваций, функционирующем на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МосБирже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Высокотехнологичные российские предприятия и компании поддерживают здесь посредством льгот налогового характера для инвесторов в акции, а также с помощью допуска в указанные бумаги финансов, принадлежащих отечественным НПФ. При вложении инвестиций в реализацию проектов, связанных с ВИЭ, можно рассчитывать на получение синдицированных кредитов на 20-летний период. Специалисты пояснили: речь идет здесь об инвестиционных проектах на сумму от трех миллиардов рублей в рамках действия фабрики по проектному финансированию.</w:t>
      </w:r>
    </w:p>
    <w:p w:rsidR="00272BB4" w:rsidRPr="004B60D8" w:rsidRDefault="00272BB4" w:rsidP="004B60D8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Минэнерго России о ходе создания </w:t>
      </w:r>
      <w:proofErr w:type="spellStart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энергокоридора</w:t>
      </w:r>
      <w:proofErr w:type="spellEnd"/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Азербайджаном и Ираном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(25.02.2019г)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Россия, Азербайджан и Иран на уровне экспертов энергетических компаний обсуждают технические условия создания энергетического коридора.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сказал в эксклюзивном интервью заместитель министра энергетики России А. Яновский.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 заместитель министра энергетики России А. Яновский, по результатам обсуждений, стороны определят экономическую эффективность функционирования этого энергетического моста и примут решение о целесообразности запуска проекта.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реализации проекта, создание энергетического моста позволит обеспечить страны электроэнергией в периоды её дефицита в энергосистемах государств.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в прошлом году Азербайджан, Россия и Иран создали рабочую группу по обсуждению вопроса объединения энергосистем трех стран.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состоит из 18 человек (по шесть человек от каждой страны). Группа должна подготовить технические задания технико-экономического обоснования объединения электроэнергетических систем трех стран и проект соглашения о совместной разработке технико-экономического обоснования.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в 2015 году, Азербайджан и Иран подписывали меморандум взаимопонимания об обмене электроэнергией.</w:t>
      </w:r>
    </w:p>
    <w:p w:rsidR="00272BB4" w:rsidRPr="004B60D8" w:rsidRDefault="00272BB4" w:rsidP="004B60D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Правительство РФ оценивает инвестиции в модернизацию и строительство ТЭС к 2025 году на уровне 157 млрд. рублей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(12.02.2019г)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инвестиций, привлеченных в строительство и модернизацию тепловых электростанций до конца 2024 г. должен быть обеспечен в размере 156,9 млрд. руб. 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 конца 2022 г. объем инвестиций в строительство и модернизацию объектов тепловой генерации с применением нового механизма конкурсного </w:t>
      </w: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 инвестиционных проектов на базе долгосрочного рынка мощности должен составить 111,6 млрд. руб.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конце января правительство РФ одобрило подготовленную Минэнерго РФ программу модернизации тепловых мощностей, устанавливающую правила привлечения инвестиций в реконструкцию изношенного оборудования на станциях. Планируется, что первые проекты суммарной мощностью 11 ГВт для включения в новую программу будут отобраны весной, их ввод должен состояться в 2022−2024 гг. Всего в рамках программы модернизации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энергомощностей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 течение 10 лет привлечь 1,9 трлн. руб. частных инвестиций в обновление тепловой генерации суммарной мощностью 41 ГВт.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энергокоридора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РФ в Иран через Грузию и Армению презентуют до конца года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(11.02.2019г)</w:t>
      </w:r>
    </w:p>
    <w:p w:rsidR="00272BB4" w:rsidRPr="004B60D8" w:rsidRDefault="00272BB4" w:rsidP="004B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энергокоридора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 - Грузия - Армения - Иран состоится до конца 2019 года, сообщил заместитель министра энергетики РФ А. Яновский.</w:t>
      </w:r>
    </w:p>
    <w:p w:rsidR="00272BB4" w:rsidRPr="004B60D8" w:rsidRDefault="00272BB4" w:rsidP="004B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четырехстороннему проекту подготовлено исследование - по заказу грузинской стороны - возможности объединения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энергокоридоров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даны замечания всех сторон, и должно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состоятся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очередное заседание рабочей группы в этом году, где будет презентован этот проект», - сказал Яновский, не уточнив сроки проведения заседания.</w:t>
      </w:r>
    </w:p>
    <w:p w:rsidR="00272BB4" w:rsidRPr="004B60D8" w:rsidRDefault="00272BB4" w:rsidP="004B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сообщалось ранее, сейчас обсуждаются два проекта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энергокоридоров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Россией и Ираном, один из которых идет через Грузию и Армению, другой - через Азербайджан. В Минэнерго РФ сообщали, что первые пробные поставки российской электроэнергии в Иран через Азербайджан </w:t>
      </w:r>
      <w:r w:rsidR="00F64552"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начаться уже в 2019 году.</w:t>
      </w:r>
    </w:p>
    <w:p w:rsidR="00272BB4" w:rsidRPr="004B60D8" w:rsidRDefault="00272BB4" w:rsidP="004B60D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sz w:val="28"/>
          <w:szCs w:val="28"/>
        </w:rPr>
        <w:t>Узбекистан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4B60D8">
        <w:rPr>
          <w:rFonts w:ascii="Times New Roman" w:hAnsi="Times New Roman" w:cs="Times New Roman"/>
          <w:b/>
          <w:bCs/>
          <w:sz w:val="28"/>
          <w:szCs w:val="28"/>
        </w:rPr>
        <w:t>Стало известно, когда в Узбекистане начнется строительство первой АЭС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Узбекистана Ш.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Мирзиёев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концепцию развития атомной энергетики, согласно которой строительство первой АЭС на территории республики пройдет в три этапа.  К строительству первой атомной электростанции (АЭС) в Узбекистане приступят не раньше 2022 года, </w:t>
      </w:r>
      <w:hyperlink r:id="rId13" w:tgtFrame="_blank" w:history="1">
        <w:r w:rsidRPr="004B60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сообщает</w:t>
        </w:r>
      </w:hyperlink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пресс-служба Министерства юстиций республики. Соответствующую концепцию развития атомной энергетики Узбекистана до 2029 года подписал глава государства Ш.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Мирзиёев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опубликованному документу, строительство АЭС в республике будет идти в три этапа. Так, к 2020 году будет определено место для возведения электростанции, в период с 2020 по 2021 года специалисты займутся разработкой технико-экономического обоснования проекта, непосредственное строительство объекта начнется в 2022 году. Работы должны завершиться в 2029 году.</w:t>
      </w: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концепции также указано, что до конца 2019 года будет подготовлено соглашение по привлечению кредита Правительства России. 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после введения в эксплуатацию двух энергоблоков мощностью 2,4 гигаватта, АЭС каждый год будет вырабатывать почти 19 миллиардов киловатт в час. </w:t>
      </w:r>
    </w:p>
    <w:p w:rsidR="00272BB4" w:rsidRPr="004B60D8" w:rsidRDefault="00272BB4" w:rsidP="004B60D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задачи по дальнейшему реформированию электроэнергетики Республики Узбекистан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(22.02.2019г)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Республики Узбекистан Ш.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Мирзиёев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февраля провел совещание по вопросам реализации инвестиционных проектов в электроэнергетике и дальнейшего развития отрасли.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постановлением Президента организовано Министерство энергетики Республики Узбекистан. Ему предоставлены широкие полномочия по устранению проблем в электроэнергетике и нефтегазовой сфере, устойчивому снабжению отраслей экономики и населения топливно-энергетическими ресурсами.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Инвестиционную программу на 2019 год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проекта общей стоимостью 8,1 млрд. долларов. В этом году намечено освоить почти 620 млн. долларов и реализовать 7 крупных проектов.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дал поручения по качественной реализации указанных инвестиционных проектов, устранению имеющихся недостатков.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нарушены сроки реализации проектов с участием международных финансовых институтов – «Прокладка 220-кВ электролинии от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Тахиаташской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электростанции до пункта Хорезм-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«Модернизация подстанций высокого напряжения», «Строительство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Туракурганской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электростанции». В связи с этим перед Министерством энергетики и АО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поставлена задача полностью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международных финансовых организаций, реализовать проекты в установленные сроки и сократить издержки.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 определил важные направления работы в этой отрасли. В частности, отмечалось наличие больших возможностей для развития альтернативной энергетики на основе государственно-частного партнерства, привлечения иностранных инвестиций к подобным проектам.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стране совместно с компанией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Йилдирим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Турции, фондом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Маздар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Объединенных Арабских Эмиратов и Международной финансовой корпорацией ведется работа над строительством солнечных и ветряных электростанций.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Кабинету Министров, Министерству энергетики, АО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поручено изыскать зарубежных партнеров для 13 перспективных проектов общей стоимостью 2,5 млрд. долларов и разработать адресную «дорожную карту» по привлечению прямых инвестиций. Отмечалась необходимость внедрения государственно-частного партнерства в отрасль, определения порядка и тарифов закупки электроэнергии у частных производителей для широкого привлечения прямых инвестиций.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Президента Республики Узбекистан от 1 февраля текущего года предусмотрена разработка проекта постановления о реорганизации АО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Глава государства отметил необходимость четкого разграничения в данном постановлении функций предприятий-производителей, поставщиков и распределителей электроэнергии, внедрения в отрасль рыночных отношений, в частности механизмов государственно-частного партнерства.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Узбекистане учреждено Министерство энергетики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(06.02.2019г)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преодоления ряда системных проблем в организации государственного управления в сфере энергетики в Узбекистане указом главы государства создано Министерство энергетики.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задач и полномочий нового министерства являются: разработка и реализация единой государственной политики в топливно-энергетической отрасли; осуществление государственного регулирования за производством, передачей, распределением и потреблением электрической и тепловой энергии; осуществление единого нормативно-правового и технического регулирования сферы энергетики в республике.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задачами министерства также являются: создание и развитие сбалансированной системы стратегического планирования и развития топливно-энергетического комплекса; координацию реализации инвестиционных проектов в топливно-энергетической отрасли; содействие внедрению современных методов корпоративного управления в сфере энергетики; стимулирование внедрения в производственные процессы организаций нефтегазовой и электроэнергетической отраслей инновационных технологий; организацию системной работы по подготовке, повышению квалификации и переподготовке инженерно-технических и управленческих кадров в сфере энергетики.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нового министерства переданы Агентство по развитию атомной энергетики, Государственная инспекция по контролю над использованием нефтепродуктов и газа с последующим ее преобразованием в Инспекцию по контролю над использованием нефтепродуктов и газа.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состав Минэнерго войдет Государственная инспекция по надзору в электроэнергетике с последующим ее преобразованием в Инспекцию по контролю в электроэнергетике.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Министерства энергетики Узбекистана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Султанов. 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реализует в этом году 14 </w:t>
      </w: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инвестпроектов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4,4 млрд. долларов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(18.02.2019г)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крупные проекты - строительство газотурбинных установок, линий электропередач, модернизация низковольтных сетей.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2019 году в области электроэнергетики намечена реализация 14 инвестиционных проектов общей стоимостью 4,4 млрд. долларов.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частности, продолжится строительство новой линии электропередач на 500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Сурхан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Пули -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Хумри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начатое в прошлом году.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Узбекистан поставляет электроэнергию в Афганистан с 2002 года. В прошлом году объемы поставок выросли до 2,5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Строительство новой линии позволит обеспечить электроэнергией Кабул,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Мазари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-Шариф,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Хайратон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 завершением проекта ожидается увеличение экспорта электрической энергии до 8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Афганистан, а в перспективе и в Пакистан.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 этом году продолжится работа над расширением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Навоийской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ТЭС со строительством второй парогазовой установки, строительством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Туракурганской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ТЭС, двух парогазовых установок мощностью по 230−280 МВт на 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Тахиаташской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ТЭС.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предприятия, входящие в 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производят порядка 60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 До 2030 года этот показатель планируется увеличить до 117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при этом снизить потери при передаче и распределении электроэнергии до 5-7%.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этих целях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 сотрудничает с группой Всемирного банка, Азиатским банком развития, Европейским банком реконструкции и развития, Международной финансовой корпорацией. Эксперты международных компаний участвуют в разработке генерального плана долгосрочного развития электроэнергетики с учетом увеличения доли альтернативных источников энергии.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частности, при участии Международной финансовой корпорации в этом году в 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Навоийской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начнется реализация пилотного проекта по строительству фотоэлектрической станции (ФЭС) мощностью 100 МВт.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сообщалось, что международный тендер планируется объявить в марте 2019 года, в августе - под</w:t>
      </w:r>
      <w:r w:rsidR="00F64552"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соглашение с инвестором.</w:t>
      </w:r>
    </w:p>
    <w:p w:rsidR="00272BB4" w:rsidRPr="004B60D8" w:rsidRDefault="00272BB4" w:rsidP="004B60D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февраля в Минске состоялось заседания Совета ГПО «</w:t>
      </w: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Белэнерго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итогам работы организаций объединения за 2018 год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(20.02.2019г)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электроэнергии в республике в 2018 году составило 37,8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выработка электроэнергии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энергоисточниками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Белэнерго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составила 34,8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14,8% выше уровня 2017 года, отпуск тепловой энергии – 35,4 млн. Гкал, что составляет 102,1 % к соответствующему периоду 2017 года. 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инвестиционных проектов отраслевой программы развития электроэнергетики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2018 году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завершены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 «Строительство АЭС в Республике Беларусь. Выдача мощности и связь с энергосистемой»;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ПС-220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«Столбцы» с переводом на напряжение 330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строительством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«Столбцы-Барановичи» (1-я и 2-я очереди строительства);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ПС-330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Минск-Северная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(3 ПК 1-й очереди строительства, 1 ПК 2-й очереди строительства);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ПС 110/35/10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«Ивацевичи» Брестской области;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кабельных линий 110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«ТЭЦ-3 – ПС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реконструкция тепловых сетей протяженностью 134,8 км.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B4" w:rsidRPr="004B60D8" w:rsidRDefault="00272BB4" w:rsidP="004B60D8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Азербайджан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4681900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Завершается реконструкция воздушной ЛЭП между Азербайджаном и Грузией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(19.02.2019г)</w:t>
      </w:r>
      <w:bookmarkEnd w:id="40"/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Азерэнержи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«Планом реабилитации», ведет работу по комплексной реконструкции и восстановлению на значимых линиях электропередач высокого напряжения.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работы на линиях электропередач высокого напряжения завершена, большая часть работ все еще продолжается.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ускоренно продолжается работа по реализации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реконструкции воздушной линии электропередачи международного значения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Агстафа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-Гардабани напряжением в 330 киловольт, которая будет проходить между Азербайджаном и Грузией.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сообщается, что в сентябре прошлого года была завершена работа по реконструкции третьей воздушной линии электропередачи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Имишли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напряжением в 330 киловольт, на первой и второй линиях электропередачи напряжением в 220 киловольт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Забрат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второй ЛЭП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Гекчай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110 киловольт, на первой и второй линии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Кимьячылар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первой, второй, третьей и четвертой линиях «8-ой километр» и на первой линии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Ахмедли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72BB4" w:rsidRPr="004B60D8" w:rsidRDefault="00272BB4" w:rsidP="004B60D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Азербайджане будет осуществлена коренная реконструкция цифровой системы управления энергосистемой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(18.02.2019г)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надежности и безопасности ОАО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Азерэнержи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начался второй этап реконструкции Центра диспетчерского управления энергосистемой SCADA, предусматривающий создание цифровой системы управления.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Обновленная система SCADA в еще большей мере охватывает все компоненты энергетического объекта, предусматривает современное управление и полную автоматизацию. Используемая ныне система SCADA охватывает 45 объектов энергетики. В рамках второго этапа реализации проекта SCADA планируется охватить этой системой 30 электростанций и примерно 150 подстанций. Возможности новой системы будут обширными, в том числе будет предусмотрена возможность подключения </w:t>
      </w:r>
      <w:proofErr w:type="gram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независимых</w:t>
      </w:r>
      <w:proofErr w:type="gram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энергопроизводителей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же время, новая система приведет к производству и передаче электроэнергии на уровне современных технологий. А это, с учетом потерь в передаче и топливных затрат на станциях, будет способствовать оптимизации режимов энергосистемы и минимизации затрат.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обладая надежным заслоном против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будет оказывать непосредственную техническую поддержку для обмена информацией с используемыми в соседних странах системами SCADA, а также для обеспечения операций по импорту и экспорту электроэнергии на самом высоком уровне.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с участием иностранной консалтинговой компании разрабатывается техническая спецификация. В марте будет проведен тендер с участием иностранных компаний.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первая фаза проекта SCADA была реализована в Азербайджане в 2005-2011 годах. Но в связи с очень быстрым развитием цифровых технологий в настоящий момент определенные компоненты этой системы не поддерживаются компаниями производителями и выведены из производства и эксплуатации. Это в свою очередь создало определенные проблемы для действующей в Азербайджане системы SCADA. Одной из причин, обуславливающих реконструкцию, являются недостатки, установленные во время аудита компании производителя в прошлом году. С другой стороны для достижения целей, поставленных Президентом Азербайджана в связи с произошедшей в июле прошлого года системной аварией в энергосистеме страны, </w:t>
      </w: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 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Азерэнержи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считает крайне важным осуществление реконструкции Центра диспетчерского управления энергосистемой ОАО «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Азерэнержи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2BB4" w:rsidRPr="004B60D8" w:rsidRDefault="00272BB4" w:rsidP="004B6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2BB4" w:rsidRPr="004B60D8" w:rsidRDefault="00272BB4" w:rsidP="004B60D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Таджикистан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достройку </w:t>
      </w: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Рогуна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этом году направят 222 млн. долларов из бюджета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(18.02.2019г)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финансирование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этом году сокращается на 1,3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140 млн. долларов).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достройку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в этом году планируется направить 2,1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222 млн. долларов) бюджетных средств, сообщил министр финансов Таджикистана Ф.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Каххорзода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словам, ведутся также работы по привлечению льготных ресурсов международных финансовых институтов для возведения станции.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Министр отметил, что в прошлом году финансирование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Рогунского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 счет всех источников было осуществлено в размере 4,7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подчеркнул он, 3,4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направлено из бюджета страны, а оставшаяся сумма – привлеченные средства за счет размещения евробондов на международных финансовых рынках.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Минфина подчеркнул, что в течение первой половины этого года планируется ввести в эксплуатацию второй агрегат ГЭС.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Таджикистана Э.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последнего обращения к парламенту страны отметил, что с начала строительства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из всех источников финансирования освоено 24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 отметил, что в 2019 году на эти целы будет направлено 4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запустить второй гидроагрегат станции.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агрегат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был введен в эксплуатацию 16 ноября прошлого года. На первых порах (с учетом уровня воды в водохранилище) агрегат работает в среднем на мощности 100 МВт.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прошлого года этот агрегат выработал более 90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строительство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планируется завершить к 2033 году, когда высота плотины будет доведена до проектных 335 метров.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Рогун</w:t>
      </w:r>
      <w:proofErr w:type="spellEnd"/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45 суток произвел электроэнергии в 3 раза больше, чем все малые ГЭС Республики Таджикистан за год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(01.02.2019г)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гидроагрегат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за полтора месяца работы произвел в три раза больше электроэнергии, чем все существующие в Республике Таджикистан малые ГЭС за весь 2018 год.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Таджикистане действуют 286 малых ГЭС совокупной мощностью 26,7 МВт. Этими станциями в прошлом году произведено чуть более 33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электроэнергии, сообщает министерство энергетики и водных ресурсов РТ.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же агрегат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ГЭС, запуск которого состоялся 16 ноября прошлого года, до 1 января 2019 года произвел 90,3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целом, по данным Минэнерго, в прошлом году в Таджикистане произведен рекордный за всю историю республики  объем электроэнергии: более 19,7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электричества подведомственными «Барки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предприятиями в 2018 году составил более 16,2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Сангтудинской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ГЭС-1 – около 2,4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ГЭС «Сангтуда-2» - 826,4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станциями компании «Памир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Энерджи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- 184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B4" w:rsidRPr="004B60D8" w:rsidRDefault="00272BB4" w:rsidP="004B60D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таджикской электроэнергии для Узбекистана могут повысить</w:t>
      </w:r>
      <w:r w:rsidRPr="004B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(18.02.2019г)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Электроэнергетические компании Таджикистана и Узбекистана ведут переговоры относительно поставок таджикской электроэнергии в наступающем весенне-летнем периоде.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главы «Барки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Исмоилзода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таджикская сторона предлагает за свою электроэнергию в этом году более высокий по сравнению с прошлым годом тариф.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в прошлом году Узбекистан платил Таджикистану за каждый киловатт электроэнергии 2 цента.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средний тариф в самом Таджикистане составлял 17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дирамов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(1,8 цент), а себестоимость таджикской электроэнергии 16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дирамов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(1,7 цент).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нынешнем году планируется поставить в соседнюю страну порядка 1,6 млрд.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электроэнергии, что почти на 200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 сравнению с прошлогодним объемом.</w:t>
      </w:r>
    </w:p>
    <w:p w:rsidR="00272BB4" w:rsidRPr="004B60D8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году, согласно данным «Барки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Узбекистан было экспортировано 1 480 млн. </w:t>
      </w:r>
      <w:proofErr w:type="spellStart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электроэнергии.</w:t>
      </w:r>
    </w:p>
    <w:p w:rsidR="00272BB4" w:rsidRPr="008D3500" w:rsidRDefault="00272BB4" w:rsidP="004B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 восстановил поставки электричества в Узбекистан в апреле прошлого года после девятилетнего перерыва.</w:t>
      </w:r>
    </w:p>
    <w:p w:rsidR="00E04313" w:rsidRPr="00BC7CB8" w:rsidRDefault="00E04313" w:rsidP="004B60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EC42B5">
      <w:headerReference w:type="default" r:id="rId14"/>
      <w:footerReference w:type="default" r:id="rId15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6E" w:rsidRDefault="00224C6E" w:rsidP="00AD7754">
      <w:pPr>
        <w:spacing w:after="0" w:line="240" w:lineRule="auto"/>
      </w:pPr>
      <w:r>
        <w:separator/>
      </w:r>
    </w:p>
  </w:endnote>
  <w:endnote w:type="continuationSeparator" w:id="0">
    <w:p w:rsidR="00224C6E" w:rsidRDefault="00224C6E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224C6E" w:rsidRDefault="00224C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D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4C6E" w:rsidRDefault="00224C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6E" w:rsidRDefault="00224C6E" w:rsidP="00AD7754">
      <w:pPr>
        <w:spacing w:after="0" w:line="240" w:lineRule="auto"/>
      </w:pPr>
      <w:r>
        <w:separator/>
      </w:r>
    </w:p>
  </w:footnote>
  <w:footnote w:type="continuationSeparator" w:id="0">
    <w:p w:rsidR="00224C6E" w:rsidRDefault="00224C6E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224C6E" w:rsidTr="009437D6">
      <w:tc>
        <w:tcPr>
          <w:tcW w:w="2235" w:type="dxa"/>
        </w:tcPr>
        <w:p w:rsidR="00224C6E" w:rsidRDefault="00224C6E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224C6E" w:rsidRDefault="00224C6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224C6E" w:rsidRDefault="00224C6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224C6E" w:rsidRPr="009437D6" w:rsidRDefault="00224C6E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2"/>
  </w:num>
  <w:num w:numId="4">
    <w:abstractNumId w:val="22"/>
  </w:num>
  <w:num w:numId="5">
    <w:abstractNumId w:val="1"/>
  </w:num>
  <w:num w:numId="6">
    <w:abstractNumId w:val="35"/>
  </w:num>
  <w:num w:numId="7">
    <w:abstractNumId w:val="3"/>
  </w:num>
  <w:num w:numId="8">
    <w:abstractNumId w:val="13"/>
  </w:num>
  <w:num w:numId="9">
    <w:abstractNumId w:val="10"/>
  </w:num>
  <w:num w:numId="10">
    <w:abstractNumId w:val="38"/>
  </w:num>
  <w:num w:numId="11">
    <w:abstractNumId w:val="29"/>
  </w:num>
  <w:num w:numId="12">
    <w:abstractNumId w:val="20"/>
  </w:num>
  <w:num w:numId="13">
    <w:abstractNumId w:val="9"/>
  </w:num>
  <w:num w:numId="14">
    <w:abstractNumId w:val="14"/>
  </w:num>
  <w:num w:numId="15">
    <w:abstractNumId w:val="37"/>
  </w:num>
  <w:num w:numId="16">
    <w:abstractNumId w:val="24"/>
  </w:num>
  <w:num w:numId="17">
    <w:abstractNumId w:val="39"/>
  </w:num>
  <w:num w:numId="18">
    <w:abstractNumId w:val="5"/>
  </w:num>
  <w:num w:numId="19">
    <w:abstractNumId w:val="36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27"/>
  </w:num>
  <w:num w:numId="26">
    <w:abstractNumId w:val="16"/>
  </w:num>
  <w:num w:numId="27">
    <w:abstractNumId w:val="19"/>
  </w:num>
  <w:num w:numId="28">
    <w:abstractNumId w:val="6"/>
  </w:num>
  <w:num w:numId="29">
    <w:abstractNumId w:val="18"/>
  </w:num>
  <w:num w:numId="30">
    <w:abstractNumId w:val="25"/>
  </w:num>
  <w:num w:numId="31">
    <w:abstractNumId w:val="23"/>
  </w:num>
  <w:num w:numId="32">
    <w:abstractNumId w:val="34"/>
  </w:num>
  <w:num w:numId="33">
    <w:abstractNumId w:val="26"/>
  </w:num>
  <w:num w:numId="34">
    <w:abstractNumId w:val="32"/>
  </w:num>
  <w:num w:numId="35">
    <w:abstractNumId w:val="33"/>
  </w:num>
  <w:num w:numId="36">
    <w:abstractNumId w:val="21"/>
  </w:num>
  <w:num w:numId="37">
    <w:abstractNumId w:val="11"/>
  </w:num>
  <w:num w:numId="38">
    <w:abstractNumId w:val="15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76A8C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5238"/>
    <w:rsid w:val="00127A62"/>
    <w:rsid w:val="001447DB"/>
    <w:rsid w:val="00146C10"/>
    <w:rsid w:val="00147887"/>
    <w:rsid w:val="00156A4A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6D27"/>
    <w:rsid w:val="002676A7"/>
    <w:rsid w:val="00272BB4"/>
    <w:rsid w:val="00273897"/>
    <w:rsid w:val="00273C4D"/>
    <w:rsid w:val="00282C14"/>
    <w:rsid w:val="00284A27"/>
    <w:rsid w:val="00285ACB"/>
    <w:rsid w:val="002B2269"/>
    <w:rsid w:val="002C14BF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27BF"/>
    <w:rsid w:val="0035461D"/>
    <w:rsid w:val="003625A7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0E1C"/>
    <w:rsid w:val="0044104A"/>
    <w:rsid w:val="00441B04"/>
    <w:rsid w:val="00443749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404D"/>
    <w:rsid w:val="006E7478"/>
    <w:rsid w:val="006F09F2"/>
    <w:rsid w:val="007103C4"/>
    <w:rsid w:val="00710722"/>
    <w:rsid w:val="00711626"/>
    <w:rsid w:val="00715ADF"/>
    <w:rsid w:val="00720B2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E2BB4"/>
    <w:rsid w:val="007F3F0C"/>
    <w:rsid w:val="008006A8"/>
    <w:rsid w:val="00800D87"/>
    <w:rsid w:val="0080409E"/>
    <w:rsid w:val="008078AD"/>
    <w:rsid w:val="00810136"/>
    <w:rsid w:val="008169EA"/>
    <w:rsid w:val="0082580F"/>
    <w:rsid w:val="008311B2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1B94"/>
    <w:rsid w:val="00D16459"/>
    <w:rsid w:val="00D36832"/>
    <w:rsid w:val="00D479CD"/>
    <w:rsid w:val="00D53102"/>
    <w:rsid w:val="00D53D13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x.uz/ru/pdfs/419404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9583-FEAF-4D57-80FD-AF3DF1F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23</Pages>
  <Words>7269</Words>
  <Characters>41435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52</cp:revision>
  <cp:lastPrinted>2018-09-04T08:39:00Z</cp:lastPrinted>
  <dcterms:created xsi:type="dcterms:W3CDTF">2018-09-04T11:04:00Z</dcterms:created>
  <dcterms:modified xsi:type="dcterms:W3CDTF">2019-03-29T09:37:00Z</dcterms:modified>
</cp:coreProperties>
</file>