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583E36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0D5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0D5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0D5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5E30D5">
        <w:rPr>
          <w:rFonts w:ascii="Times New Roman" w:hAnsi="Times New Roman" w:cs="Times New Roman"/>
          <w:b/>
          <w:sz w:val="28"/>
        </w:rPr>
        <w:t xml:space="preserve">И УГЛЯ </w:t>
      </w:r>
      <w:r w:rsidRPr="005E30D5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5E30D5" w:rsidRDefault="006A4A69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0D5">
        <w:rPr>
          <w:rFonts w:ascii="Times New Roman" w:hAnsi="Times New Roman" w:cs="Times New Roman"/>
          <w:b/>
          <w:sz w:val="28"/>
        </w:rPr>
        <w:t>ЯНВАРЬ</w:t>
      </w:r>
      <w:r w:rsidR="00C07CA7" w:rsidRPr="005E30D5">
        <w:rPr>
          <w:rFonts w:ascii="Times New Roman" w:hAnsi="Times New Roman" w:cs="Times New Roman"/>
          <w:b/>
          <w:sz w:val="28"/>
        </w:rPr>
        <w:t>-</w:t>
      </w:r>
      <w:r w:rsidR="0036365D" w:rsidRPr="005E30D5">
        <w:rPr>
          <w:rFonts w:ascii="Times New Roman" w:hAnsi="Times New Roman" w:cs="Times New Roman"/>
          <w:b/>
          <w:sz w:val="28"/>
        </w:rPr>
        <w:t>ОКТЯБРЬ</w:t>
      </w:r>
      <w:r w:rsidRPr="005E30D5">
        <w:rPr>
          <w:rFonts w:ascii="Times New Roman" w:hAnsi="Times New Roman" w:cs="Times New Roman"/>
          <w:b/>
          <w:sz w:val="28"/>
        </w:rPr>
        <w:t xml:space="preserve"> </w:t>
      </w:r>
      <w:r w:rsidR="000C3143" w:rsidRPr="005E30D5">
        <w:rPr>
          <w:rFonts w:ascii="Times New Roman" w:hAnsi="Times New Roman" w:cs="Times New Roman"/>
          <w:b/>
          <w:sz w:val="28"/>
        </w:rPr>
        <w:t>201</w:t>
      </w:r>
      <w:r w:rsidR="009C2F09" w:rsidRPr="005E30D5">
        <w:rPr>
          <w:rFonts w:ascii="Times New Roman" w:hAnsi="Times New Roman" w:cs="Times New Roman"/>
          <w:b/>
          <w:sz w:val="28"/>
        </w:rPr>
        <w:t>9</w:t>
      </w:r>
      <w:r w:rsidR="000C3143" w:rsidRPr="005E30D5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0D5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5E30D5" w:rsidRDefault="00984FBA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0C3143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5E30D5" w:rsidRDefault="0036365D" w:rsidP="005246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E30D5">
        <w:rPr>
          <w:rFonts w:ascii="Times New Roman" w:hAnsi="Times New Roman" w:cs="Times New Roman"/>
          <w:b/>
          <w:sz w:val="28"/>
        </w:rPr>
        <w:t>Нояб</w:t>
      </w:r>
      <w:r w:rsidR="00462247" w:rsidRPr="005E30D5">
        <w:rPr>
          <w:rFonts w:ascii="Times New Roman" w:hAnsi="Times New Roman" w:cs="Times New Roman"/>
          <w:b/>
          <w:sz w:val="28"/>
        </w:rPr>
        <w:t>рь</w:t>
      </w:r>
      <w:r w:rsidR="001E008C" w:rsidRPr="005E30D5">
        <w:rPr>
          <w:rFonts w:ascii="Times New Roman" w:hAnsi="Times New Roman" w:cs="Times New Roman"/>
          <w:b/>
          <w:sz w:val="28"/>
        </w:rPr>
        <w:t xml:space="preserve">, </w:t>
      </w:r>
      <w:r w:rsidR="009C2F09" w:rsidRPr="005E30D5">
        <w:rPr>
          <w:rFonts w:ascii="Times New Roman" w:hAnsi="Times New Roman" w:cs="Times New Roman"/>
          <w:b/>
          <w:sz w:val="28"/>
        </w:rPr>
        <w:t>2019</w:t>
      </w:r>
      <w:r w:rsidR="00984FBA" w:rsidRPr="005E30D5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545712" w:rsidRPr="005E30D5" w:rsidRDefault="00545712" w:rsidP="005246FD">
          <w:pPr>
            <w:pStyle w:val="afb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  <w:r w:rsidRPr="005E30D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60D8" w:rsidRPr="005E30D5" w:rsidRDefault="0056275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E30D5">
            <w:fldChar w:fldCharType="begin"/>
          </w:r>
          <w:r w:rsidR="00545712" w:rsidRPr="005E30D5">
            <w:instrText xml:space="preserve"> TOC \o "1-3" \h \z \u </w:instrText>
          </w:r>
          <w:r w:rsidRPr="005E30D5">
            <w:fldChar w:fldCharType="separate"/>
          </w:r>
          <w:hyperlink w:anchor="_Toc4766253" w:history="1">
            <w:r w:rsidR="004B60D8" w:rsidRPr="005E30D5">
              <w:rPr>
                <w:rStyle w:val="aa"/>
                <w:b/>
                <w:color w:val="auto"/>
              </w:rPr>
              <w:t xml:space="preserve">РАЗДЕЛ </w:t>
            </w:r>
            <w:r w:rsidR="004B60D8" w:rsidRPr="005E30D5">
              <w:rPr>
                <w:rStyle w:val="aa"/>
                <w:b/>
                <w:color w:val="auto"/>
                <w:lang w:val="en-US"/>
              </w:rPr>
              <w:t>I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_Toc4766253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3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5E30D5">
              <w:rPr>
                <w:rStyle w:val="aa"/>
                <w:b/>
                <w:color w:val="auto"/>
              </w:rPr>
              <w:t>1.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Производство электрической энергии в ЕЭС Казахстана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_Toc4766254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3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5E30D5">
              <w:rPr>
                <w:rStyle w:val="aa"/>
                <w:i/>
                <w:color w:val="auto"/>
              </w:rPr>
              <w:t>Производство электроэнергии по областям РК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_Toc4766255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3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5E30D5">
              <w:rPr>
                <w:rStyle w:val="aa"/>
                <w:i/>
                <w:color w:val="auto"/>
              </w:rPr>
              <w:t>Производство электроэнергии связанной генерацией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_Toc4766256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4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5E30D5">
              <w:rPr>
                <w:rStyle w:val="aa"/>
                <w:b/>
                <w:color w:val="auto"/>
              </w:rPr>
              <w:t>2.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Потребление электрической энергии в ЕЭС Казахстана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_Toc4766257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5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5E30D5">
              <w:rPr>
                <w:rStyle w:val="aa"/>
                <w:i/>
                <w:color w:val="auto"/>
              </w:rPr>
              <w:t>Потребление электрической энергии по зонам и областям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_Toc4766258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5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5E30D5">
              <w:rPr>
                <w:rStyle w:val="aa"/>
                <w:i/>
                <w:color w:val="auto"/>
              </w:rPr>
              <w:t xml:space="preserve">Итоги работы промышленности за </w:t>
            </w:r>
            <w:r w:rsidR="0036365D" w:rsidRPr="005E30D5">
              <w:rPr>
                <w:rStyle w:val="aa"/>
                <w:i/>
                <w:color w:val="auto"/>
                <w:lang w:val="kk-KZ"/>
              </w:rPr>
              <w:t>10</w:t>
            </w:r>
            <w:r w:rsidR="00462247" w:rsidRPr="005E30D5">
              <w:rPr>
                <w:rStyle w:val="aa"/>
                <w:i/>
                <w:color w:val="auto"/>
                <w:lang w:val="kk-KZ"/>
              </w:rPr>
              <w:t xml:space="preserve"> </w:t>
            </w:r>
            <w:r w:rsidR="00D14364" w:rsidRPr="005E30D5">
              <w:rPr>
                <w:rStyle w:val="aa"/>
                <w:i/>
                <w:color w:val="auto"/>
              </w:rPr>
              <w:t>месяцев</w:t>
            </w:r>
            <w:r w:rsidR="004B60D8" w:rsidRPr="005E30D5">
              <w:rPr>
                <w:rStyle w:val="aa"/>
                <w:i/>
                <w:color w:val="auto"/>
              </w:rPr>
              <w:t xml:space="preserve"> 2019 года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_Toc4766259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5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5E30D5">
              <w:rPr>
                <w:rStyle w:val="aa"/>
                <w:i/>
                <w:color w:val="auto"/>
              </w:rPr>
              <w:t>Электропотребление крупными потребителями Казахстана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_Toc4766260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7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5E30D5">
              <w:rPr>
                <w:rStyle w:val="aa"/>
                <w:i/>
                <w:color w:val="auto"/>
              </w:rPr>
              <w:t>Электропотребление потребителями связанной генерации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_Toc4766261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7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5E30D5">
              <w:rPr>
                <w:rStyle w:val="aa"/>
                <w:b/>
                <w:color w:val="auto"/>
              </w:rPr>
              <w:t>3.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Уголь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_Toc4766262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8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5E30D5">
              <w:rPr>
                <w:rStyle w:val="aa"/>
                <w:i/>
                <w:color w:val="auto"/>
              </w:rPr>
              <w:t>Добыча энергетического угля в Казахстане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_Toc4766263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8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5E30D5">
              <w:rPr>
                <w:rStyle w:val="aa"/>
                <w:i/>
                <w:color w:val="auto"/>
              </w:rPr>
              <w:t>Добыча угля АО «Самрук-Энерго»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_Toc4766264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8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5E30D5">
              <w:rPr>
                <w:rStyle w:val="aa"/>
                <w:i/>
                <w:color w:val="auto"/>
              </w:rPr>
              <w:t>Реализация угля АО «Самрук-Энерго»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_Toc4766265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8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5E30D5">
              <w:rPr>
                <w:rStyle w:val="aa"/>
                <w:b/>
                <w:color w:val="auto"/>
              </w:rPr>
              <w:t>4.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Возобновляемые источники энергии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_Toc4766266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8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E37727" w:rsidRPr="005E30D5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E30D5">
            <w:rPr>
              <w:b/>
            </w:rPr>
            <w:fldChar w:fldCharType="begin"/>
          </w:r>
          <w:r w:rsidRPr="005E30D5">
            <w:rPr>
              <w:b/>
            </w:rPr>
            <w:instrText>HYPERLINK  \l "_Централизованные_торги_электроэнерг"</w:instrText>
          </w:r>
          <w:r w:rsidRPr="005E30D5">
            <w:rPr>
              <w:b/>
            </w:rPr>
            <w:fldChar w:fldCharType="separate"/>
          </w:r>
          <w:r w:rsidR="00E37727" w:rsidRPr="005E30D5">
            <w:rPr>
              <w:rStyle w:val="aa"/>
              <w:b/>
            </w:rPr>
            <w:t>5.</w:t>
          </w:r>
          <w:r w:rsidR="00E37727" w:rsidRPr="005E30D5">
            <w:rPr>
              <w:rStyle w:val="aa"/>
              <w:sz w:val="22"/>
              <w:szCs w:val="22"/>
              <w:lang w:eastAsia="ru-RU"/>
            </w:rPr>
            <w:tab/>
          </w:r>
          <w:r w:rsidR="00E37727" w:rsidRPr="005E30D5">
            <w:rPr>
              <w:rStyle w:val="aa"/>
              <w:b/>
            </w:rPr>
            <w:t>Централизованные торги электроэнергией АО «КОРЭМ»</w:t>
          </w:r>
          <w:r w:rsidR="00E37727" w:rsidRPr="005E30D5">
            <w:rPr>
              <w:rStyle w:val="aa"/>
              <w:webHidden/>
            </w:rPr>
            <w:tab/>
          </w:r>
          <w:r w:rsidR="00E37727" w:rsidRPr="005E30D5">
            <w:rPr>
              <w:rStyle w:val="aa"/>
              <w:webHidden/>
            </w:rPr>
            <w:fldChar w:fldCharType="begin"/>
          </w:r>
          <w:r w:rsidR="00E37727" w:rsidRPr="005E30D5">
            <w:rPr>
              <w:rStyle w:val="aa"/>
              <w:webHidden/>
            </w:rPr>
            <w:instrText xml:space="preserve"> PAGEREF _Toc4766267 \h </w:instrText>
          </w:r>
          <w:r w:rsidR="00E37727" w:rsidRPr="005E30D5">
            <w:rPr>
              <w:rStyle w:val="aa"/>
              <w:webHidden/>
            </w:rPr>
          </w:r>
          <w:r w:rsidR="00E37727" w:rsidRPr="005E30D5">
            <w:rPr>
              <w:rStyle w:val="aa"/>
              <w:webHidden/>
            </w:rPr>
            <w:fldChar w:fldCharType="separate"/>
          </w:r>
          <w:r w:rsidR="00E37727" w:rsidRPr="005E30D5">
            <w:rPr>
              <w:rStyle w:val="aa"/>
              <w:webHidden/>
            </w:rPr>
            <w:t>10</w:t>
          </w:r>
          <w:r w:rsidR="00E37727" w:rsidRPr="005E30D5">
            <w:rPr>
              <w:rStyle w:val="aa"/>
              <w:webHidden/>
            </w:rPr>
            <w:fldChar w:fldCharType="end"/>
          </w:r>
        </w:p>
        <w:p w:rsidR="00E37727" w:rsidRPr="005E30D5" w:rsidRDefault="0091640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E30D5">
            <w:rPr>
              <w:b/>
            </w:rPr>
            <w:fldChar w:fldCharType="end"/>
          </w:r>
          <w:hyperlink w:anchor="_Централизованные_торги_электроэнерг" w:history="1">
            <w:r w:rsidR="00E37727" w:rsidRPr="005E30D5">
              <w:rPr>
                <w:rStyle w:val="aa"/>
                <w:i/>
              </w:rPr>
              <w:t>Общие итоги торгов</w:t>
            </w:r>
            <w:r w:rsidR="00E37727" w:rsidRPr="005E30D5">
              <w:rPr>
                <w:webHidden/>
              </w:rPr>
              <w:tab/>
            </w:r>
            <w:r w:rsidR="00E37727" w:rsidRPr="005E30D5">
              <w:rPr>
                <w:webHidden/>
              </w:rPr>
              <w:fldChar w:fldCharType="begin"/>
            </w:r>
            <w:r w:rsidR="00E37727" w:rsidRPr="005E30D5">
              <w:rPr>
                <w:webHidden/>
              </w:rPr>
              <w:instrText xml:space="preserve"> PAGEREF _Toc4766268 \h </w:instrText>
            </w:r>
            <w:r w:rsidR="00E37727" w:rsidRPr="005E30D5">
              <w:rPr>
                <w:webHidden/>
              </w:rPr>
            </w:r>
            <w:r w:rsidR="00E37727" w:rsidRPr="005E30D5">
              <w:rPr>
                <w:webHidden/>
              </w:rPr>
              <w:fldChar w:fldCharType="separate"/>
            </w:r>
            <w:r w:rsidR="00E37727" w:rsidRPr="005E30D5">
              <w:rPr>
                <w:webHidden/>
              </w:rPr>
              <w:t>10</w:t>
            </w:r>
            <w:r w:rsidR="00E37727" w:rsidRPr="005E30D5">
              <w:rPr>
                <w:webHidden/>
              </w:rPr>
              <w:fldChar w:fldCharType="end"/>
            </w:r>
          </w:hyperlink>
        </w:p>
        <w:p w:rsidR="00E37727" w:rsidRPr="005E30D5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E30D5">
            <w:rPr>
              <w:i/>
            </w:rPr>
            <w:fldChar w:fldCharType="begin"/>
          </w:r>
          <w:r w:rsidRPr="005E30D5">
            <w:rPr>
              <w:i/>
            </w:rPr>
            <w:instrText xml:space="preserve"> HYPERLINK  \l "_Итоги_спот-торгов_в" </w:instrText>
          </w:r>
          <w:r w:rsidRPr="005E30D5">
            <w:rPr>
              <w:i/>
            </w:rPr>
            <w:fldChar w:fldCharType="separate"/>
          </w:r>
          <w:r w:rsidR="00E37727" w:rsidRPr="005E30D5">
            <w:rPr>
              <w:rStyle w:val="aa"/>
              <w:i/>
            </w:rPr>
            <w:t>Итоги спот-торгов в режиме «за день вперед»</w:t>
          </w:r>
          <w:r w:rsidR="00E37727" w:rsidRPr="005E30D5">
            <w:rPr>
              <w:rStyle w:val="aa"/>
              <w:webHidden/>
            </w:rPr>
            <w:tab/>
          </w:r>
          <w:r w:rsidR="00E37727" w:rsidRPr="005E30D5">
            <w:rPr>
              <w:rStyle w:val="aa"/>
              <w:webHidden/>
            </w:rPr>
            <w:fldChar w:fldCharType="begin"/>
          </w:r>
          <w:r w:rsidR="00E37727" w:rsidRPr="005E30D5">
            <w:rPr>
              <w:rStyle w:val="aa"/>
              <w:webHidden/>
            </w:rPr>
            <w:instrText xml:space="preserve"> PAGEREF _Toc4766269 \h </w:instrText>
          </w:r>
          <w:r w:rsidR="00E37727" w:rsidRPr="005E30D5">
            <w:rPr>
              <w:rStyle w:val="aa"/>
              <w:webHidden/>
            </w:rPr>
          </w:r>
          <w:r w:rsidR="00E37727" w:rsidRPr="005E30D5">
            <w:rPr>
              <w:rStyle w:val="aa"/>
              <w:webHidden/>
            </w:rPr>
            <w:fldChar w:fldCharType="separate"/>
          </w:r>
          <w:r w:rsidR="00E37727" w:rsidRPr="005E30D5">
            <w:rPr>
              <w:rStyle w:val="aa"/>
              <w:webHidden/>
            </w:rPr>
            <w:t>11</w:t>
          </w:r>
          <w:r w:rsidR="00E37727" w:rsidRPr="005E30D5">
            <w:rPr>
              <w:rStyle w:val="aa"/>
              <w:webHidden/>
            </w:rPr>
            <w:fldChar w:fldCharType="end"/>
          </w:r>
        </w:p>
        <w:p w:rsidR="00E37727" w:rsidRPr="005E30D5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E30D5">
            <w:rPr>
              <w:i/>
            </w:rPr>
            <w:fldChar w:fldCharType="end"/>
          </w:r>
          <w:r w:rsidRPr="005E30D5">
            <w:rPr>
              <w:i/>
            </w:rPr>
            <w:fldChar w:fldCharType="begin"/>
          </w:r>
          <w:r w:rsidRPr="005E30D5">
            <w:rPr>
              <w:i/>
            </w:rPr>
            <w:instrText xml:space="preserve"> HYPERLINK  \l "_Итоги_спот-торгов_\«в" </w:instrText>
          </w:r>
          <w:r w:rsidRPr="005E30D5">
            <w:rPr>
              <w:i/>
            </w:rPr>
            <w:fldChar w:fldCharType="separate"/>
          </w:r>
          <w:r w:rsidR="00E37727" w:rsidRPr="005E30D5">
            <w:rPr>
              <w:rStyle w:val="aa"/>
              <w:i/>
            </w:rPr>
            <w:t>Итоги спот-торгов «в течение операционных суток»</w:t>
          </w:r>
          <w:r w:rsidR="00E37727" w:rsidRPr="005E30D5">
            <w:rPr>
              <w:rStyle w:val="aa"/>
              <w:webHidden/>
            </w:rPr>
            <w:tab/>
          </w:r>
          <w:r w:rsidR="00E37727" w:rsidRPr="005E30D5">
            <w:rPr>
              <w:rStyle w:val="aa"/>
              <w:webHidden/>
            </w:rPr>
            <w:fldChar w:fldCharType="begin"/>
          </w:r>
          <w:r w:rsidR="00E37727" w:rsidRPr="005E30D5">
            <w:rPr>
              <w:rStyle w:val="aa"/>
              <w:webHidden/>
            </w:rPr>
            <w:instrText xml:space="preserve"> PAGEREF _Toc4766270 \h </w:instrText>
          </w:r>
          <w:r w:rsidR="00E37727" w:rsidRPr="005E30D5">
            <w:rPr>
              <w:rStyle w:val="aa"/>
              <w:webHidden/>
            </w:rPr>
          </w:r>
          <w:r w:rsidR="00E37727" w:rsidRPr="005E30D5">
            <w:rPr>
              <w:rStyle w:val="aa"/>
              <w:webHidden/>
            </w:rPr>
            <w:fldChar w:fldCharType="separate"/>
          </w:r>
          <w:r w:rsidR="00E37727" w:rsidRPr="005E30D5">
            <w:rPr>
              <w:rStyle w:val="aa"/>
              <w:webHidden/>
            </w:rPr>
            <w:t>12</w:t>
          </w:r>
          <w:r w:rsidR="00E37727" w:rsidRPr="005E30D5">
            <w:rPr>
              <w:rStyle w:val="aa"/>
              <w:webHidden/>
            </w:rPr>
            <w:fldChar w:fldCharType="end"/>
          </w:r>
        </w:p>
        <w:p w:rsidR="00E37727" w:rsidRPr="005E30D5" w:rsidRDefault="00916401" w:rsidP="005246FD">
          <w:pPr>
            <w:pStyle w:val="11"/>
            <w:spacing w:before="0"/>
            <w:rPr>
              <w:rStyle w:val="aa"/>
              <w:sz w:val="22"/>
              <w:szCs w:val="22"/>
              <w:lang w:eastAsia="ru-RU"/>
            </w:rPr>
          </w:pPr>
          <w:r w:rsidRPr="005E30D5">
            <w:rPr>
              <w:i/>
            </w:rPr>
            <w:fldChar w:fldCharType="end"/>
          </w:r>
          <w:r w:rsidRPr="005E30D5">
            <w:rPr>
              <w:i/>
            </w:rPr>
            <w:fldChar w:fldCharType="begin"/>
          </w:r>
          <w:r w:rsidRPr="005E30D5">
            <w:rPr>
              <w:i/>
            </w:rPr>
            <w:instrText xml:space="preserve"> HYPERLINK  \l "_Итоги_спот-торгов_\«в" </w:instrText>
          </w:r>
          <w:r w:rsidRPr="005E30D5">
            <w:rPr>
              <w:i/>
            </w:rPr>
            <w:fldChar w:fldCharType="separate"/>
          </w:r>
          <w:r w:rsidR="00E37727" w:rsidRPr="005E30D5">
            <w:rPr>
              <w:rStyle w:val="aa"/>
              <w:i/>
            </w:rPr>
            <w:t>Итоги торгов на средне- и долгосрочный период</w:t>
          </w:r>
          <w:r w:rsidR="00E37727" w:rsidRPr="005E30D5">
            <w:rPr>
              <w:rStyle w:val="aa"/>
              <w:webHidden/>
            </w:rPr>
            <w:tab/>
          </w:r>
          <w:r w:rsidR="00E37727" w:rsidRPr="005E30D5">
            <w:rPr>
              <w:rStyle w:val="aa"/>
              <w:webHidden/>
            </w:rPr>
            <w:fldChar w:fldCharType="begin"/>
          </w:r>
          <w:r w:rsidR="00E37727" w:rsidRPr="005E30D5">
            <w:rPr>
              <w:rStyle w:val="aa"/>
              <w:webHidden/>
            </w:rPr>
            <w:instrText xml:space="preserve"> PAGEREF _Toc4766271 \h </w:instrText>
          </w:r>
          <w:r w:rsidR="00E37727" w:rsidRPr="005E30D5">
            <w:rPr>
              <w:rStyle w:val="aa"/>
              <w:webHidden/>
            </w:rPr>
          </w:r>
          <w:r w:rsidR="00E37727" w:rsidRPr="005E30D5">
            <w:rPr>
              <w:rStyle w:val="aa"/>
              <w:webHidden/>
            </w:rPr>
            <w:fldChar w:fldCharType="separate"/>
          </w:r>
          <w:r w:rsidR="00E37727" w:rsidRPr="005E30D5">
            <w:rPr>
              <w:rStyle w:val="aa"/>
              <w:webHidden/>
            </w:rPr>
            <w:t>12</w:t>
          </w:r>
          <w:r w:rsidR="00E37727" w:rsidRPr="005E30D5">
            <w:rPr>
              <w:rStyle w:val="aa"/>
              <w:webHidden/>
            </w:rPr>
            <w:fldChar w:fldCharType="end"/>
          </w:r>
        </w:p>
        <w:p w:rsidR="00E37727" w:rsidRPr="005E30D5" w:rsidRDefault="00916401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r w:rsidRPr="005E30D5">
            <w:rPr>
              <w:i/>
            </w:rPr>
            <w:fldChar w:fldCharType="end"/>
          </w:r>
          <w:hyperlink w:anchor="_Toc4766272" w:history="1">
            <w:r w:rsidR="00E37727" w:rsidRPr="005E30D5">
              <w:rPr>
                <w:rStyle w:val="aa"/>
                <w:b/>
              </w:rPr>
              <w:t>6.</w:t>
            </w:r>
            <w:r w:rsidR="00E37727" w:rsidRPr="005E30D5">
              <w:rPr>
                <w:sz w:val="22"/>
                <w:szCs w:val="22"/>
                <w:lang w:eastAsia="ru-RU"/>
              </w:rPr>
              <w:tab/>
            </w:r>
            <w:r w:rsidR="00E37727" w:rsidRPr="005E30D5">
              <w:rPr>
                <w:rStyle w:val="aa"/>
                <w:b/>
              </w:rPr>
              <w:t>Экспорт-импорт электрической энергии</w:t>
            </w:r>
            <w:r w:rsidR="00E37727" w:rsidRPr="005E30D5">
              <w:rPr>
                <w:webHidden/>
              </w:rPr>
              <w:tab/>
            </w:r>
            <w:r w:rsidR="00E37727" w:rsidRPr="005E30D5">
              <w:rPr>
                <w:webHidden/>
              </w:rPr>
              <w:fldChar w:fldCharType="begin"/>
            </w:r>
            <w:r w:rsidR="00E37727" w:rsidRPr="005E30D5">
              <w:rPr>
                <w:webHidden/>
              </w:rPr>
              <w:instrText xml:space="preserve"> PAGEREF _Toc4766272 \h </w:instrText>
            </w:r>
            <w:r w:rsidR="00E37727" w:rsidRPr="005E30D5">
              <w:rPr>
                <w:webHidden/>
              </w:rPr>
            </w:r>
            <w:r w:rsidR="00E37727" w:rsidRPr="005E30D5">
              <w:rPr>
                <w:webHidden/>
              </w:rPr>
              <w:fldChar w:fldCharType="separate"/>
            </w:r>
            <w:r w:rsidR="00E37727" w:rsidRPr="005E30D5">
              <w:rPr>
                <w:webHidden/>
              </w:rPr>
              <w:t>12</w:t>
            </w:r>
            <w:r w:rsidR="00E37727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2" w:history="1">
            <w:r w:rsidR="00435F25" w:rsidRPr="005E30D5">
              <w:rPr>
                <w:rStyle w:val="aa"/>
                <w:b/>
                <w:color w:val="auto"/>
              </w:rPr>
              <w:t>5</w:t>
            </w:r>
            <w:r w:rsidR="004B60D8" w:rsidRPr="005E30D5">
              <w:rPr>
                <w:rStyle w:val="aa"/>
                <w:b/>
                <w:color w:val="auto"/>
              </w:rPr>
              <w:t>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Экспорт-импорт электрической энергии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_Toc4766272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12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5E30D5">
              <w:rPr>
                <w:rStyle w:val="aa"/>
                <w:b/>
                <w:color w:val="auto"/>
              </w:rPr>
              <w:t>РАЗДЕЛ II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_Toc4766273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13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5E30D5">
              <w:rPr>
                <w:rStyle w:val="aa"/>
                <w:b/>
                <w:color w:val="auto"/>
              </w:rPr>
              <w:t>1.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_Toc4766274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13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5E30D5">
              <w:rPr>
                <w:rStyle w:val="aa"/>
                <w:b/>
                <w:color w:val="auto"/>
              </w:rPr>
              <w:t>2.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Статус формирования Электроэнергетического рынка СНГ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_Toc4766275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13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5E30D5">
              <w:rPr>
                <w:rStyle w:val="aa"/>
                <w:b/>
                <w:color w:val="auto"/>
              </w:rPr>
              <w:t>3.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Статус реализации проекта CASA-1000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_Toc4766276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14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4B60D8" w:rsidRPr="005E30D5" w:rsidRDefault="008306E6" w:rsidP="005246FD">
          <w:pPr>
            <w:pStyle w:val="11"/>
            <w:spacing w:before="0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5E30D5">
              <w:rPr>
                <w:rStyle w:val="aa"/>
                <w:b/>
                <w:color w:val="auto"/>
              </w:rPr>
              <w:t>4.</w:t>
            </w:r>
            <w:r w:rsidR="004B60D8" w:rsidRPr="005E30D5">
              <w:rPr>
                <w:sz w:val="22"/>
                <w:szCs w:val="22"/>
                <w:lang w:eastAsia="ru-RU"/>
              </w:rPr>
              <w:tab/>
            </w:r>
            <w:r w:rsidR="004B60D8" w:rsidRPr="005E30D5">
              <w:rPr>
                <w:rStyle w:val="aa"/>
                <w:b/>
                <w:color w:val="auto"/>
              </w:rPr>
              <w:t>Обзор СМИ в странах СНГ</w:t>
            </w:r>
            <w:r w:rsidR="004B60D8" w:rsidRPr="005E30D5">
              <w:rPr>
                <w:webHidden/>
              </w:rPr>
              <w:tab/>
            </w:r>
            <w:r w:rsidR="004B60D8" w:rsidRPr="005E30D5">
              <w:rPr>
                <w:webHidden/>
              </w:rPr>
              <w:fldChar w:fldCharType="begin"/>
            </w:r>
            <w:r w:rsidR="004B60D8" w:rsidRPr="005E30D5">
              <w:rPr>
                <w:webHidden/>
              </w:rPr>
              <w:instrText xml:space="preserve"> PAGEREF _Toc4766277 \h </w:instrText>
            </w:r>
            <w:r w:rsidR="004B60D8" w:rsidRPr="005E30D5">
              <w:rPr>
                <w:webHidden/>
              </w:rPr>
            </w:r>
            <w:r w:rsidR="004B60D8" w:rsidRPr="005E30D5">
              <w:rPr>
                <w:webHidden/>
              </w:rPr>
              <w:fldChar w:fldCharType="separate"/>
            </w:r>
            <w:r w:rsidR="004B60D8" w:rsidRPr="005E30D5">
              <w:rPr>
                <w:webHidden/>
              </w:rPr>
              <w:t>15</w:t>
            </w:r>
            <w:r w:rsidR="004B60D8" w:rsidRPr="005E30D5">
              <w:rPr>
                <w:webHidden/>
              </w:rPr>
              <w:fldChar w:fldCharType="end"/>
            </w:r>
          </w:hyperlink>
        </w:p>
        <w:p w:rsidR="00545712" w:rsidRPr="005E30D5" w:rsidRDefault="00562751" w:rsidP="005246FD">
          <w:pPr>
            <w:spacing w:after="0" w:line="240" w:lineRule="auto"/>
            <w:rPr>
              <w:rFonts w:ascii="Times New Roman" w:hAnsi="Times New Roman" w:cs="Times New Roman"/>
            </w:rPr>
          </w:pPr>
          <w:r w:rsidRPr="005E30D5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5E30D5" w:rsidRDefault="00995E50" w:rsidP="005246FD">
      <w:pPr>
        <w:pStyle w:val="11"/>
        <w:spacing w:before="0"/>
        <w:rPr>
          <w:lang w:val="en-US"/>
        </w:rPr>
      </w:pPr>
    </w:p>
    <w:p w:rsidR="001D295E" w:rsidRPr="005E30D5" w:rsidRDefault="001D295E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5E30D5" w:rsidRDefault="00F47C61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5E30D5" w:rsidRDefault="00F47C61" w:rsidP="005246FD">
      <w:pPr>
        <w:spacing w:after="0" w:line="240" w:lineRule="auto"/>
        <w:rPr>
          <w:rFonts w:ascii="Times New Roman" w:hAnsi="Times New Roman" w:cs="Times New Roman"/>
        </w:rPr>
      </w:pPr>
    </w:p>
    <w:p w:rsidR="00C71038" w:rsidRPr="005E30D5" w:rsidRDefault="00C71038" w:rsidP="005246FD">
      <w:pPr>
        <w:spacing w:after="0" w:line="240" w:lineRule="auto"/>
        <w:rPr>
          <w:rFonts w:ascii="Times New Roman" w:hAnsi="Times New Roman" w:cs="Times New Roman"/>
        </w:rPr>
      </w:pPr>
    </w:p>
    <w:p w:rsidR="005246FD" w:rsidRPr="005E30D5" w:rsidRDefault="005246FD">
      <w:pPr>
        <w:rPr>
          <w:rFonts w:ascii="Times New Roman" w:hAnsi="Times New Roman" w:cs="Times New Roman"/>
        </w:rPr>
      </w:pPr>
      <w:r w:rsidRPr="005E30D5">
        <w:rPr>
          <w:rFonts w:ascii="Times New Roman" w:hAnsi="Times New Roman" w:cs="Times New Roman"/>
        </w:rPr>
        <w:br w:type="page"/>
      </w:r>
    </w:p>
    <w:p w:rsidR="00CB6062" w:rsidRPr="005E30D5" w:rsidRDefault="00B94F51" w:rsidP="005246FD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0" w:name="_Toc4766253"/>
      <w:r w:rsidRPr="005E30D5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5E30D5">
        <w:rPr>
          <w:rFonts w:ascii="Times New Roman" w:hAnsi="Times New Roman" w:cs="Times New Roman"/>
          <w:b/>
          <w:color w:val="auto"/>
          <w:lang w:val="en-US"/>
        </w:rPr>
        <w:t>I</w:t>
      </w:r>
      <w:bookmarkEnd w:id="0"/>
    </w:p>
    <w:p w:rsidR="008A363F" w:rsidRPr="005E30D5" w:rsidRDefault="008A363F" w:rsidP="005246F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682876" w:rsidRPr="005E30D5" w:rsidRDefault="00541D3A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" w:name="_Toc4766254"/>
      <w:r w:rsidRPr="005E30D5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1"/>
    </w:p>
    <w:p w:rsidR="00F31222" w:rsidRPr="005E30D5" w:rsidRDefault="00F31222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36365D" w:rsidRPr="005E30D5" w:rsidRDefault="0036365D" w:rsidP="0036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По данным Системного оператора электростанциями РК в январе-октябре 2019 года было выработано 85907,2 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 электроэнергии, что на 1,9% меньше аналогичного периода 2018 года. Снижение выработки наблюдалось в Северной зоне ЕЭС Казахстана.</w:t>
      </w:r>
    </w:p>
    <w:p w:rsidR="001447DB" w:rsidRPr="005E30D5" w:rsidRDefault="001447DB" w:rsidP="0046224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r w:rsidRPr="005E30D5">
        <w:rPr>
          <w:rFonts w:ascii="Times New Roman" w:hAnsi="Times New Roman" w:cs="Times New Roman"/>
          <w:i/>
          <w:sz w:val="24"/>
        </w:rPr>
        <w:t>мл</w:t>
      </w:r>
      <w:r w:rsidR="00582144" w:rsidRPr="005E30D5">
        <w:rPr>
          <w:rFonts w:ascii="Times New Roman" w:hAnsi="Times New Roman" w:cs="Times New Roman"/>
          <w:i/>
          <w:sz w:val="24"/>
        </w:rPr>
        <w:t>н</w:t>
      </w:r>
      <w:r w:rsidRPr="005E30D5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5E30D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36365D" w:rsidRPr="005E30D5" w:rsidTr="0036365D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Toc4766255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Январь-октябрь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365D" w:rsidRPr="005E30D5" w:rsidTr="0036365D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87542,7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85907,2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-1,9%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70729,6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-2,1%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7462,9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-2,3%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8905,8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-5,2%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184,9%</w:t>
            </w:r>
          </w:p>
        </w:tc>
      </w:tr>
      <w:tr w:rsidR="0036365D" w:rsidRPr="005E30D5" w:rsidTr="0036365D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225,0%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67911,4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66220,3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-2,5%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57648,2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-2,7%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2466,1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6073,7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-5,3%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19,6%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160600,0%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225,0%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8754,5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2832,1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-5,1%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5,0%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56,7%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10876,8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10908,8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6056,8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0,5%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-4,0%</w:t>
            </w: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6365D" w:rsidRPr="005E30D5" w:rsidTr="0036365D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16,7%</w:t>
            </w:r>
          </w:p>
        </w:tc>
      </w:tr>
    </w:tbl>
    <w:p w:rsidR="00F309C7" w:rsidRPr="005E30D5" w:rsidRDefault="00F309C7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023FFD" w:rsidRPr="005E30D5" w:rsidRDefault="00682876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E30D5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5E30D5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36365D" w:rsidRPr="005E30D5" w:rsidRDefault="0036365D" w:rsidP="0036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В январе-октябре 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</w:t>
      </w:r>
      <w:proofErr w:type="spellStart"/>
      <w:r w:rsidRPr="005E30D5">
        <w:rPr>
          <w:rFonts w:ascii="Times New Roman" w:hAnsi="Times New Roman" w:cs="Times New Roman"/>
          <w:sz w:val="28"/>
        </w:rPr>
        <w:t>Алматинской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 и Павлодарской областях. </w:t>
      </w:r>
    </w:p>
    <w:p w:rsidR="00023FFD" w:rsidRPr="005E30D5" w:rsidRDefault="00023FFD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2D6BEB" w:rsidRPr="005E30D5" w:rsidRDefault="002D6BEB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5E30D5" w:rsidRDefault="009B7719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E30D5">
        <w:rPr>
          <w:rFonts w:ascii="Times New Roman" w:hAnsi="Times New Roman" w:cs="Times New Roman"/>
          <w:i/>
          <w:sz w:val="24"/>
        </w:rPr>
        <w:t>мл</w:t>
      </w:r>
      <w:r w:rsidR="00582144" w:rsidRPr="005E30D5">
        <w:rPr>
          <w:rFonts w:ascii="Times New Roman" w:hAnsi="Times New Roman" w:cs="Times New Roman"/>
          <w:i/>
          <w:sz w:val="24"/>
        </w:rPr>
        <w:t>н</w:t>
      </w:r>
      <w:r w:rsidRPr="005E30D5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5E30D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36365D" w:rsidRPr="005E30D5" w:rsidTr="0036365D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4766256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Январь-октябрь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36365D" w:rsidRPr="005E30D5" w:rsidTr="0036365D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</w:tr>
      <w:tr w:rsidR="0036365D" w:rsidRPr="005E30D5" w:rsidTr="0036365D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</w:tr>
      <w:tr w:rsidR="0036365D" w:rsidRPr="005E30D5" w:rsidTr="0036365D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-6,8%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-3,2%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12 418,2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36365D" w:rsidRPr="005E30D5" w:rsidTr="0036365D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-3,8%</w:t>
            </w:r>
          </w:p>
        </w:tc>
      </w:tr>
      <w:tr w:rsidR="0036365D" w:rsidRPr="005E30D5" w:rsidTr="0036365D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-2,3%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37 638,2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10,6%</w:t>
            </w:r>
          </w:p>
        </w:tc>
      </w:tr>
      <w:tr w:rsidR="0036365D" w:rsidRPr="005E30D5" w:rsidTr="0036365D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43,8%</w:t>
            </w:r>
          </w:p>
        </w:tc>
      </w:tr>
      <w:tr w:rsidR="0036365D" w:rsidRPr="005E30D5" w:rsidTr="0036365D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87 542,7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85 907,2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-1,9%</w:t>
            </w:r>
          </w:p>
        </w:tc>
      </w:tr>
    </w:tbl>
    <w:p w:rsidR="00F309C7" w:rsidRPr="005E30D5" w:rsidRDefault="00F309C7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5E30D5" w:rsidRDefault="00BC633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E30D5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3"/>
    </w:p>
    <w:p w:rsidR="0036365D" w:rsidRPr="005E30D5" w:rsidRDefault="0036365D" w:rsidP="008306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За десять месяцев 2019 года производство электроэнергии связанной генерацией составило 42,5 млрд.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, что сопоставимо с аналогичным периодом 2018 года (42,8 млрд.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). Вместе с тем, по сравнению с десятью месяцами 2018 года доля связанной генерации незначительно увеличилась, и составила 49,9% от общего объема производства электроэнергии в РК. </w:t>
      </w:r>
    </w:p>
    <w:p w:rsidR="004A4775" w:rsidRPr="005E30D5" w:rsidRDefault="004A4775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E30D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559"/>
        <w:gridCol w:w="1384"/>
      </w:tblGrid>
      <w:tr w:rsidR="00EB04ED" w:rsidRPr="005E30D5" w:rsidTr="00BD648D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E30D5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E30D5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4ED" w:rsidRPr="005E30D5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5E30D5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7F7EF3" w:rsidRPr="005E30D5" w:rsidTr="00BD648D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5E30D5" w:rsidRDefault="007F7EF3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5E30D5" w:rsidRDefault="007F7EF3" w:rsidP="00524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E30D5" w:rsidRDefault="00EB04E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</w:t>
            </w:r>
            <w:r w:rsidR="0036365D"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E30D5" w:rsidRDefault="00EB04ED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E30D5" w:rsidRDefault="00595D7F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DC0575"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</w:t>
            </w:r>
            <w:r w:rsidR="00462247"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6365D"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5E30D5" w:rsidRDefault="007F7EF3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36365D" w:rsidRPr="005E30D5" w:rsidTr="00BA70D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16 071,6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15 201,9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17,7%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Казахмыс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Энерджи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5 254,4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6 131,3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7,1%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ТОО «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Казцинк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2 739,9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2 589,1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Арселлор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2 194,6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2,6%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5 140,5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5 367,6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5 657,6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5 647,0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6,6%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АО «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Жамбылская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1 470,6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4 360,8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4 248,9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</w:tr>
      <w:tr w:rsidR="0036365D" w:rsidRPr="005E30D5" w:rsidTr="00BD648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42 564,2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42 851,0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49,9%</w:t>
            </w:r>
          </w:p>
        </w:tc>
      </w:tr>
    </w:tbl>
    <w:p w:rsidR="00CD400E" w:rsidRPr="005E30D5" w:rsidRDefault="00CD400E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9AA" w:rsidRPr="005E30D5" w:rsidRDefault="00CD400E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proofErr w:type="spellStart"/>
      <w:r w:rsidRPr="005E30D5">
        <w:rPr>
          <w:rFonts w:ascii="Times New Roman" w:hAnsi="Times New Roman" w:cs="Times New Roman"/>
          <w:sz w:val="28"/>
        </w:rPr>
        <w:t>энергопроизводящими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 организациями АО «</w:t>
      </w:r>
      <w:proofErr w:type="spellStart"/>
      <w:r w:rsidRPr="005E30D5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» </w:t>
      </w:r>
      <w:r w:rsidR="001D69AA" w:rsidRPr="005E30D5">
        <w:rPr>
          <w:rFonts w:ascii="Times New Roman" w:hAnsi="Times New Roman" w:cs="Times New Roman"/>
          <w:sz w:val="28"/>
        </w:rPr>
        <w:t xml:space="preserve">за </w:t>
      </w:r>
      <w:r w:rsidR="0036365D" w:rsidRPr="005E30D5">
        <w:rPr>
          <w:rFonts w:ascii="Times New Roman" w:hAnsi="Times New Roman" w:cs="Times New Roman"/>
          <w:sz w:val="28"/>
        </w:rPr>
        <w:t>10</w:t>
      </w:r>
      <w:r w:rsidR="00826295" w:rsidRPr="005E30D5">
        <w:rPr>
          <w:rFonts w:ascii="Times New Roman" w:hAnsi="Times New Roman" w:cs="Times New Roman"/>
          <w:sz w:val="28"/>
        </w:rPr>
        <w:t xml:space="preserve"> месяцев</w:t>
      </w:r>
      <w:r w:rsidR="001D69AA" w:rsidRPr="005E30D5">
        <w:rPr>
          <w:rFonts w:ascii="Times New Roman" w:hAnsi="Times New Roman" w:cs="Times New Roman"/>
          <w:sz w:val="28"/>
        </w:rPr>
        <w:t xml:space="preserve"> 2019 года </w:t>
      </w:r>
      <w:r w:rsidR="001D69AA" w:rsidRPr="005E30D5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62247" w:rsidRPr="005E30D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365D" w:rsidRPr="005E30D5">
        <w:rPr>
          <w:rFonts w:ascii="Times New Roman" w:hAnsi="Times New Roman" w:cs="Times New Roman"/>
          <w:b/>
          <w:bCs/>
          <w:sz w:val="28"/>
          <w:szCs w:val="28"/>
        </w:rPr>
        <w:t>4 022,5</w:t>
      </w:r>
      <w:r w:rsidR="00462247" w:rsidRPr="005E30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832" w:rsidRPr="005E30D5">
        <w:rPr>
          <w:rFonts w:ascii="Times New Roman" w:hAnsi="Times New Roman" w:cs="Times New Roman"/>
          <w:sz w:val="28"/>
        </w:rPr>
        <w:t>млрд.</w:t>
      </w:r>
      <w:r w:rsidR="001D69AA" w:rsidRPr="005E30D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69AA" w:rsidRPr="005E30D5">
        <w:rPr>
          <w:rFonts w:ascii="Times New Roman" w:hAnsi="Times New Roman" w:cs="Times New Roman"/>
          <w:sz w:val="28"/>
        </w:rPr>
        <w:t>кВтч</w:t>
      </w:r>
      <w:proofErr w:type="spellEnd"/>
      <w:r w:rsidR="001D69AA" w:rsidRPr="005E30D5">
        <w:rPr>
          <w:rFonts w:ascii="Times New Roman" w:hAnsi="Times New Roman" w:cs="Times New Roman"/>
          <w:sz w:val="28"/>
        </w:rPr>
        <w:t xml:space="preserve"> или снижение на </w:t>
      </w:r>
      <w:r w:rsidR="0036365D" w:rsidRPr="005E30D5">
        <w:rPr>
          <w:rFonts w:ascii="Times New Roman" w:hAnsi="Times New Roman" w:cs="Times New Roman"/>
          <w:sz w:val="28"/>
        </w:rPr>
        <w:t>8</w:t>
      </w:r>
      <w:r w:rsidR="00462247" w:rsidRPr="005E30D5">
        <w:rPr>
          <w:rFonts w:ascii="Times New Roman" w:hAnsi="Times New Roman" w:cs="Times New Roman"/>
          <w:sz w:val="28"/>
        </w:rPr>
        <w:t>,4</w:t>
      </w:r>
      <w:r w:rsidR="00BD648D" w:rsidRPr="005E30D5">
        <w:rPr>
          <w:rFonts w:ascii="Times New Roman" w:hAnsi="Times New Roman" w:cs="Times New Roman"/>
          <w:sz w:val="28"/>
        </w:rPr>
        <w:t>%</w:t>
      </w:r>
      <w:r w:rsidRPr="005E30D5">
        <w:rPr>
          <w:rFonts w:ascii="Times New Roman" w:hAnsi="Times New Roman" w:cs="Times New Roman"/>
          <w:sz w:val="28"/>
        </w:rPr>
        <w:t xml:space="preserve"> в сравнении с показа</w:t>
      </w:r>
      <w:r w:rsidR="0099385A" w:rsidRPr="005E30D5">
        <w:rPr>
          <w:rFonts w:ascii="Times New Roman" w:hAnsi="Times New Roman" w:cs="Times New Roman"/>
          <w:sz w:val="28"/>
        </w:rPr>
        <w:t>телями аналогичного периода 2018</w:t>
      </w:r>
      <w:r w:rsidR="00FA75F4" w:rsidRPr="005E30D5">
        <w:rPr>
          <w:rFonts w:ascii="Times New Roman" w:hAnsi="Times New Roman" w:cs="Times New Roman"/>
          <w:sz w:val="28"/>
        </w:rPr>
        <w:t xml:space="preserve"> года.</w:t>
      </w:r>
    </w:p>
    <w:p w:rsidR="001D69AA" w:rsidRPr="005E30D5" w:rsidRDefault="001D69AA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5E30D5" w:rsidRDefault="004A4775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5E30D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3"/>
        <w:gridCol w:w="3230"/>
        <w:gridCol w:w="1003"/>
        <w:gridCol w:w="1148"/>
        <w:gridCol w:w="1003"/>
        <w:gridCol w:w="1148"/>
        <w:gridCol w:w="1134"/>
        <w:gridCol w:w="971"/>
      </w:tblGrid>
      <w:tr w:rsidR="00435F25" w:rsidRPr="005E30D5" w:rsidTr="00BD648D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E30D5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E30D5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E30D5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E30D5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5E30D5" w:rsidRDefault="001D69AA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36365D" w:rsidRPr="005E30D5" w:rsidTr="00BD648D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янв.-окт.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янв.-окт.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кВтч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36365D" w:rsidRPr="005E30D5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Самрук-Энерго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26 226,3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24 022,5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-2 203,8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-8,4%</w:t>
            </w:r>
          </w:p>
        </w:tc>
      </w:tr>
      <w:tr w:rsidR="0036365D" w:rsidRPr="005E30D5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АлЭС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4 518,5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5,2%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4 243,8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-274,7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-6,1%</w:t>
            </w:r>
          </w:p>
        </w:tc>
      </w:tr>
      <w:tr w:rsidR="0036365D" w:rsidRPr="005E30D5" w:rsidTr="00BD648D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16 006,3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14 247,3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-1 759,0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-11,0%</w:t>
            </w:r>
          </w:p>
        </w:tc>
      </w:tr>
      <w:tr w:rsidR="0036365D" w:rsidRPr="005E30D5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4 317,8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4 211,7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-106,1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-2,5%</w:t>
            </w:r>
          </w:p>
        </w:tc>
      </w:tr>
      <w:tr w:rsidR="0036365D" w:rsidRPr="005E30D5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279,2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401,0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121,8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43,6%</w:t>
            </w:r>
          </w:p>
        </w:tc>
      </w:tr>
      <w:tr w:rsidR="0036365D" w:rsidRPr="005E30D5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970,0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794,9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-175,0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-18,0%</w:t>
            </w:r>
          </w:p>
        </w:tc>
      </w:tr>
      <w:tr w:rsidR="0036365D" w:rsidRPr="005E30D5" w:rsidTr="00BD648D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3,6%</w:t>
            </w:r>
          </w:p>
        </w:tc>
      </w:tr>
      <w:tr w:rsidR="0036365D" w:rsidRPr="005E30D5" w:rsidTr="00462247">
        <w:trPr>
          <w:trHeight w:val="488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131,5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0,2%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120,7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-10,7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-8,2%</w:t>
            </w:r>
          </w:p>
        </w:tc>
      </w:tr>
    </w:tbl>
    <w:p w:rsidR="004A4775" w:rsidRPr="005E30D5" w:rsidRDefault="004A4775" w:rsidP="005246F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5E30D5" w:rsidRDefault="004A4775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4" w:name="_Toc516129783"/>
      <w:bookmarkStart w:id="5" w:name="_Toc4766257"/>
      <w:r w:rsidRPr="005E30D5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6" w:name="_Toc516129784"/>
      <w:bookmarkEnd w:id="4"/>
      <w:bookmarkEnd w:id="5"/>
    </w:p>
    <w:p w:rsidR="004A4775" w:rsidRPr="005E30D5" w:rsidRDefault="004A4775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66258"/>
      <w:r w:rsidRPr="005E30D5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6"/>
      <w:bookmarkEnd w:id="7"/>
    </w:p>
    <w:p w:rsidR="0036365D" w:rsidRPr="005E30D5" w:rsidRDefault="0036365D" w:rsidP="0036365D">
      <w:pPr>
        <w:tabs>
          <w:tab w:val="left" w:pos="2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По данным Системного оператора, в январе-октябре 2019 года по республике наблюдался рост в динамике потребления электрической энергии в сравнении с показателями января-октября 2018 года. Так, в северной зоне республики потребление увеличилось на 1%, в южной зоне на 4%, а в западной зоне снизилась на 0,1%. </w:t>
      </w:r>
    </w:p>
    <w:p w:rsidR="00070D22" w:rsidRPr="005E30D5" w:rsidRDefault="002A37CB" w:rsidP="00462247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i/>
          <w:sz w:val="24"/>
        </w:rPr>
      </w:pPr>
      <w:r w:rsidRPr="005E30D5">
        <w:rPr>
          <w:rFonts w:ascii="Times New Roman" w:hAnsi="Times New Roman" w:cs="Times New Roman"/>
          <w:sz w:val="28"/>
        </w:rPr>
        <w:t xml:space="preserve"> </w:t>
      </w:r>
      <w:r w:rsidR="00070D22" w:rsidRPr="005E30D5">
        <w:rPr>
          <w:rFonts w:ascii="Times New Roman" w:hAnsi="Times New Roman" w:cs="Times New Roman"/>
          <w:i/>
          <w:sz w:val="24"/>
        </w:rPr>
        <w:t xml:space="preserve">млн. </w:t>
      </w:r>
      <w:proofErr w:type="spellStart"/>
      <w:r w:rsidR="00070D22" w:rsidRPr="005E30D5">
        <w:rPr>
          <w:rFonts w:ascii="Times New Roman" w:hAnsi="Times New Roman" w:cs="Times New Roman"/>
          <w:i/>
          <w:sz w:val="24"/>
        </w:rPr>
        <w:t>кВтч</w:t>
      </w:r>
      <w:proofErr w:type="spellEnd"/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843"/>
        <w:gridCol w:w="1701"/>
        <w:gridCol w:w="1559"/>
        <w:gridCol w:w="1135"/>
      </w:tblGrid>
      <w:tr w:rsidR="0036365D" w:rsidRPr="005E30D5" w:rsidTr="00595D7F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янв.-окт.</w:t>
            </w:r>
          </w:p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янв.-окт.</w:t>
            </w:r>
          </w:p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2019г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млн.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83 946,1</w:t>
            </w:r>
          </w:p>
        </w:tc>
        <w:tc>
          <w:tcPr>
            <w:tcW w:w="1701" w:type="dxa"/>
            <w:shd w:val="clear" w:color="auto" w:fill="17365D" w:themeFill="text2" w:themeFillShade="BF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559" w:type="dxa"/>
            <w:shd w:val="clear" w:color="auto" w:fill="17365D" w:themeFill="text2" w:themeFillShade="BF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1409,9</w:t>
            </w:r>
          </w:p>
        </w:tc>
        <w:tc>
          <w:tcPr>
            <w:tcW w:w="1135" w:type="dxa"/>
            <w:shd w:val="clear" w:color="auto" w:fill="17365D" w:themeFill="text2" w:themeFillShade="BF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55 329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093,9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10 982,2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967,3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-14,9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17 634,9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36365D" w:rsidRPr="005E30D5" w:rsidTr="003A5751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 по областям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7 342,1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14 221,3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Акмолинская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7 309,1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343,4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1 435,7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3 897,2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15 987,6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Атырауская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5 043,3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Мангистауская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4 308,8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5 135,9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Западно-Казахстанская</w:t>
            </w:r>
            <w:proofErr w:type="gram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1 630,1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-18,9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093,8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4 019,2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Жамбылская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3 467,1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169,1</w:t>
            </w:r>
          </w:p>
        </w:tc>
        <w:tc>
          <w:tcPr>
            <w:tcW w:w="1135" w:type="dxa"/>
            <w:shd w:val="clear" w:color="auto" w:fill="FFFFFF" w:themeFill="background1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36365D" w:rsidRPr="005E30D5" w:rsidTr="00306C42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36365D" w:rsidRPr="005E30D5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Кызылординская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6365D" w:rsidRPr="005E30D5" w:rsidRDefault="0036365D" w:rsidP="0036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C6011E" w:rsidRPr="005E30D5" w:rsidRDefault="00C6011E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6365D" w:rsidRPr="005E30D5" w:rsidRDefault="0036365D" w:rsidP="0036365D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510196468"/>
      <w:r w:rsidRPr="005E30D5">
        <w:rPr>
          <w:rFonts w:ascii="Times New Roman" w:hAnsi="Times New Roman" w:cs="Times New Roman"/>
          <w:b/>
          <w:color w:val="auto"/>
          <w:sz w:val="28"/>
        </w:rPr>
        <w:t>Итоги работы промышленности за 10 месяцев 2019 года</w:t>
      </w:r>
      <w:bookmarkEnd w:id="8"/>
      <w:r w:rsidRPr="005E30D5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36365D" w:rsidRPr="005E30D5" w:rsidRDefault="0036365D" w:rsidP="0036365D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5E30D5">
        <w:rPr>
          <w:i/>
          <w:szCs w:val="22"/>
        </w:rPr>
        <w:t>(экспресс-информация Комитета по статистике МНЭ РК)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январе-октябре 2019г. по сравнению с январем-октябрем 2018г. индекс промышленного производства составил 103,5%. Увеличение объемов производства зафиксировано в 14 регионах республики, снижение наблюдалось 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и </w:t>
      </w:r>
      <w:proofErr w:type="gram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.</w:t>
      </w:r>
    </w:p>
    <w:p w:rsidR="00FA75F4" w:rsidRPr="005E30D5" w:rsidRDefault="00FA75F4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F063C2" w:rsidRPr="005E30D5" w:rsidRDefault="00F063C2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E30D5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F063C2" w:rsidRPr="005E30D5" w:rsidRDefault="00F063C2" w:rsidP="005246FD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5E30D5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F063C2" w:rsidRPr="005E30D5" w:rsidRDefault="0036365D" w:rsidP="005246FD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5E30D5">
        <w:rPr>
          <w:rFonts w:ascii="Times New Roman" w:hAnsi="Times New Roman"/>
          <w:noProof/>
        </w:rPr>
        <w:drawing>
          <wp:inline distT="0" distB="0" distL="0" distR="0" wp14:anchorId="5D5ACAAA" wp14:editId="7F1DB392">
            <wp:extent cx="5238115" cy="25901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15" cy="259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г.Шымкент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возросло производство хлопкового масла, ковров, бензина, керосина, топочного мазута, дизельного топлива, сжиженного пропана и бутана (116,3%).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  <w:t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(110,3%).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г.Нур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-Султан возросло производство безалкогольных напитков, труб из пластмасс,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преформ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, аффинированного золота и железнодорожных локомотивов (111,6%).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Костанайской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(115,3%).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г.Алматы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увеличилось производство обработанного молока, пива, лекарств, нелегированной стали и рафинированной меди (105,1%).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Северо-Казахстанской области возросла добыча урановых руд, увеличилось производство нерафинированного рапсового и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льнянного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масла, обработанного молока, муки и электроэнергии (101,1%).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Акмолинской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золотосодержащих руд и концентратов, увеличилось производство золота в сплаве Доре, шариковых и роликовых подшипников (103%).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(105,8%).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Туркестанской области возросло производство виноградного сусла, обработанного хлопка и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нефтянного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битума (106%).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Алматинской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увеличилось производство кондитерских изделий и шоколада, безалкогольных напитков, лекарств и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гипсокартона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(104,5%).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Жамбылской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возросла добыча медных руд и дробленного фосфатного сырья, увеличилось производство дизельного топлива и фосфора (106,5%).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Мангистауской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100,2%.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Карагандинской области за счет уменьшения производства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передельного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чугуна, нелегированной стали, плоского проката, оцинкованного проката и изолированного провода индекс промышленного производства составил 100,4%.</w:t>
      </w: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В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Атырауской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уменьшения добычи сырой нефти индекс промышленного производства составил 105,3%.</w:t>
      </w:r>
    </w:p>
    <w:p w:rsidR="0036365D" w:rsidRPr="005E30D5" w:rsidRDefault="0036365D" w:rsidP="0036365D">
      <w:pPr>
        <w:pStyle w:val="OsnTxt"/>
        <w:tabs>
          <w:tab w:val="left" w:pos="1134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gram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Западно-Казахстанской</w:t>
      </w:r>
      <w:proofErr w:type="gram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из-за снижения добычи газового конденсата индекс промышленного производства составил 92,4%.</w:t>
      </w:r>
    </w:p>
    <w:p w:rsidR="0036365D" w:rsidRPr="005E30D5" w:rsidRDefault="0036365D" w:rsidP="0036365D">
      <w:pPr>
        <w:pStyle w:val="OsnTxt"/>
        <w:tabs>
          <w:tab w:val="left" w:pos="1134"/>
        </w:tabs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руд и концентратов, возросло производство феррохрома (101,</w:t>
      </w:r>
      <w:proofErr w:type="gram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8)%</w:t>
      </w:r>
      <w:proofErr w:type="gram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.</w:t>
      </w:r>
    </w:p>
    <w:p w:rsidR="0036365D" w:rsidRPr="005E30D5" w:rsidRDefault="0036365D" w:rsidP="0036365D">
      <w:pPr>
        <w:pStyle w:val="OsnTxt"/>
        <w:tabs>
          <w:tab w:val="left" w:pos="1134"/>
        </w:tabs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ab/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Кызылординской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области за счет снижения добычи сырой нефти индекс промышленного производства составил 90,2%.</w:t>
      </w:r>
    </w:p>
    <w:p w:rsidR="00070D22" w:rsidRPr="005E30D5" w:rsidRDefault="00F063C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5E30D5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5E30D5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5E30D5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5E30D5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5E30D5" w:rsidRDefault="00BC7CB8" w:rsidP="005246FD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5E30D5" w:rsidRDefault="00070D2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510196469"/>
      <w:bookmarkStart w:id="10" w:name="_Toc2249075"/>
      <w:bookmarkStart w:id="11" w:name="_Toc4766261"/>
      <w:r w:rsidRPr="005E30D5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9"/>
    </w:p>
    <w:p w:rsidR="00070D22" w:rsidRPr="005E30D5" w:rsidRDefault="00070D22" w:rsidP="005246F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36365D" w:rsidRPr="005E30D5" w:rsidRDefault="0036365D" w:rsidP="0036365D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За январь-октябрь 2019 года по отношению к аналогичному периоду 2018 года наблюдался рост потребления электроэнергии по всем крупным потребителям, за исключением АО «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Арселор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Миттал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Темиртау», РГП «Канал им. 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Сатпаева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», ТОО «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Таразский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 Металлургический завод» и ТОО «</w:t>
      </w:r>
      <w:proofErr w:type="spellStart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>ТемиржолЭнерго</w:t>
      </w:r>
      <w:proofErr w:type="spellEnd"/>
      <w:r w:rsidRPr="005E30D5">
        <w:rPr>
          <w:rFonts w:ascii="Times New Roman" w:eastAsiaTheme="minorHAnsi" w:hAnsi="Times New Roman"/>
          <w:sz w:val="28"/>
          <w:szCs w:val="22"/>
          <w:lang w:eastAsia="en-US"/>
        </w:rPr>
        <w:t xml:space="preserve">». </w:t>
      </w:r>
    </w:p>
    <w:p w:rsidR="00070D22" w:rsidRPr="005E30D5" w:rsidRDefault="00070D22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5E30D5">
        <w:rPr>
          <w:rFonts w:ascii="Times New Roman" w:hAnsi="Times New Roman" w:cs="Times New Roman"/>
          <w:i/>
          <w:sz w:val="24"/>
          <w:szCs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i/>
          <w:sz w:val="24"/>
          <w:szCs w:val="24"/>
        </w:rPr>
        <w:t>кВтч</w:t>
      </w:r>
      <w:proofErr w:type="spellEnd"/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36365D" w:rsidRPr="005E30D5" w:rsidTr="0036365D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10"/>
          <w:bookmarkEnd w:id="11"/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Январь-октябрь</w:t>
            </w:r>
          </w:p>
        </w:tc>
      </w:tr>
      <w:tr w:rsidR="0036365D" w:rsidRPr="005E30D5" w:rsidTr="0036365D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Темиртау»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3 362,3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3 052,4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-9%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АЗФ (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Аксуйский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) «ТНК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4 640,2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4 695,9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Kazakhmys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Smelting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824,9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977,1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2 252,1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2 368,7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Соколовско-Сарбайское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ГПО»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1 491,1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1 499,2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Казахмыс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352,7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1 015,9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188%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АО АЗФ (Актюбинский) «ТНК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Казхром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2 553,1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2 641,3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РГП «Канал им.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Сатпаева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179,7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-17%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1 675,3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1 832,4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АО «НДФЗ» (входит в структуру ТОО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Казфосфат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1 434,9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1 606,7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Таразский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Металлургический завод»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137,7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-35%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Усть-Каменогорский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титано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-магниевый</w:t>
            </w:r>
            <w:proofErr w:type="gram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538,9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717,1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1 523,2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1 575,0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786,3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3 058,6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3 120,5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ТемиржолЭнерго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2 057,1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1 297,4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56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4 085,8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4 232,4 </w:t>
            </w:r>
          </w:p>
        </w:tc>
        <w:tc>
          <w:tcPr>
            <w:tcW w:w="1087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36365D" w:rsidRPr="005E30D5" w:rsidTr="0036365D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30 293,5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30 128,9</w:t>
            </w:r>
          </w:p>
        </w:tc>
        <w:tc>
          <w:tcPr>
            <w:tcW w:w="1087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-0,54%</w:t>
            </w:r>
          </w:p>
        </w:tc>
      </w:tr>
    </w:tbl>
    <w:p w:rsidR="00E56657" w:rsidRPr="005E30D5" w:rsidRDefault="00E56657" w:rsidP="005246FD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5E30D5" w:rsidRDefault="00A32670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2" w:name="_Toc4766262"/>
      <w:r w:rsidRPr="005E30D5">
        <w:rPr>
          <w:rFonts w:ascii="Times New Roman" w:hAnsi="Times New Roman" w:cs="Times New Roman"/>
          <w:b/>
          <w:color w:val="auto"/>
        </w:rPr>
        <w:t>Уголь</w:t>
      </w:r>
      <w:bookmarkEnd w:id="12"/>
    </w:p>
    <w:p w:rsidR="00BC7CB8" w:rsidRPr="005E30D5" w:rsidRDefault="00BC7CB8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5E30D5" w:rsidRDefault="00E23C2C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3" w:name="_Toc4766263"/>
      <w:r w:rsidRPr="005E30D5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5E30D5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5E30D5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5E30D5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5E30D5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3"/>
    </w:p>
    <w:p w:rsidR="0036365D" w:rsidRPr="005E30D5" w:rsidRDefault="0036365D" w:rsidP="003636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январь-октябрь 2019 года добыто 89,1 млн. тонн каменного угля, что на 3% меньше, чем за аналогичный период 2018 года (91,7 млн. тонн).</w:t>
      </w:r>
    </w:p>
    <w:p w:rsidR="00070D22" w:rsidRPr="005E30D5" w:rsidRDefault="00070D22" w:rsidP="005246FD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i/>
          <w:sz w:val="28"/>
        </w:rPr>
      </w:pPr>
      <w:r w:rsidRPr="005E30D5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36365D" w:rsidRPr="005E30D5" w:rsidTr="00F063C2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Toc510196473"/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Январь-октябрь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</w:tr>
      <w:tr w:rsidR="0036365D" w:rsidRPr="005E30D5" w:rsidTr="00F063C2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36365D" w:rsidRPr="005E30D5" w:rsidRDefault="0036365D" w:rsidP="00363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36365D" w:rsidRPr="005E30D5" w:rsidRDefault="0036365D" w:rsidP="003636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D" w:rsidRPr="005E30D5" w:rsidTr="0036365D">
        <w:trPr>
          <w:trHeight w:val="333"/>
        </w:trPr>
        <w:tc>
          <w:tcPr>
            <w:tcW w:w="56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56 822,5</w:t>
            </w:r>
          </w:p>
        </w:tc>
        <w:tc>
          <w:tcPr>
            <w:tcW w:w="1938" w:type="dxa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54 938,6</w:t>
            </w:r>
          </w:p>
        </w:tc>
        <w:tc>
          <w:tcPr>
            <w:tcW w:w="1938" w:type="dxa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56 822,5</w:t>
            </w:r>
          </w:p>
        </w:tc>
      </w:tr>
      <w:tr w:rsidR="0036365D" w:rsidRPr="005E30D5" w:rsidTr="0036365D">
        <w:trPr>
          <w:trHeight w:val="333"/>
        </w:trPr>
        <w:tc>
          <w:tcPr>
            <w:tcW w:w="56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28 273,4</w:t>
            </w:r>
          </w:p>
        </w:tc>
        <w:tc>
          <w:tcPr>
            <w:tcW w:w="1938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27 521,0</w:t>
            </w:r>
          </w:p>
        </w:tc>
        <w:tc>
          <w:tcPr>
            <w:tcW w:w="1938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28 273,4</w:t>
            </w:r>
          </w:p>
        </w:tc>
      </w:tr>
      <w:tr w:rsidR="0036365D" w:rsidRPr="005E30D5" w:rsidTr="0036365D">
        <w:trPr>
          <w:trHeight w:val="333"/>
        </w:trPr>
        <w:tc>
          <w:tcPr>
            <w:tcW w:w="56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6 485,5</w:t>
            </w:r>
          </w:p>
        </w:tc>
        <w:tc>
          <w:tcPr>
            <w:tcW w:w="1938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6 325,7</w:t>
            </w:r>
          </w:p>
        </w:tc>
        <w:tc>
          <w:tcPr>
            <w:tcW w:w="1938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6 485,5</w:t>
            </w:r>
          </w:p>
        </w:tc>
      </w:tr>
      <w:tr w:rsidR="0036365D" w:rsidRPr="005E30D5" w:rsidTr="0036365D">
        <w:trPr>
          <w:trHeight w:val="333"/>
        </w:trPr>
        <w:tc>
          <w:tcPr>
            <w:tcW w:w="566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  91 661,9</w:t>
            </w:r>
          </w:p>
        </w:tc>
        <w:tc>
          <w:tcPr>
            <w:tcW w:w="1938" w:type="dxa"/>
            <w:vAlign w:val="center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89 071,8</w:t>
            </w:r>
          </w:p>
        </w:tc>
        <w:tc>
          <w:tcPr>
            <w:tcW w:w="1938" w:type="dxa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  91 661,9</w:t>
            </w:r>
          </w:p>
        </w:tc>
      </w:tr>
    </w:tbl>
    <w:p w:rsidR="00070D22" w:rsidRPr="005E30D5" w:rsidRDefault="00070D22" w:rsidP="005246FD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bookmarkEnd w:id="14"/>
    <w:p w:rsidR="00F063C2" w:rsidRPr="005E30D5" w:rsidRDefault="00F063C2" w:rsidP="005246F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5E30D5">
        <w:rPr>
          <w:rFonts w:ascii="Times New Roman" w:hAnsi="Times New Roman" w:cs="Times New Roman"/>
          <w:i/>
          <w:color w:val="auto"/>
          <w:sz w:val="28"/>
        </w:rPr>
        <w:t>Добыча угля АО «</w:t>
      </w:r>
      <w:proofErr w:type="spellStart"/>
      <w:r w:rsidRPr="005E30D5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5E30D5">
        <w:rPr>
          <w:rFonts w:ascii="Times New Roman" w:hAnsi="Times New Roman" w:cs="Times New Roman"/>
          <w:i/>
          <w:color w:val="auto"/>
          <w:sz w:val="28"/>
        </w:rPr>
        <w:t>»</w:t>
      </w:r>
    </w:p>
    <w:p w:rsidR="0036365D" w:rsidRPr="005E30D5" w:rsidRDefault="0036365D" w:rsidP="003636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В январе-октябре 2019 года ТОО «Богатырь Комир» добыто 36 233 тыс. тонн, что на 1% меньше, чем за соответствующий период 2018 года (36 598 тыс. тонн).</w:t>
      </w:r>
    </w:p>
    <w:p w:rsidR="0036365D" w:rsidRPr="005E30D5" w:rsidRDefault="0036365D" w:rsidP="0036365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6365D" w:rsidRPr="005E30D5" w:rsidRDefault="0036365D" w:rsidP="0036365D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5" w:name="_Toc510196474"/>
      <w:r w:rsidRPr="005E30D5">
        <w:rPr>
          <w:rFonts w:ascii="Times New Roman" w:hAnsi="Times New Roman" w:cs="Times New Roman"/>
          <w:i/>
          <w:color w:val="auto"/>
          <w:sz w:val="28"/>
        </w:rPr>
        <w:t>Реализация угля АО «</w:t>
      </w:r>
      <w:proofErr w:type="spellStart"/>
      <w:r w:rsidRPr="005E30D5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proofErr w:type="spellEnd"/>
      <w:r w:rsidRPr="005E30D5">
        <w:rPr>
          <w:rFonts w:ascii="Times New Roman" w:hAnsi="Times New Roman" w:cs="Times New Roman"/>
          <w:i/>
          <w:color w:val="auto"/>
          <w:sz w:val="28"/>
        </w:rPr>
        <w:t>»</w:t>
      </w:r>
      <w:bookmarkEnd w:id="15"/>
    </w:p>
    <w:p w:rsidR="0036365D" w:rsidRPr="005E30D5" w:rsidRDefault="0036365D" w:rsidP="003636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 xml:space="preserve">В январе-октябре 2019 года реализовано 36 227 тыс. тонн, в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>.:</w:t>
      </w:r>
    </w:p>
    <w:p w:rsidR="0036365D" w:rsidRPr="005E30D5" w:rsidRDefault="0036365D" w:rsidP="003636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- на внутренний рынок РК 27 124 тыс. тонн, что на 5,9% меньше, чем за соответствующий период 2018 года (28 815 тыс. тонн);</w:t>
      </w:r>
    </w:p>
    <w:p w:rsidR="0036365D" w:rsidRPr="005E30D5" w:rsidRDefault="0036365D" w:rsidP="003636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- на экспорт (РФ) – 9 103 млн. тонн, что на 14,8% больше, чем за соответствующий период 2018 года (7 928 тыс. тонн).</w:t>
      </w:r>
    </w:p>
    <w:p w:rsidR="00B34E61" w:rsidRPr="005E30D5" w:rsidRDefault="00B34E61" w:rsidP="005246FD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E30D5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5E30D5" w:rsidTr="006F33F9">
        <w:trPr>
          <w:trHeight w:val="40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5E30D5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5E30D5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5E30D5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5E30D5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5E30D5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5E30D5" w:rsidRDefault="0096380C" w:rsidP="005246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E35C6A" w:rsidRPr="005E30D5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E35C6A" w:rsidRPr="005E30D5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E35C6A" w:rsidRPr="005E30D5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E35C6A" w:rsidRPr="005E30D5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36365D"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</w:t>
            </w: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E35C6A" w:rsidRPr="005E30D5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январь-</w:t>
            </w:r>
            <w:r w:rsidR="0036365D"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октябрь</w:t>
            </w: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E35C6A" w:rsidRPr="005E30D5" w:rsidRDefault="00E35C6A" w:rsidP="00E35C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5D" w:rsidRPr="005E30D5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28 815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27 124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94,1%</w:t>
            </w:r>
          </w:p>
        </w:tc>
      </w:tr>
      <w:tr w:rsidR="0036365D" w:rsidRPr="005E30D5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36365D" w:rsidRPr="005E30D5" w:rsidRDefault="0036365D" w:rsidP="0036365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7 928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9 103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6365D" w:rsidRPr="005E30D5" w:rsidRDefault="0036365D" w:rsidP="003636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114,8%</w:t>
            </w:r>
          </w:p>
        </w:tc>
      </w:tr>
    </w:tbl>
    <w:p w:rsidR="003F0FFA" w:rsidRPr="005E30D5" w:rsidRDefault="003F0FFA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65D" w:rsidRPr="005E30D5" w:rsidRDefault="0036365D" w:rsidP="0036365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 xml:space="preserve">По показателям за январь-октябрь 2019 года по сравнению с аналогичным периодом 2018 года в Обществе наблюдается снижение добычи (-1%) и снижение реализации угля (-1,4%). </w:t>
      </w:r>
    </w:p>
    <w:p w:rsidR="003A5751" w:rsidRPr="005E30D5" w:rsidRDefault="003A5751" w:rsidP="005246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5E30D5" w:rsidRDefault="006C42DB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6" w:name="_Toc503289885"/>
      <w:bookmarkStart w:id="17" w:name="_Toc4766266"/>
      <w:r w:rsidRPr="005E30D5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6"/>
      <w:bookmarkEnd w:id="17"/>
    </w:p>
    <w:p w:rsidR="00AE6952" w:rsidRPr="005E30D5" w:rsidRDefault="00AE6952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B7D8C" w:rsidRPr="005E30D5" w:rsidRDefault="00DB7D8C" w:rsidP="00DB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Объем производства электроэнергии объектами по использованию ВИЭ (СЭС, ВЭС, БГС, малые ГЭС) за 10 месяцев 2019 года составил 1 621,7 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. В сравнении с показателями 2018 года (1 157,1 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>) прирост составил 40,2%.</w:t>
      </w:r>
    </w:p>
    <w:p w:rsidR="002A37CB" w:rsidRPr="005E30D5" w:rsidRDefault="002A37CB" w:rsidP="005246F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5E30D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58"/>
        <w:gridCol w:w="3110"/>
        <w:gridCol w:w="1196"/>
        <w:gridCol w:w="986"/>
        <w:gridCol w:w="1196"/>
        <w:gridCol w:w="996"/>
        <w:gridCol w:w="1041"/>
        <w:gridCol w:w="956"/>
      </w:tblGrid>
      <w:tr w:rsidR="002A37CB" w:rsidRPr="005E30D5" w:rsidTr="00E35C6A">
        <w:trPr>
          <w:trHeight w:val="2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2019/2018гг,</w:t>
            </w:r>
          </w:p>
        </w:tc>
      </w:tr>
      <w:tr w:rsidR="003C2325" w:rsidRPr="005E30D5" w:rsidTr="00E35C6A">
        <w:trPr>
          <w:trHeight w:val="57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5E30D5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Всего выработка в РК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87542,7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85907,3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-1635,4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-1,9%</w:t>
            </w:r>
          </w:p>
        </w:tc>
      </w:tr>
      <w:tr w:rsidR="003C2325" w:rsidRPr="005E30D5" w:rsidTr="00E35C6A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зонам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1157,1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1621,7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464,6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40,2%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Северная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280,2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24,2%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473,1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29,2%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192,9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68,8%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Южная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874,5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75,6%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949,6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58,6%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75,1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8,6%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Западная зона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12,3%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196,6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  <w:tr w:rsidR="003C2325" w:rsidRPr="005E30D5" w:rsidTr="00E35C6A">
        <w:trPr>
          <w:trHeight w:val="28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II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Всего ВИЭ в РК, в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т.ч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. по типам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1157,1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1621,7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464,6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40,2%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СЭС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124,5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10,8%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354,8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21,9%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230,3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185,0%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2.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ВЭС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319,1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27,6%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551,0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34,0%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231,9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72,7%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3.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Малые ГЭС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712,7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61,6%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713,3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44,0%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</w:tr>
      <w:tr w:rsidR="003C2325" w:rsidRPr="005E30D5" w:rsidTr="00E35C6A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325" w:rsidRPr="005E30D5" w:rsidRDefault="003C2325" w:rsidP="003C2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</w:pPr>
            <w:proofErr w:type="spellStart"/>
            <w:r w:rsidRPr="005E30D5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>БиоГазовыеУстановки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1,8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2325" w:rsidRPr="005E30D5" w:rsidRDefault="003C2325" w:rsidP="003C23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0,0%</w:t>
            </w:r>
          </w:p>
        </w:tc>
      </w:tr>
    </w:tbl>
    <w:p w:rsidR="002A37CB" w:rsidRPr="005E30D5" w:rsidRDefault="002A37CB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B7D8C" w:rsidRPr="005E30D5" w:rsidRDefault="00DB7D8C" w:rsidP="00DB7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9A2788" w:rsidRPr="005E30D5" w:rsidRDefault="009A2788" w:rsidP="005246FD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5E30D5" w:rsidRDefault="006C42DB" w:rsidP="005246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5E30D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623"/>
        <w:gridCol w:w="1114"/>
        <w:gridCol w:w="1047"/>
        <w:gridCol w:w="1114"/>
        <w:gridCol w:w="785"/>
        <w:gridCol w:w="1135"/>
        <w:gridCol w:w="1028"/>
      </w:tblGrid>
      <w:tr w:rsidR="002A37CB" w:rsidRPr="005E30D5" w:rsidTr="000340C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7CB" w:rsidRPr="005E30D5" w:rsidRDefault="002A37CB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0B0233" w:rsidRPr="005E30D5" w:rsidTr="000340C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5E30D5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0B0233" w:rsidRPr="005E30D5" w:rsidTr="000340C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E30D5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87542,7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76734,2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-10808,5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-12,3%</w:t>
            </w:r>
          </w:p>
        </w:tc>
      </w:tr>
      <w:tr w:rsidR="000B0233" w:rsidRPr="005E30D5" w:rsidTr="000340CD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0D5">
              <w:rPr>
                <w:rFonts w:ascii="Times New Roman" w:hAnsi="Times New Roman" w:cs="Times New Roman"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9350,1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10,7%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8457,1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11,0%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-893,0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-9,6%</w:t>
            </w:r>
          </w:p>
        </w:tc>
      </w:tr>
      <w:tr w:rsidR="000B0233" w:rsidRPr="005E30D5" w:rsidTr="000340CD">
        <w:trPr>
          <w:trHeight w:val="70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0D5">
              <w:rPr>
                <w:rFonts w:ascii="Times New Roman" w:hAnsi="Times New Roman" w:cs="Times New Roman"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1157,1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1621,7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464,6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40,2%</w:t>
            </w:r>
          </w:p>
        </w:tc>
      </w:tr>
    </w:tbl>
    <w:p w:rsidR="00070D22" w:rsidRPr="005E30D5" w:rsidRDefault="00070D22" w:rsidP="005246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6ABA" w:rsidRPr="005E30D5" w:rsidRDefault="003C6ABA" w:rsidP="003C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>Выработка электроэнергии объектами ВИЭ АО «</w:t>
      </w:r>
      <w:proofErr w:type="spellStart"/>
      <w:r w:rsidRPr="005E30D5">
        <w:rPr>
          <w:rFonts w:ascii="Times New Roman" w:hAnsi="Times New Roman" w:cs="Times New Roman"/>
          <w:sz w:val="28"/>
        </w:rPr>
        <w:t>Самрук-Энерго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» (СЭС, ВЭС, малые ГЭС) за 10 месяцев 2019 года </w:t>
      </w:r>
      <w:r w:rsidRPr="005E30D5">
        <w:rPr>
          <w:rFonts w:ascii="Times New Roman" w:hAnsi="Times New Roman" w:cs="Times New Roman"/>
          <w:sz w:val="28"/>
          <w:szCs w:val="28"/>
        </w:rPr>
        <w:t xml:space="preserve">составила 294,3 </w:t>
      </w:r>
      <w:r w:rsidRPr="005E30D5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 или 18,1% от общего объема вырабатываемой объектами ВИЭ электроэнергии, что по сравнению с аналогичным периодом 2018 года ниже на 4,1</w:t>
      </w:r>
      <w:r w:rsidRPr="005E30D5">
        <w:rPr>
          <w:rFonts w:ascii="Times New Roman" w:hAnsi="Times New Roman" w:cs="Times New Roman"/>
          <w:sz w:val="28"/>
          <w:szCs w:val="28"/>
        </w:rPr>
        <w:t>%</w:t>
      </w:r>
      <w:r w:rsidRPr="005E30D5">
        <w:rPr>
          <w:rFonts w:ascii="Times New Roman" w:hAnsi="Times New Roman" w:cs="Times New Roman"/>
          <w:sz w:val="28"/>
        </w:rPr>
        <w:t xml:space="preserve"> (за 10 месяцев 2018г. выработка ВИЭ </w:t>
      </w:r>
      <w:r w:rsidRPr="005E30D5">
        <w:rPr>
          <w:rFonts w:ascii="Times New Roman" w:hAnsi="Times New Roman" w:cs="Times New Roman"/>
          <w:sz w:val="28"/>
          <w:szCs w:val="28"/>
        </w:rPr>
        <w:t>Общества составила 306,7</w:t>
      </w:r>
      <w:r w:rsidRPr="005E30D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5E30D5">
        <w:rPr>
          <w:rFonts w:ascii="Times New Roman" w:hAnsi="Times New Roman" w:cs="Times New Roman"/>
          <w:sz w:val="28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>, а доля ВИЭ Общества 27,5%).</w:t>
      </w:r>
    </w:p>
    <w:p w:rsidR="003C6ABA" w:rsidRPr="005E30D5" w:rsidRDefault="003C6ABA" w:rsidP="003C6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Доля Общества в производстве «чистой» электроэнергии (СЭС, ВЭС, малые и крупные ГЭС) за 10 месяцев 2019г. уменьшилась на 2,1% (2 514,5 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) в сравнении с аналогичным периодом 2018г. (2 569 млн. </w:t>
      </w:r>
      <w:proofErr w:type="spellStart"/>
      <w:r w:rsidRPr="005E30D5">
        <w:rPr>
          <w:rFonts w:ascii="Times New Roman" w:hAnsi="Times New Roman" w:cs="Times New Roman"/>
          <w:sz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</w:rPr>
        <w:t>).</w:t>
      </w:r>
    </w:p>
    <w:p w:rsidR="006C42DB" w:rsidRPr="005E30D5" w:rsidRDefault="006C42DB" w:rsidP="005246F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E30D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691"/>
        <w:gridCol w:w="1114"/>
        <w:gridCol w:w="961"/>
        <w:gridCol w:w="1114"/>
        <w:gridCol w:w="950"/>
        <w:gridCol w:w="960"/>
        <w:gridCol w:w="888"/>
      </w:tblGrid>
      <w:tr w:rsidR="00F063C2" w:rsidRPr="005E30D5" w:rsidTr="00B022D7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E30D5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E30D5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E30D5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E30D5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5E30D5" w:rsidRDefault="00F063C2" w:rsidP="0052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0B0233" w:rsidRPr="005E30D5" w:rsidTr="008306E6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январь-октябрь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 xml:space="preserve"> млн. </w:t>
            </w:r>
            <w:proofErr w:type="spellStart"/>
            <w:r w:rsidRPr="005E30D5">
              <w:rPr>
                <w:rFonts w:ascii="Times New Roman" w:hAnsi="Times New Roman" w:cs="Times New Roman"/>
                <w:b/>
                <w:bCs/>
              </w:rPr>
              <w:t>кВтч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233" w:rsidRPr="005E30D5" w:rsidRDefault="000B0233" w:rsidP="000B0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30D5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C6ABA" w:rsidRPr="005E30D5" w:rsidTr="00B022D7">
        <w:trPr>
          <w:trHeight w:val="75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0D5">
              <w:rPr>
                <w:rFonts w:ascii="Times New Roman" w:hAnsi="Times New Roman" w:cs="Times New Roman"/>
              </w:rPr>
              <w:t>Производство</w:t>
            </w:r>
            <w:r w:rsidRPr="005E30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E30D5">
              <w:rPr>
                <w:rFonts w:ascii="Times New Roman" w:hAnsi="Times New Roman" w:cs="Times New Roman"/>
              </w:rPr>
              <w:t>АО «</w:t>
            </w:r>
            <w:proofErr w:type="spellStart"/>
            <w:r w:rsidRPr="005E30D5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5E30D5">
              <w:rPr>
                <w:rFonts w:ascii="Times New Roman" w:hAnsi="Times New Roman" w:cs="Times New Roman"/>
              </w:rPr>
              <w:t>» «чистой» электроэнергии (СЭС, ВЭС, малые и крупные ГЭС)</w:t>
            </w:r>
            <w:r w:rsidRPr="005E30D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2569,0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2514,5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-54,5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-2,1%</w:t>
            </w:r>
          </w:p>
        </w:tc>
      </w:tr>
      <w:tr w:rsidR="003C6ABA" w:rsidRPr="005E30D5" w:rsidTr="00B022D7">
        <w:trPr>
          <w:trHeight w:val="679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0D5">
              <w:rPr>
                <w:rFonts w:ascii="Times New Roman" w:hAnsi="Times New Roman" w:cs="Times New Roman"/>
              </w:rPr>
              <w:t>Производство АО «</w:t>
            </w:r>
            <w:proofErr w:type="spellStart"/>
            <w:r w:rsidRPr="005E30D5">
              <w:rPr>
                <w:rFonts w:ascii="Times New Roman" w:hAnsi="Times New Roman" w:cs="Times New Roman"/>
              </w:rPr>
              <w:t>Самрук-Энерго</w:t>
            </w:r>
            <w:proofErr w:type="spellEnd"/>
            <w:r w:rsidRPr="005E30D5">
              <w:rPr>
                <w:rFonts w:ascii="Times New Roman" w:hAnsi="Times New Roman" w:cs="Times New Roman"/>
              </w:rPr>
              <w:t xml:space="preserve">» «чистой» электроэнергии (СЭС, ВЭС и малые ГЭС), в </w:t>
            </w:r>
            <w:proofErr w:type="spellStart"/>
            <w:r w:rsidRPr="005E30D5">
              <w:rPr>
                <w:rFonts w:ascii="Times New Roman" w:hAnsi="Times New Roman" w:cs="Times New Roman"/>
              </w:rPr>
              <w:t>т.ч</w:t>
            </w:r>
            <w:proofErr w:type="spellEnd"/>
            <w:r w:rsidRPr="005E30D5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306,7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26,5%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E30D5">
              <w:rPr>
                <w:rFonts w:ascii="Times New Roman" w:hAnsi="Times New Roman" w:cs="Times New Roman"/>
              </w:rPr>
              <w:t>294,</w:t>
            </w:r>
            <w:r w:rsidRPr="005E30D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18,1%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-12,5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30D5">
              <w:rPr>
                <w:rFonts w:ascii="Times New Roman" w:hAnsi="Times New Roman" w:cs="Times New Roman"/>
              </w:rPr>
              <w:t>-4,1%</w:t>
            </w:r>
          </w:p>
        </w:tc>
      </w:tr>
      <w:tr w:rsidR="003C6ABA" w:rsidRPr="005E30D5" w:rsidTr="00B022D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30D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Каскад малых ГЭС АО «</w:t>
            </w:r>
            <w:proofErr w:type="spellStart"/>
            <w:r w:rsidRPr="005E30D5">
              <w:rPr>
                <w:rFonts w:ascii="Times New Roman" w:hAnsi="Times New Roman" w:cs="Times New Roman"/>
                <w:i/>
                <w:iCs/>
                <w:color w:val="000000"/>
              </w:rPr>
              <w:t>АлЭС</w:t>
            </w:r>
            <w:proofErr w:type="spellEnd"/>
            <w:r w:rsidRPr="005E30D5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172,3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14,9%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170,5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-1,0%</w:t>
            </w:r>
          </w:p>
        </w:tc>
      </w:tr>
      <w:tr w:rsidR="003C6ABA" w:rsidRPr="005E30D5" w:rsidTr="00B022D7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30D5">
              <w:rPr>
                <w:rFonts w:ascii="Times New Roman" w:hAnsi="Times New Roman" w:cs="Times New Roman"/>
                <w:i/>
                <w:iCs/>
                <w:color w:val="000000"/>
              </w:rPr>
              <w:t>ТОО «Samruk-Green Energy»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2,9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-0,2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-6,9%</w:t>
            </w:r>
          </w:p>
        </w:tc>
      </w:tr>
      <w:tr w:rsidR="003C6ABA" w:rsidRPr="005E30D5" w:rsidTr="00B022D7">
        <w:trPr>
          <w:trHeight w:val="42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E30D5">
              <w:rPr>
                <w:rFonts w:ascii="Times New Roman" w:hAnsi="Times New Roman" w:cs="Times New Roman"/>
                <w:i/>
                <w:iCs/>
                <w:color w:val="000000"/>
              </w:rPr>
              <w:t>ТОО «Первая ветровая электрическая станция»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131,5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11,4%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120,7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-10,8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30D5">
              <w:rPr>
                <w:rFonts w:ascii="Times New Roman" w:hAnsi="Times New Roman" w:cs="Times New Roman"/>
                <w:i/>
                <w:iCs/>
              </w:rPr>
              <w:t>-8,2%</w:t>
            </w:r>
          </w:p>
        </w:tc>
      </w:tr>
    </w:tbl>
    <w:p w:rsidR="006C42DB" w:rsidRPr="005E30D5" w:rsidRDefault="006C42DB" w:rsidP="005246F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7727" w:rsidRPr="005E30D5" w:rsidRDefault="00E37727" w:rsidP="005246F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8" w:name="_Toc4766272"/>
    </w:p>
    <w:p w:rsidR="00E37727" w:rsidRPr="005E30D5" w:rsidRDefault="00E37727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9" w:name="_Централизованные_торги_электроэнерг"/>
      <w:bookmarkStart w:id="20" w:name="_Toc10211388"/>
      <w:bookmarkEnd w:id="19"/>
      <w:r w:rsidRPr="005E30D5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0"/>
    </w:p>
    <w:p w:rsidR="00E37727" w:rsidRPr="005E30D5" w:rsidRDefault="00E37727" w:rsidP="005246FD">
      <w:pPr>
        <w:pStyle w:val="ab"/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5E30D5">
        <w:rPr>
          <w:i/>
          <w:szCs w:val="22"/>
        </w:rPr>
        <w:t>(информация АО «КОРЭМ»)</w:t>
      </w:r>
    </w:p>
    <w:p w:rsidR="00E37727" w:rsidRPr="005E30D5" w:rsidRDefault="00E37727" w:rsidP="005246FD">
      <w:pPr>
        <w:spacing w:after="0" w:line="240" w:lineRule="auto"/>
        <w:rPr>
          <w:rFonts w:ascii="Times New Roman" w:hAnsi="Times New Roman" w:cs="Times New Roman"/>
        </w:rPr>
      </w:pPr>
    </w:p>
    <w:p w:rsidR="00E37727" w:rsidRPr="005E30D5" w:rsidRDefault="00E37727" w:rsidP="005246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1" w:name="_Toc10211389"/>
      <w:r w:rsidRPr="005E30D5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1"/>
    </w:p>
    <w:p w:rsidR="00E37727" w:rsidRPr="005E30D5" w:rsidRDefault="00E37727" w:rsidP="005246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октябре 2019 года были заключены 287 сделок объемом 243 176 тыс. кВт*ч на общую сумму 930 989,1 тыс. тенге (без НДС) (включая, спот-торги в режиме «за день вперед» и торги на среднесрочный и долгосрочный периоды), в том числе:</w:t>
      </w:r>
    </w:p>
    <w:p w:rsidR="003C6ABA" w:rsidRPr="005E30D5" w:rsidRDefault="003C6ABA" w:rsidP="003C6ABA">
      <w:pPr>
        <w:pStyle w:val="a3"/>
        <w:numPr>
          <w:ilvl w:val="0"/>
          <w:numId w:val="46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спот-торги в режиме «за день вперед» - было заключено 127 сделок в объеме 29 417 ты</w:t>
      </w:r>
      <w:r w:rsidR="000340CD">
        <w:rPr>
          <w:rFonts w:ascii="Times New Roman" w:hAnsi="Times New Roman" w:cs="Times New Roman"/>
          <w:sz w:val="28"/>
          <w:szCs w:val="28"/>
        </w:rPr>
        <w:t>с. кВт*ч на общую сумму 209 127</w:t>
      </w:r>
      <w:r w:rsidRPr="005E30D5">
        <w:rPr>
          <w:rFonts w:ascii="Times New Roman" w:hAnsi="Times New Roman" w:cs="Times New Roman"/>
          <w:sz w:val="28"/>
          <w:szCs w:val="28"/>
        </w:rPr>
        <w:t xml:space="preserve"> тыс. тенге (без НДС). Минимальная цена на спот-торгах в режиме «за день вперед» составила – 6,47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цена – 7,1501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3C6ABA" w:rsidRPr="005E30D5" w:rsidRDefault="003C6ABA" w:rsidP="003C6ABA">
      <w:pPr>
        <w:pStyle w:val="a3"/>
        <w:numPr>
          <w:ilvl w:val="0"/>
          <w:numId w:val="46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 xml:space="preserve">спот-торги «в течение операционных суток» - было заключено 149 сделок в объеме 639 тыс. кВт*ч на общую сумму 4 281,3 тыс. тенге (без НДС). Минимальная и максимальная цена на спот-торгах составила – 6,7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>/кВт*ч (без НДС);</w:t>
      </w:r>
    </w:p>
    <w:p w:rsidR="003C6ABA" w:rsidRPr="005E30D5" w:rsidRDefault="003C6ABA" w:rsidP="003C6ABA">
      <w:pPr>
        <w:pStyle w:val="a3"/>
        <w:numPr>
          <w:ilvl w:val="0"/>
          <w:numId w:val="46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 xml:space="preserve">торги электроэнергией на средне- и долгосрочный периоды - было заключено 11 сделок объемом 213 120 тыс. кВт*ч на общую сумму 717 580,8 тыс. тенге (без НДС). Минимальная цена по данному виду централизованных торгов составила 1,1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 xml:space="preserve">/кВт*ч (без НДС), максимальная – 5,76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>/кВт*ч (без НДС).</w:t>
      </w:r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За аналогичный период 2018 года общий объем централизованных торгов составил 1 732 271 тыс. кВт*ч. В таблице ниже приведена динамика цен сделок, заключенных на централизованных торгах в октябре 2018-2019 год.</w:t>
      </w:r>
    </w:p>
    <w:p w:rsidR="003C6ABA" w:rsidRPr="005E30D5" w:rsidRDefault="003C6ABA" w:rsidP="003C6AB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3C6ABA" w:rsidRPr="005E30D5" w:rsidRDefault="003C6ABA" w:rsidP="003C6ABA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30D5">
        <w:rPr>
          <w:rFonts w:ascii="Times New Roman" w:hAnsi="Times New Roman" w:cs="Times New Roman"/>
          <w:sz w:val="28"/>
          <w:szCs w:val="28"/>
        </w:rPr>
        <w:t>в октябре 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3C6ABA" w:rsidRPr="005E30D5" w:rsidTr="008306E6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3C6ABA" w:rsidRPr="005E30D5" w:rsidTr="008306E6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BA" w:rsidRPr="005E30D5" w:rsidRDefault="003C6ABA" w:rsidP="008306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0D5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3C6ABA" w:rsidRPr="005E30D5" w:rsidTr="008306E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BA" w:rsidRPr="005E30D5" w:rsidRDefault="003C6ABA" w:rsidP="008306E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8306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</w:t>
            </w:r>
            <w:proofErr w:type="spellEnd"/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/кВт*ч</w:t>
            </w:r>
            <w:proofErr w:type="gramStart"/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 w:rsidRPr="005E30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НДС)</w:t>
            </w:r>
          </w:p>
        </w:tc>
      </w:tr>
      <w:tr w:rsidR="003C6ABA" w:rsidRPr="005E30D5" w:rsidTr="008306E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8,1201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C6ABA" w:rsidRPr="005E30D5" w:rsidTr="008306E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7,1501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C6ABA" w:rsidRPr="005E30D5" w:rsidRDefault="003C6ABA" w:rsidP="008306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30D5">
              <w:rPr>
                <w:b/>
                <w:bCs/>
                <w:sz w:val="20"/>
                <w:szCs w:val="20"/>
              </w:rPr>
              <w:t>6,7</w:t>
            </w:r>
          </w:p>
        </w:tc>
      </w:tr>
    </w:tbl>
    <w:p w:rsidR="003C6ABA" w:rsidRPr="005E30D5" w:rsidRDefault="003C6ABA" w:rsidP="003C6AB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510196478"/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тарифов на электрическую энергию в октябре 2019 года в сравнении с аналогичным периодом 2018 года обусловлено введением с 2019 года рынка электрической мощности и утверждением предельных тарифов на электрическую энергию.</w:t>
      </w:r>
    </w:p>
    <w:p w:rsidR="003C6ABA" w:rsidRPr="005E30D5" w:rsidRDefault="003C6ABA" w:rsidP="003C6ABA">
      <w:pPr>
        <w:pStyle w:val="1"/>
        <w:spacing w:before="0"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</w:rPr>
      </w:pPr>
      <w:r w:rsidRPr="005E30D5">
        <w:rPr>
          <w:rFonts w:ascii="Times New Roman" w:hAnsi="Times New Roman" w:cs="Times New Roman"/>
          <w:b/>
          <w:i/>
          <w:color w:val="auto"/>
          <w:sz w:val="28"/>
        </w:rPr>
        <w:t>Итоги спот-торгов в режиме «за день вперед»</w:t>
      </w:r>
      <w:bookmarkEnd w:id="22"/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режиме «за день вперед» в октябре 2019 года было заключено 70 сделок объемом 16 464 тыс. кВт*ч, минимальная клиринговая цена составила – 6,5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а максимальная – 7,15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объемы и цены спроса-предложения и итоговые результаты спот-торгов в режиме «за день вперед» в октябре 2019 года. </w:t>
      </w:r>
    </w:p>
    <w:p w:rsidR="00E35C6A" w:rsidRPr="005E30D5" w:rsidRDefault="00E35C6A" w:rsidP="00E35C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lang w:eastAsia="ru-RU"/>
        </w:rPr>
      </w:pPr>
    </w:p>
    <w:p w:rsidR="00E37727" w:rsidRPr="005E30D5" w:rsidRDefault="003C6ABA" w:rsidP="006F33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3DB33" wp14:editId="6F0CE7D3">
            <wp:extent cx="6301105" cy="6583680"/>
            <wp:effectExtent l="0" t="0" r="444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727" w:rsidRPr="005E30D5" w:rsidRDefault="00E37727" w:rsidP="005246FD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3" w:name="_Toc510196479"/>
    </w:p>
    <w:bookmarkEnd w:id="23"/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суммарный объем спроса составил 71 592 тыс. кВт*ч., при этом суммарный объем предложения составил 44 616 тыс. кВт*ч. Неудовлетворенный объем спроса в октябре 2019 года составил 40 327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*ч, а неудовлетворенный объем предложения 15 199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тыс.кВт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*ч. В процессе спот-торгов в торговую систему всего было принято заявок в количестве - 386, из них 328 заявок от покупателей и 58 заявок от продавцов.</w:t>
      </w:r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BA" w:rsidRPr="005E30D5" w:rsidRDefault="003C6ABA" w:rsidP="003C6ABA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5E30D5">
        <w:rPr>
          <w:rFonts w:ascii="Times New Roman" w:hAnsi="Times New Roman" w:cs="Times New Roman"/>
          <w:b/>
          <w:i/>
          <w:color w:val="auto"/>
          <w:sz w:val="28"/>
        </w:rPr>
        <w:t>Итоги спот-торгов «в течение операционных суток»</w:t>
      </w:r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510196480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«в течение операционных суток» в октябре 2019 года было заключено 149 сделок в объеме 639 тыс. кВт*ч на общую сумму 4 281,3 тыс. тенге. Минимальная и максимальная цена на спот-торгах «в течение операционных суток» составила 6,7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C6ABA" w:rsidRPr="005E30D5" w:rsidRDefault="003C6ABA" w:rsidP="003C6AB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BA" w:rsidRPr="005E30D5" w:rsidRDefault="003C6ABA" w:rsidP="003C6ABA">
      <w:pPr>
        <w:pStyle w:val="1"/>
        <w:spacing w:before="0" w:after="240" w:line="24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</w:rPr>
      </w:pPr>
      <w:r w:rsidRPr="005E30D5">
        <w:rPr>
          <w:rFonts w:ascii="Times New Roman" w:hAnsi="Times New Roman" w:cs="Times New Roman"/>
          <w:b/>
          <w:i/>
          <w:color w:val="auto"/>
          <w:sz w:val="28"/>
        </w:rPr>
        <w:t>Итоги торгов на средне- и долгосрочный период</w:t>
      </w:r>
      <w:bookmarkEnd w:id="24"/>
    </w:p>
    <w:p w:rsidR="003C6ABA" w:rsidRPr="005E30D5" w:rsidRDefault="003C6ABA" w:rsidP="003C6A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2019 года по итогам торгов на средне- и долгосрочный периоды были заключены 11 сделок объемом 213 120 тыс. кВт*ч на общую сумму 717 580,8 тыс. тенге (без НДС). Минимальная цена по данному виду централизованных торгов составила 1,1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/кВт*ч (без НДС), максимальная – 5,76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тг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/кВт*ч (без НДС).</w:t>
      </w:r>
    </w:p>
    <w:p w:rsidR="003521D1" w:rsidRPr="005E30D5" w:rsidRDefault="006C0CB8" w:rsidP="005246FD">
      <w:pPr>
        <w:tabs>
          <w:tab w:val="left" w:pos="2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2DB" w:rsidRPr="005E30D5" w:rsidRDefault="006C42DB" w:rsidP="005246FD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5E30D5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18"/>
      <w:r w:rsidRPr="005E30D5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5E30D5" w:rsidRDefault="006C42DB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ABA" w:rsidRPr="005E30D5" w:rsidRDefault="003C6ABA" w:rsidP="003C6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E30D5">
        <w:rPr>
          <w:rFonts w:ascii="Times New Roman" w:hAnsi="Times New Roman" w:cs="Times New Roman"/>
          <w:sz w:val="28"/>
          <w:szCs w:val="28"/>
        </w:rPr>
        <w:t xml:space="preserve">В январе-октябре 2019 года основным направлением экспорта-импорта электроэнергии РК стала РФ (экспорт в РФ – 1 094,2млн.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>, импорт из РФ – 1 150,</w:t>
      </w:r>
      <w:proofErr w:type="gramStart"/>
      <w:r w:rsidRPr="005E30D5">
        <w:rPr>
          <w:rFonts w:ascii="Times New Roman" w:hAnsi="Times New Roman" w:cs="Times New Roman"/>
          <w:sz w:val="28"/>
          <w:szCs w:val="28"/>
        </w:rPr>
        <w:t>4  млн.</w:t>
      </w:r>
      <w:proofErr w:type="gramEnd"/>
      <w:r w:rsidRPr="005E3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>). АО «</w:t>
      </w:r>
      <w:r w:rsidRPr="005E30D5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5E30D5">
        <w:rPr>
          <w:rFonts w:ascii="Times New Roman" w:hAnsi="Times New Roman" w:cs="Times New Roman"/>
          <w:sz w:val="28"/>
          <w:szCs w:val="28"/>
        </w:rPr>
        <w:t xml:space="preserve">» – 1 043,9 млн.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 xml:space="preserve"> в целях балансирования производства-потребления электроэнергии. Импорт электроэнергии из РФ за отчетный период в объеме 926,9 млн. </w:t>
      </w:r>
      <w:proofErr w:type="spellStart"/>
      <w:r w:rsidRPr="005E30D5">
        <w:rPr>
          <w:rFonts w:ascii="Times New Roman" w:hAnsi="Times New Roman" w:cs="Times New Roman"/>
          <w:sz w:val="28"/>
          <w:szCs w:val="28"/>
        </w:rPr>
        <w:t>кВтч</w:t>
      </w:r>
      <w:proofErr w:type="spellEnd"/>
      <w:r w:rsidRPr="005E30D5">
        <w:rPr>
          <w:rFonts w:ascii="Times New Roman" w:hAnsi="Times New Roman" w:cs="Times New Roman"/>
          <w:sz w:val="28"/>
          <w:szCs w:val="28"/>
        </w:rPr>
        <w:t xml:space="preserve"> осуществлялся в целях балансирования производства-потребления электроэнергии.</w:t>
      </w:r>
    </w:p>
    <w:p w:rsidR="00741F18" w:rsidRPr="005E30D5" w:rsidRDefault="00741F18" w:rsidP="005246FD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5E30D5">
        <w:rPr>
          <w:rFonts w:ascii="Times New Roman" w:hAnsi="Times New Roman" w:cs="Times New Roman"/>
          <w:sz w:val="24"/>
        </w:rPr>
        <w:t xml:space="preserve">млн. </w:t>
      </w:r>
      <w:proofErr w:type="spellStart"/>
      <w:r w:rsidRPr="005E30D5">
        <w:rPr>
          <w:rFonts w:ascii="Times New Roman" w:hAnsi="Times New Roman" w:cs="Times New Roman"/>
          <w:sz w:val="24"/>
        </w:rPr>
        <w:t>кВтч</w:t>
      </w:r>
      <w:proofErr w:type="spellEnd"/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3C6ABA" w:rsidRPr="005E30D5" w:rsidTr="00234CB9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янв.-окт.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янв.-окт.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3C6ABA" w:rsidRPr="005E30D5" w:rsidTr="00234CB9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6ABA" w:rsidRPr="005E30D5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5" w:name="_GoBack" w:colFirst="1" w:colLast="4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4 713,5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-3 068,7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-65,1%</w:t>
            </w:r>
          </w:p>
        </w:tc>
      </w:tr>
      <w:tr w:rsidR="003C6ABA" w:rsidRPr="005E30D5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4 708,7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-3 614,5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-76,8%</w:t>
            </w:r>
          </w:p>
        </w:tc>
      </w:tr>
      <w:tr w:rsidR="003C6ABA" w:rsidRPr="005E30D5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 </w:t>
            </w:r>
          </w:p>
        </w:tc>
      </w:tr>
      <w:tr w:rsidR="003C6ABA" w:rsidRPr="005E30D5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1 116,9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3,2%</w:t>
            </w:r>
          </w:p>
        </w:tc>
      </w:tr>
      <w:tr w:rsidR="003C6ABA" w:rsidRPr="005E30D5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1 113,5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1 150,4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3,3%</w:t>
            </w:r>
          </w:p>
        </w:tc>
      </w:tr>
      <w:tr w:rsidR="003C6ABA" w:rsidRPr="005E30D5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-28,9%</w:t>
            </w:r>
          </w:p>
        </w:tc>
      </w:tr>
      <w:tr w:rsidR="003C6ABA" w:rsidRPr="005E30D5" w:rsidTr="00234CB9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C6ABA" w:rsidRPr="005E30D5" w:rsidRDefault="003C6ABA" w:rsidP="003C6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</w:t>
            </w:r>
            <w:proofErr w:type="spellStart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переток</w:t>
            </w:r>
            <w:proofErr w:type="spellEnd"/>
            <w:r w:rsidRPr="005E3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-3 596,6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-492,0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ABA" w:rsidRPr="005E30D5" w:rsidRDefault="003C6ABA" w:rsidP="003C6A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30D5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-86,3%</w:t>
            </w:r>
          </w:p>
        </w:tc>
      </w:tr>
      <w:bookmarkEnd w:id="25"/>
    </w:tbl>
    <w:p w:rsidR="00F64552" w:rsidRPr="005E30D5" w:rsidRDefault="00F64552" w:rsidP="005246FD">
      <w:pPr>
        <w:spacing w:after="0" w:line="240" w:lineRule="auto"/>
        <w:rPr>
          <w:rFonts w:ascii="Times New Roman" w:hAnsi="Times New Roman" w:cs="Times New Roman"/>
        </w:rPr>
      </w:pPr>
    </w:p>
    <w:p w:rsidR="00882305" w:rsidRPr="005E30D5" w:rsidRDefault="00882305">
      <w:pPr>
        <w:rPr>
          <w:rFonts w:ascii="Times New Roman" w:hAnsi="Times New Roman" w:cs="Times New Roman"/>
        </w:rPr>
      </w:pPr>
      <w:r w:rsidRPr="005E30D5">
        <w:rPr>
          <w:rFonts w:ascii="Times New Roman" w:hAnsi="Times New Roman" w:cs="Times New Roman"/>
        </w:rPr>
        <w:br w:type="page"/>
      </w:r>
    </w:p>
    <w:p w:rsidR="008647BB" w:rsidRPr="005E30D5" w:rsidRDefault="00B94F51" w:rsidP="005246F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26" w:name="_Toc4766273"/>
      <w:r w:rsidRPr="005E30D5">
        <w:rPr>
          <w:rFonts w:ascii="Times New Roman" w:hAnsi="Times New Roman" w:cs="Times New Roman"/>
          <w:b/>
          <w:color w:val="auto"/>
        </w:rPr>
        <w:t>РАЗДЕЛ II</w:t>
      </w:r>
      <w:bookmarkEnd w:id="26"/>
    </w:p>
    <w:p w:rsidR="00387115" w:rsidRPr="005E30D5" w:rsidRDefault="00387115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27" w:name="_Toc4766274"/>
      <w:r w:rsidRPr="005E30D5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5E30D5">
        <w:rPr>
          <w:rFonts w:ascii="Times New Roman" w:hAnsi="Times New Roman" w:cs="Times New Roman"/>
          <w:b/>
          <w:color w:val="auto"/>
        </w:rPr>
        <w:t>я</w:t>
      </w:r>
      <w:r w:rsidRPr="005E30D5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27"/>
    </w:p>
    <w:p w:rsidR="00C82DFF" w:rsidRPr="005E30D5" w:rsidRDefault="00C82DFF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5E30D5" w:rsidRDefault="00741F18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5E30D5" w:rsidRDefault="006F33F9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18.01.2019г., 13-14.03.2019г., </w:t>
      </w:r>
      <w:r w:rsidR="00741F18" w:rsidRPr="005E30D5">
        <w:rPr>
          <w:rFonts w:ascii="Times New Roman" w:hAnsi="Times New Roman" w:cs="Times New Roman"/>
          <w:sz w:val="28"/>
        </w:rPr>
        <w:t xml:space="preserve">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E37727" w:rsidRPr="005E30D5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 xml:space="preserve">29 мая 2019г. в г. </w:t>
      </w:r>
      <w:proofErr w:type="spellStart"/>
      <w:r w:rsidRPr="005E30D5">
        <w:rPr>
          <w:rFonts w:ascii="Times New Roman" w:hAnsi="Times New Roman" w:cs="Times New Roman"/>
          <w:sz w:val="28"/>
        </w:rPr>
        <w:t>Нур</w:t>
      </w:r>
      <w:proofErr w:type="spellEnd"/>
      <w:r w:rsidRPr="005E30D5">
        <w:rPr>
          <w:rFonts w:ascii="Times New Roman" w:hAnsi="Times New Roman" w:cs="Times New Roman"/>
          <w:sz w:val="28"/>
        </w:rPr>
        <w:t xml:space="preserve">-Султан подписан международный договор о формировании ОЭР главами государств ЕАЭС. </w:t>
      </w:r>
    </w:p>
    <w:p w:rsidR="00E37727" w:rsidRPr="005E30D5" w:rsidRDefault="00E37727" w:rsidP="0052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5E30D5" w:rsidRDefault="006432D5" w:rsidP="0052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5E30D5" w:rsidRDefault="00387115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8" w:name="_Toc4766275"/>
      <w:r w:rsidRPr="005E30D5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5E30D5">
        <w:rPr>
          <w:rFonts w:ascii="Times New Roman" w:hAnsi="Times New Roman" w:cs="Times New Roman"/>
          <w:b/>
          <w:color w:val="auto"/>
        </w:rPr>
        <w:t>Э</w:t>
      </w:r>
      <w:r w:rsidRPr="005E30D5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28"/>
    </w:p>
    <w:p w:rsidR="00387115" w:rsidRPr="005E30D5" w:rsidRDefault="00387115" w:rsidP="005246F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5E30D5" w:rsidRDefault="006B1F89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5E30D5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5E30D5" w:rsidRDefault="0007078E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30D5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5E30D5">
        <w:rPr>
          <w:rFonts w:ascii="Times New Roman" w:hAnsi="Times New Roman" w:cs="Times New Roman"/>
          <w:sz w:val="28"/>
        </w:rPr>
        <w:t>.</w:t>
      </w:r>
    </w:p>
    <w:p w:rsidR="006C3EF7" w:rsidRPr="005E30D5" w:rsidRDefault="006C3EF7" w:rsidP="00524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5E30D5" w:rsidTr="006C3EF7">
        <w:trPr>
          <w:trHeight w:val="845"/>
        </w:trPr>
        <w:tc>
          <w:tcPr>
            <w:tcW w:w="217" w:type="pct"/>
            <w:vAlign w:val="center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5E30D5" w:rsidTr="006C3EF7">
        <w:trPr>
          <w:trHeight w:val="1560"/>
        </w:trPr>
        <w:tc>
          <w:tcPr>
            <w:tcW w:w="217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5E3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5E30D5" w:rsidRDefault="006C3EF7" w:rsidP="005246FD">
            <w:pPr>
              <w:pStyle w:val="ae"/>
              <w:jc w:val="both"/>
              <w:rPr>
                <w:sz w:val="24"/>
                <w:szCs w:val="24"/>
              </w:rPr>
            </w:pPr>
            <w:r w:rsidRPr="005E30D5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5E30D5" w:rsidRDefault="006C3EF7" w:rsidP="005246FD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5E30D5" w:rsidTr="006C3EF7">
        <w:trPr>
          <w:trHeight w:val="560"/>
        </w:trPr>
        <w:tc>
          <w:tcPr>
            <w:tcW w:w="217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Порядка урегулирования отклонений от согласованных значений межгосударственных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</w:t>
            </w:r>
          </w:p>
        </w:tc>
        <w:tc>
          <w:tcPr>
            <w:tcW w:w="806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 и урегулировании величин отклонений от согласованных значений межгосударственных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энергии. Работа продолжается.</w:t>
            </w:r>
          </w:p>
        </w:tc>
      </w:tr>
      <w:tr w:rsidR="006C3EF7" w:rsidRPr="005E30D5" w:rsidTr="006C3EF7">
        <w:trPr>
          <w:trHeight w:val="2088"/>
        </w:trPr>
        <w:tc>
          <w:tcPr>
            <w:tcW w:w="217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5E30D5" w:rsidTr="006C3EF7">
        <w:trPr>
          <w:trHeight w:val="1410"/>
        </w:trPr>
        <w:tc>
          <w:tcPr>
            <w:tcW w:w="217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5E30D5" w:rsidRDefault="006C3EF7" w:rsidP="005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перетоков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энергии и обмене данными по межгосударственным </w:t>
            </w:r>
            <w:proofErr w:type="spellStart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перетокам</w:t>
            </w:r>
            <w:proofErr w:type="spellEnd"/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F7" w:rsidRPr="005E30D5" w:rsidTr="006C3EF7">
        <w:trPr>
          <w:trHeight w:val="2404"/>
        </w:trPr>
        <w:tc>
          <w:tcPr>
            <w:tcW w:w="217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5E30D5" w:rsidRDefault="006C3EF7" w:rsidP="00524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5E30D5" w:rsidRDefault="006C3EF7" w:rsidP="0052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5E30D5" w:rsidRDefault="006C3EF7" w:rsidP="00524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D5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5E30D5" w:rsidRDefault="008928B2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5E30D5" w:rsidRDefault="001D295E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5E30D5">
        <w:rPr>
          <w:rFonts w:ascii="Times New Roman" w:hAnsi="Times New Roman" w:cs="Times New Roman"/>
          <w:b/>
          <w:color w:val="auto"/>
        </w:rPr>
        <w:t xml:space="preserve"> </w:t>
      </w:r>
      <w:bookmarkStart w:id="29" w:name="_Toc4766276"/>
      <w:r w:rsidR="00A32670" w:rsidRPr="005E30D5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5E30D5">
        <w:rPr>
          <w:rFonts w:ascii="Times New Roman" w:hAnsi="Times New Roman" w:cs="Times New Roman"/>
          <w:b/>
          <w:color w:val="auto"/>
        </w:rPr>
        <w:t>CASA-1000</w:t>
      </w:r>
      <w:bookmarkEnd w:id="29"/>
    </w:p>
    <w:p w:rsidR="00C82DFF" w:rsidRPr="005E30D5" w:rsidRDefault="00C82DFF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5E30D5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5E30D5">
        <w:rPr>
          <w:rStyle w:val="body-c-c0"/>
          <w:i/>
          <w:sz w:val="28"/>
        </w:rPr>
        <w:t>Описание проекта</w:t>
      </w:r>
    </w:p>
    <w:p w:rsidR="006C42DB" w:rsidRPr="005E30D5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E30D5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5E30D5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E30D5">
        <w:rPr>
          <w:rStyle w:val="body-c-c0"/>
          <w:sz w:val="28"/>
        </w:rPr>
        <w:t xml:space="preserve">Начать поставки электроэнергии по проекту CASA-1000 планируется в 2021 году. Предполагается, что пропускная способность ЛЭП составит порядка 6 млрд. </w:t>
      </w:r>
      <w:proofErr w:type="spellStart"/>
      <w:r w:rsidRPr="005E30D5">
        <w:rPr>
          <w:rStyle w:val="body-c-c0"/>
          <w:sz w:val="28"/>
        </w:rPr>
        <w:t>кВтч</w:t>
      </w:r>
      <w:proofErr w:type="spellEnd"/>
      <w:r w:rsidRPr="005E30D5">
        <w:rPr>
          <w:rStyle w:val="body-c-c0"/>
          <w:sz w:val="28"/>
        </w:rPr>
        <w:t xml:space="preserve"> в год.</w:t>
      </w:r>
    </w:p>
    <w:p w:rsidR="006C42DB" w:rsidRPr="005E30D5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E30D5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5E30D5" w:rsidRDefault="006C42DB" w:rsidP="005246FD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5E30D5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5E30D5" w:rsidRDefault="006C42DB" w:rsidP="005246FD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5E30D5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5E30D5" w:rsidDel="00473F4C">
        <w:rPr>
          <w:rStyle w:val="body-c-c0"/>
          <w:sz w:val="28"/>
          <w:szCs w:val="28"/>
        </w:rPr>
        <w:t xml:space="preserve"> </w:t>
      </w:r>
      <w:r w:rsidRPr="005E30D5">
        <w:rPr>
          <w:rStyle w:val="body-c-c0"/>
          <w:sz w:val="28"/>
          <w:szCs w:val="28"/>
        </w:rPr>
        <w:t>и Пакистане;</w:t>
      </w:r>
    </w:p>
    <w:p w:rsidR="006C42DB" w:rsidRPr="005E30D5" w:rsidRDefault="006C42DB" w:rsidP="005246FD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5E30D5">
        <w:rPr>
          <w:rStyle w:val="body-c-c0"/>
          <w:sz w:val="28"/>
          <w:szCs w:val="28"/>
        </w:rPr>
        <w:t xml:space="preserve">строительство </w:t>
      </w:r>
      <w:proofErr w:type="gramStart"/>
      <w:r w:rsidRPr="005E30D5">
        <w:rPr>
          <w:rStyle w:val="body-c-c0"/>
          <w:sz w:val="28"/>
          <w:szCs w:val="28"/>
        </w:rPr>
        <w:t>двух-терминальных</w:t>
      </w:r>
      <w:proofErr w:type="gramEnd"/>
      <w:r w:rsidRPr="005E30D5">
        <w:rPr>
          <w:rStyle w:val="body-c-c0"/>
          <w:sz w:val="28"/>
          <w:szCs w:val="28"/>
        </w:rPr>
        <w:t xml:space="preserve"> преобразовательных подстанций постоянного тока высокого напряжения (ПТВН) в Пакистане и Таджикистане.</w:t>
      </w:r>
    </w:p>
    <w:p w:rsidR="00410BC9" w:rsidRPr="005E30D5" w:rsidRDefault="006C42DB" w:rsidP="005246F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30D5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5E30D5">
        <w:rPr>
          <w:rStyle w:val="body-c-c0"/>
          <w:sz w:val="28"/>
          <w:szCs w:val="28"/>
        </w:rPr>
        <w:t>2 месяца (2021г).</w:t>
      </w:r>
    </w:p>
    <w:p w:rsidR="00167CFE" w:rsidRPr="005E30D5" w:rsidRDefault="00167CFE" w:rsidP="005246F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5E30D5" w:rsidRDefault="00435F25" w:rsidP="005246FD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5E30D5" w:rsidRDefault="000A3B02" w:rsidP="005246FD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0" w:name="_Toc525902070"/>
      <w:bookmarkStart w:id="31" w:name="_Toc4766277"/>
      <w:bookmarkStart w:id="32" w:name="_Hlk10046153"/>
      <w:r w:rsidRPr="005E30D5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0"/>
      <w:bookmarkEnd w:id="31"/>
    </w:p>
    <w:p w:rsidR="00620733" w:rsidRPr="005E30D5" w:rsidRDefault="000A3B02" w:rsidP="005246FD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0D5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5E30D5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2"/>
    <w:p w:rsidR="007E21EB" w:rsidRPr="005E30D5" w:rsidRDefault="007E21EB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Кыргызская Республика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Начался возврат электроэнергии из Республики Казахстан в Кыргызскую Республику </w:t>
      </w:r>
      <w:r w:rsidRPr="005E30D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(01.10.2019г.).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18 сентября текущего года по 4,8 млн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сутки. Весь объем электроэнергии, подлежащий возврату в кыргызскую энергосистему, планируется завершить до конца ноября текущего года.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Кыргызской Республикой и Республикой Казахстан была достигнута договоренность об осуществлении товарообмена электроэнергии в целях обеспечения казахстанских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сельхозпотребителей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поливной водой.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6 июля по 31 августа 2019 года было поставлено 270 млн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в некоторых СМИ и социальных сетях была опубликована недостоверная информация о якобы «продаже» воды соседней стране. На сегодняшний день на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Токтогульском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 идёт наполнение воды в счёт уменьшения выработки объема электроэнергии, которая компенсируется получением электроэнергии от Казахстана.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Таджикистан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Таджикистан заработал на экспорте электроэнергии более $76 млн. </w:t>
      </w:r>
      <w:r w:rsidRPr="005E30D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(02.10.2019г.)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профильных ведомствах энергетического сектора Республики Таджикистан, сумма экспорта электроэнергии по сравнению с показателями аналогичного периода прошлого года выросла на 22,8%. В аналогичный период прошлого года сумма экспорта электроэнергии составляла свыше 62,2 млн долларов.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Ранее сообщалось, что общий объем экспортированной за первое полугодие электроэнергии достиг 1 млрд 257,4 млн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больше по сравнению с тем же периодом прошлого года на 314,2 млн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Экспорт электроэнергии позволил пополнить счета государственного энергетического холдинга «Барки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точик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шесть месяцев текущего года на 230 млн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сомони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($23,7 млн).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министерства энергетики и водных ресурсов, в 2018 году за пределы страны поставлено более 2,4 млрд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электроэнергии. За счет экспорта электроэнергии республика выручила около $77 млн.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каждого киловатта энергии для Афганистана в прошлом году составляла 4,11 цента, а для Узбекистана – 2 цента.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начала текущего года в стране произведено более 14,2 млрд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электроэнергии, что на 5,6% больше показателя аналогичного периода прошлого года.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Узбекистан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АБР выделил $60 млн на строительство ГЭС в Узбекистане </w:t>
      </w:r>
      <w:r w:rsidRPr="005E30D5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(04.10.2019г.)</w:t>
      </w:r>
    </w:p>
    <w:p w:rsidR="000B0233" w:rsidRPr="005E30D5" w:rsidRDefault="000B0233" w:rsidP="000B0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Азиатский банк развития одобрил кредит в размере $60 млн на строительство малых гидроэлектростанций в Кашкадарьинской области Узбекистана. На выделенные средства планируется построить три ГЭС общей мощностью 25 МВт. В рамках проекта планируется построить ГЭС мощностью 6 МВт </w:t>
      </w:r>
      <w:proofErr w:type="gram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в  Рабате</w:t>
      </w:r>
      <w:proofErr w:type="gram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8 МВт — в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Чаппасуи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10 МВт — в </w:t>
      </w:r>
      <w:proofErr w:type="spellStart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>Тамшусу</w:t>
      </w:r>
      <w:proofErr w:type="spellEnd"/>
      <w:r w:rsidRPr="005E3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еще три мини-ГЭС мощностью 1 МВт.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Беларусь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закона «Об электроэнергетике» планируется внести на рассмотрение в парламент в 2020 году </w:t>
      </w:r>
      <w:r w:rsidRPr="005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(31.10.2019г.)</w:t>
      </w:r>
      <w:r w:rsidRPr="005E30D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заместителя министра энергетики Республики Беларусь, полагается, что документ будет подготовлен в 2020 году. На это влияет ряд факторов. Сегодня проводятся мероприятия по совершенствованию управления системой электроэнергетики, структурные преобразования, которые повлекут изменения в самой структуре закона. Более конкретные сроки внесения документа, замминистра высказала мнение, что это будет не весенняя, а осенняя сессия.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Замминистра обратила внимание, что в ранее подготовленном проекте закона кроме площадок по торговле электрической энергией предусматривалось создание новых структур. «Они будут трансформированы с учетом изменений в структуре управления электроэнергетической сферой. Поэтому мы будем излагать закон в несколько обновленной редакции».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Минэнерго Республики Беларусь выносило на общественное обсуждение проект закона «Об электроэнергетике» в 2017 году, тогда его принятие планировалось в 2018-м.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Международного энергетического форума «Российская энергетическая неделя» </w:t>
      </w:r>
      <w:r w:rsidRPr="005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(08.10.2019г.)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2–5 октября 2019 года в ЦВЗ «Манеж» состоялся Международный энергетический форум «Российская энергетическая неделя».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обсуждались актуальная мировая энергетическая повестка, основные направления развития отраслей топливно-энергетического комплекса, осуществлялся поиск оптимальных решений в ответ на существующие вызовы. Это глобальное отраслевое событие, в котором вместе с первыми лицами крупнейших энергетических компаний со всего мира участвуют главы государств и правительств, ведущие мировые эксперты и руководители субъектов Российской Федерации. Мероприятие организовано при поддержке Министерства энергетики Российской Федерации и правительства Москвы.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выступления на планарном заседании В. Путин обрисовал роль России и ее перспективы как ведущего поставщика энергоресурсов в мире.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ближайшее время потребление энергоресурсов вырастет как в Азиатско-Тихоокеанском регионе, так и в Европе. Являясь надежным поставщиком энергоресурсов, Россия реализует крупные инфраструктурные проекты, направленные на удовлетворение спроса. Среди таких проектов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 магистральные газопроводы (МГП) «Турецкий поток» и «Северный поток-2».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участок МГП «Турецкий поток» завершен, идут работы на суше. «Северный поток-2» также строится по графику, уже проложено более 82 % маршрута. В очередной раз В. Путин подчеркнул, что оба проекта реализуются совместно с европейскими компаниями и носят исключительно коммерческий характер.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В. Путин поделился данными о поставках энергоресурсов в Китай. За последние 10 лет экспорт нефти увеличился в 4,5 раза, а нефтепродуктов – в 2 раза. К концу 2019 года будет запущен МГП «Сила Сибири-1», который станет частью восточного маршрута, по которому в Китай будет поставляться российский газ.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развитие нового направления – производства сжиженного природного газа (СПГ). C начала XXI века число стран – потребителей СПГ выросло более чем в 5 раз, спрос увеличился почти вдвое. По некоторым оценкам, через 5–10 лет на долю СПГ будет приходиться 50 % мировой торговли газом.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этих тенденций Россия разрабатывает ресурсную базу Арктики, развивает Северный морской путь и транспортный флот, расширяя географию поставок российских углеводородов.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2035 году Россия может выйти на уровень производства СПГ в 120-140 млн т/год. Российскую энергетику В. Путин назвал одной из самых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низкоуглеродных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мире, пояснив, что больше 1/3 генерации приходится на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атомную энергетику, а еще 50 % – на газ.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5 лет введено 800 МВт мощностей на базе ВИЭ, строятся и проектируются объекты общей мощностью 4 700 МВт.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Электроэнергия от ВИЭ получает преференции на розничном рынке, зафиксирована норма ее обязательной и приоритетной закупки сетевыми организациями. Принятые меры стимулируют собственные научные разработки. Приток инвестиций в этот высокотехнологичный сегмент российской энергетики гарантирует возврат капитала и высокую доходность вложенных средств.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форума прошло около 50 мероприятий по всем направлениям топливно-энергетического комплекса. На панельных дискуссиях обсуждались перспективы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импортозамещения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добычи и переработки. Несколько панелей были посвящены электроэнергетике, в частности производству новых мощностей и выводу старых, рынку нефтегазохимии, развитию возобновляемых источников энергии, современным технологиям в области накопления энергии. Эксперты обсуждали вопрос перспективы развития угольной промышленности в развивающихся странах.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Азербайджан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Азербайджан нарастил экспорт электроэнергии </w:t>
      </w:r>
      <w:r w:rsidRPr="005E30D5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(</w:t>
      </w:r>
      <w:r w:rsidRPr="005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17.10.2019г.).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январь-сентябрь из страны экспортировано 1 млрд 455 млн 380 тысяч кВт ·ч электроэнергии. Как сообщили в Государственном таможенном комитете, стоимость экспортированной электроэнергии составила 62 млн 947 тыс. долларов США.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за аналогичный период прошлого года из Азербайджана было экспортировано 1 млрд 266 млн 198 тысяч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 общей стоимостью 59 млн 637 тыс. долларов.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Азербайджан, Россия и Иран готовятся к созданию энергетического коридора </w:t>
      </w:r>
      <w:r w:rsidRPr="005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(07.10.2019г.).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Азербайджан, Россия и Иран готовятся к созданию энергетического коридора, заявил министр экономики Азербайджана. По его словам в настоящее время готовятся документы технико-экономического обоснования по созданию энергетического коридора Азербайджан-Россия-Иран "Север-Юг". Все эти работы служат расширению сотрудничества в энергетической сфере. В 2018 году из Азербайджана в Россию было экспортировано более 121 млн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электроэнергии, а из России импортировано свыше 76 </w:t>
      </w:r>
      <w:proofErr w:type="gram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  </w:t>
      </w:r>
      <w:proofErr w:type="spellStart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proofErr w:type="gramEnd"/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электроэнергии.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Азербайджан начнет проводить аукционы по возобновляемым источникам энергии</w:t>
      </w: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0D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(04.10.2019г.).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Азербайджан начнет проводить аукционы по ВИЭ к середине 2020 года.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сказал министр энергетики Азербайджана на панельной сессии на тему «Сохраняя энергетические связи в нестабильном мире» в рамках форума «Российская энергетическая неделя».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textAlignment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«Азербайджан, будучи поставщиком и нефти, и газа, очень серьезно работает над развитием возобновляемых источников энергии. Не так давно мы разработали новый законодательный проект. К концу этого года он будет принят. К середине следующего года мы начнем проводить аукционы по возобновляемым источникам энергии. Поэтому хотел воспользоваться этой возможностью и поделиться с вами этой информацией. Я хотел бы пригласить всех вас приезжать к нам и поучаствовать в этих проектах», - сказал он.</w:t>
      </w:r>
    </w:p>
    <w:p w:rsidR="000B0233" w:rsidRPr="005E30D5" w:rsidRDefault="000B0233" w:rsidP="000B02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Казахстан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 xml:space="preserve">За 2019 год в мощности ВИЭ Казахстана увеличились вдвое </w:t>
      </w:r>
      <w:r w:rsidRPr="005E30D5">
        <w:rPr>
          <w:rFonts w:ascii="Times New Roman" w:eastAsia="Times New Roman" w:hAnsi="Times New Roman" w:cs="Times New Roman"/>
          <w:i/>
          <w:spacing w:val="-12"/>
          <w:sz w:val="24"/>
          <w:szCs w:val="28"/>
          <w:lang w:eastAsia="ru-RU"/>
        </w:rPr>
        <w:t>(30.10.2019г.).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В Казахстане действуют 83 объекта ВИЭ установленной мощностью 936,8 МВт, в том числе 18 ветровых, 27 солнечных, 35 гидроэлектростанций и 3 </w:t>
      </w:r>
      <w:proofErr w:type="spell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биоэлектростанции</w:t>
      </w:r>
      <w:proofErr w:type="spell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. Из них только в текущем году введено 15 объектов мощностью 405,17 МВт. До конца </w:t>
      </w:r>
      <w:proofErr w:type="spell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текущегогода</w:t>
      </w:r>
      <w:proofErr w:type="spell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планируется ввести в эксплуатацию 4 объекта ВИЭ мощностью 104,8 МВт – 1 ветровую электростанцию в Северо-Казахстанской области, 2 солнечные электростанции в </w:t>
      </w:r>
      <w:proofErr w:type="spell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Кызылординской</w:t>
      </w:r>
      <w:proofErr w:type="spell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области и 1 ГЭС в Восточно-Казахстанской области, что повысит суммарную мощность объектов ВИЭ до 1042 МВт – почти в 2 раза больше показателя 2018 года (531,63 МВт). К 2025 году будут действовать не менее 3000 МВт установленных мощностей ВИЭ.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«Как показывает мировая практика, на сегодняшний день развитие альтернативных источников энергии – это важнейший тренд по привлечению инвестиций и улучшению экологии. За последние десять лет мировые мощности ВИЭ увеличились вчетверо – с 414 ГВт до 1650 ГВт, глобальные инвестиции за этот же период вскоре достигнут $2,6 трлн. В Казахстане к концу текущего года будут работать уже 87 объектов ВИЭ на 1042 МВт. Инвестиции составили 406 млрд </w:t>
      </w:r>
      <w:proofErr w:type="spell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тг</w:t>
      </w:r>
      <w:proofErr w:type="spell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», - сказал Премьер-Министр РК.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Премьер-министр отметил, что Казахстан провел международные аукционные торги для реализации проектов ВИЭ установленной мощностью 3 тыс. МВт, в которых приняли участие 138 компаний из 12 стран мира.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Глава правительства для улучшения инвестиционной привлекательности проектов ВИЭ поручил Министерству энергетики предусмотреть с учетом международного опыта соответствующие поправки в действующее законодательство.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Премьер-министр подчеркнул, что лидерами по количеству ВИЭ является </w:t>
      </w:r>
      <w:proofErr w:type="spell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Алматинская</w:t>
      </w:r>
      <w:proofErr w:type="spell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, </w:t>
      </w:r>
      <w:proofErr w:type="spell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Жамбылская</w:t>
      </w:r>
      <w:proofErr w:type="spell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области, Восточный Казахстан, тогда как, например, в </w:t>
      </w:r>
      <w:proofErr w:type="gramStart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Западно-Казахстанской</w:t>
      </w:r>
      <w:proofErr w:type="gramEnd"/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и Актюбинской областях нет ни одного действующего объекта возобновляемой энергетики.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«Следует активнее работать с инвесторами по проектам ВИЭ, расширять их применение для улучшения экологической ситуации в регионах», - сказал премьер-министр.</w:t>
      </w:r>
    </w:p>
    <w:p w:rsidR="000B0233" w:rsidRPr="005E30D5" w:rsidRDefault="000B0233" w:rsidP="000B0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0D5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А. Мамин поручил Министерству экологии, геологии и природных ресурсов обеспечить мониторинг соблюдения Парижского соглашения и снижения выбросов в окружающую среду.</w:t>
      </w:r>
    </w:p>
    <w:p w:rsidR="00E04313" w:rsidRPr="005E30D5" w:rsidRDefault="00E04313" w:rsidP="00524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4313" w:rsidRPr="005E30D5" w:rsidSect="00EC42B5">
      <w:headerReference w:type="default" r:id="rId12"/>
      <w:footerReference w:type="default" r:id="rId13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E6" w:rsidRDefault="008306E6" w:rsidP="00AD7754">
      <w:pPr>
        <w:spacing w:after="0" w:line="240" w:lineRule="auto"/>
      </w:pPr>
      <w:r>
        <w:separator/>
      </w:r>
    </w:p>
  </w:endnote>
  <w:endnote w:type="continuationSeparator" w:id="0">
    <w:p w:rsidR="008306E6" w:rsidRDefault="008306E6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8306E6" w:rsidRDefault="008306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70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306E6" w:rsidRDefault="008306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E6" w:rsidRDefault="008306E6" w:rsidP="00AD7754">
      <w:pPr>
        <w:spacing w:after="0" w:line="240" w:lineRule="auto"/>
      </w:pPr>
      <w:r>
        <w:separator/>
      </w:r>
    </w:p>
  </w:footnote>
  <w:footnote w:type="continuationSeparator" w:id="0">
    <w:p w:rsidR="008306E6" w:rsidRDefault="008306E6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8306E6" w:rsidTr="009437D6">
      <w:tc>
        <w:tcPr>
          <w:tcW w:w="2235" w:type="dxa"/>
        </w:tcPr>
        <w:p w:rsidR="008306E6" w:rsidRDefault="008306E6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8306E6" w:rsidRDefault="008306E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8306E6" w:rsidRDefault="008306E6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8306E6" w:rsidRPr="009437D6" w:rsidRDefault="008306E6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D007589"/>
    <w:multiLevelType w:val="hybridMultilevel"/>
    <w:tmpl w:val="A344FB1E"/>
    <w:lvl w:ilvl="0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39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41"/>
  </w:num>
  <w:num w:numId="7">
    <w:abstractNumId w:val="3"/>
  </w:num>
  <w:num w:numId="8">
    <w:abstractNumId w:val="13"/>
  </w:num>
  <w:num w:numId="9">
    <w:abstractNumId w:val="10"/>
  </w:num>
  <w:num w:numId="10">
    <w:abstractNumId w:val="44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43"/>
  </w:num>
  <w:num w:numId="16">
    <w:abstractNumId w:val="28"/>
  </w:num>
  <w:num w:numId="17">
    <w:abstractNumId w:val="45"/>
  </w:num>
  <w:num w:numId="18">
    <w:abstractNumId w:val="5"/>
  </w:num>
  <w:num w:numId="19">
    <w:abstractNumId w:val="42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29"/>
  </w:num>
  <w:num w:numId="31">
    <w:abstractNumId w:val="27"/>
  </w:num>
  <w:num w:numId="32">
    <w:abstractNumId w:val="40"/>
  </w:num>
  <w:num w:numId="33">
    <w:abstractNumId w:val="30"/>
  </w:num>
  <w:num w:numId="34">
    <w:abstractNumId w:val="36"/>
  </w:num>
  <w:num w:numId="35">
    <w:abstractNumId w:val="39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  <w:num w:numId="40">
    <w:abstractNumId w:val="32"/>
  </w:num>
  <w:num w:numId="41">
    <w:abstractNumId w:val="20"/>
  </w:num>
  <w:num w:numId="42">
    <w:abstractNumId w:val="22"/>
  </w:num>
  <w:num w:numId="43">
    <w:abstractNumId w:val="26"/>
  </w:num>
  <w:num w:numId="44">
    <w:abstractNumId w:val="19"/>
  </w:num>
  <w:num w:numId="45">
    <w:abstractNumId w:val="37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40CD"/>
    <w:rsid w:val="00034147"/>
    <w:rsid w:val="0003643D"/>
    <w:rsid w:val="00042141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B0233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47D6"/>
    <w:rsid w:val="00125238"/>
    <w:rsid w:val="00127A62"/>
    <w:rsid w:val="001447DB"/>
    <w:rsid w:val="00144EB2"/>
    <w:rsid w:val="00146C10"/>
    <w:rsid w:val="00147887"/>
    <w:rsid w:val="00150085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008C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26BC"/>
    <w:rsid w:val="002334B5"/>
    <w:rsid w:val="00234CB9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A37CB"/>
    <w:rsid w:val="002A3F39"/>
    <w:rsid w:val="002B2269"/>
    <w:rsid w:val="002C14BF"/>
    <w:rsid w:val="002C4506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06C42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6365D"/>
    <w:rsid w:val="0036607D"/>
    <w:rsid w:val="0037340B"/>
    <w:rsid w:val="00376A05"/>
    <w:rsid w:val="00377FA9"/>
    <w:rsid w:val="003801ED"/>
    <w:rsid w:val="00387115"/>
    <w:rsid w:val="0039177D"/>
    <w:rsid w:val="00395E64"/>
    <w:rsid w:val="003A0A61"/>
    <w:rsid w:val="003A5751"/>
    <w:rsid w:val="003A616A"/>
    <w:rsid w:val="003B36BC"/>
    <w:rsid w:val="003B57C9"/>
    <w:rsid w:val="003C2325"/>
    <w:rsid w:val="003C5EFF"/>
    <w:rsid w:val="003C6ABA"/>
    <w:rsid w:val="003D60D6"/>
    <w:rsid w:val="003D6235"/>
    <w:rsid w:val="003E3F8D"/>
    <w:rsid w:val="003E4811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9CF"/>
    <w:rsid w:val="00444D23"/>
    <w:rsid w:val="00445130"/>
    <w:rsid w:val="00452FF3"/>
    <w:rsid w:val="00457F45"/>
    <w:rsid w:val="00462247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468C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6FD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30D5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732A"/>
    <w:rsid w:val="006E259C"/>
    <w:rsid w:val="006E404D"/>
    <w:rsid w:val="006E7478"/>
    <w:rsid w:val="006F09F2"/>
    <w:rsid w:val="006F33F9"/>
    <w:rsid w:val="007103C4"/>
    <w:rsid w:val="00710722"/>
    <w:rsid w:val="00711626"/>
    <w:rsid w:val="00715ADF"/>
    <w:rsid w:val="00720B2F"/>
    <w:rsid w:val="00725744"/>
    <w:rsid w:val="00727DC1"/>
    <w:rsid w:val="0074078A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1B2F"/>
    <w:rsid w:val="00782C7F"/>
    <w:rsid w:val="00783C18"/>
    <w:rsid w:val="00786D0D"/>
    <w:rsid w:val="00794953"/>
    <w:rsid w:val="007A0FD1"/>
    <w:rsid w:val="007A552A"/>
    <w:rsid w:val="007A7BD1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21EB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27462"/>
    <w:rsid w:val="008306E6"/>
    <w:rsid w:val="008311B2"/>
    <w:rsid w:val="0083128A"/>
    <w:rsid w:val="008315F2"/>
    <w:rsid w:val="00831866"/>
    <w:rsid w:val="00832F64"/>
    <w:rsid w:val="00836632"/>
    <w:rsid w:val="008373DC"/>
    <w:rsid w:val="00843727"/>
    <w:rsid w:val="008456D7"/>
    <w:rsid w:val="00851E30"/>
    <w:rsid w:val="00854D8B"/>
    <w:rsid w:val="0085783F"/>
    <w:rsid w:val="008647BB"/>
    <w:rsid w:val="00874172"/>
    <w:rsid w:val="00875F55"/>
    <w:rsid w:val="00880821"/>
    <w:rsid w:val="008822CA"/>
    <w:rsid w:val="00882305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C6F88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4769"/>
    <w:rsid w:val="00916401"/>
    <w:rsid w:val="009165DF"/>
    <w:rsid w:val="009165E4"/>
    <w:rsid w:val="00932394"/>
    <w:rsid w:val="00935771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0BF5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35970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2D7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6687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A70DC"/>
    <w:rsid w:val="00BB7CE0"/>
    <w:rsid w:val="00BC04D4"/>
    <w:rsid w:val="00BC0615"/>
    <w:rsid w:val="00BC0CF7"/>
    <w:rsid w:val="00BC6332"/>
    <w:rsid w:val="00BC79FE"/>
    <w:rsid w:val="00BC7CB8"/>
    <w:rsid w:val="00BD35CB"/>
    <w:rsid w:val="00BD4E75"/>
    <w:rsid w:val="00BD6322"/>
    <w:rsid w:val="00BD648D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436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B7D8C"/>
    <w:rsid w:val="00DC00C7"/>
    <w:rsid w:val="00DC0575"/>
    <w:rsid w:val="00DC2838"/>
    <w:rsid w:val="00DC2F6A"/>
    <w:rsid w:val="00DC4A50"/>
    <w:rsid w:val="00DD3703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2D01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3F98"/>
    <w:rsid w:val="00E3596D"/>
    <w:rsid w:val="00E35C6A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F01E7E"/>
    <w:rsid w:val="00F048E2"/>
    <w:rsid w:val="00F063C2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  <w:style w:type="paragraph" w:customStyle="1" w:styleId="panelnewsmeta">
    <w:name w:val="panel_news_meta"/>
    <w:basedOn w:val="a"/>
    <w:rsid w:val="007E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">
    <w:name w:val="dt"/>
    <w:basedOn w:val="a0"/>
    <w:rsid w:val="007E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56BA-9BE0-4771-A801-96F24460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19</Pages>
  <Words>5585</Words>
  <Characters>31840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94</cp:revision>
  <cp:lastPrinted>2018-09-04T08:39:00Z</cp:lastPrinted>
  <dcterms:created xsi:type="dcterms:W3CDTF">2018-09-04T11:04:00Z</dcterms:created>
  <dcterms:modified xsi:type="dcterms:W3CDTF">2019-11-29T11:29:00Z</dcterms:modified>
</cp:coreProperties>
</file>