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43" w:rsidRPr="00BC7CB8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583E36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11B2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75D14C6A" wp14:editId="796D80A8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11B2">
        <w:rPr>
          <w:rFonts w:ascii="Times New Roman" w:hAnsi="Times New Roman" w:cs="Times New Roman"/>
          <w:b/>
          <w:sz w:val="28"/>
        </w:rPr>
        <w:t xml:space="preserve">ОТЧЕТ </w:t>
      </w: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11B2">
        <w:rPr>
          <w:rFonts w:ascii="Times New Roman" w:hAnsi="Times New Roman" w:cs="Times New Roman"/>
          <w:b/>
          <w:sz w:val="28"/>
        </w:rPr>
        <w:t xml:space="preserve">АНАЛИЗ РЫНКА ЭЛЕКТРОЭНЕРГИИ </w:t>
      </w:r>
      <w:r w:rsidR="00273897" w:rsidRPr="008311B2">
        <w:rPr>
          <w:rFonts w:ascii="Times New Roman" w:hAnsi="Times New Roman" w:cs="Times New Roman"/>
          <w:b/>
          <w:sz w:val="28"/>
        </w:rPr>
        <w:t xml:space="preserve">И УГЛЯ </w:t>
      </w:r>
      <w:r w:rsidRPr="008311B2">
        <w:rPr>
          <w:rFonts w:ascii="Times New Roman" w:hAnsi="Times New Roman" w:cs="Times New Roman"/>
          <w:b/>
          <w:sz w:val="28"/>
        </w:rPr>
        <w:t>КАЗАХСТАНА</w:t>
      </w:r>
    </w:p>
    <w:p w:rsidR="000C3143" w:rsidRPr="008311B2" w:rsidRDefault="006A4A69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11B2">
        <w:rPr>
          <w:rFonts w:ascii="Times New Roman" w:hAnsi="Times New Roman" w:cs="Times New Roman"/>
          <w:b/>
          <w:sz w:val="28"/>
        </w:rPr>
        <w:t xml:space="preserve">ЯНВАРЬ </w:t>
      </w:r>
      <w:r w:rsidR="000C3143" w:rsidRPr="008311B2">
        <w:rPr>
          <w:rFonts w:ascii="Times New Roman" w:hAnsi="Times New Roman" w:cs="Times New Roman"/>
          <w:b/>
          <w:sz w:val="28"/>
        </w:rPr>
        <w:t>201</w:t>
      </w:r>
      <w:r w:rsidR="009C2F09" w:rsidRPr="008311B2">
        <w:rPr>
          <w:rFonts w:ascii="Times New Roman" w:hAnsi="Times New Roman" w:cs="Times New Roman"/>
          <w:b/>
          <w:sz w:val="28"/>
        </w:rPr>
        <w:t>9</w:t>
      </w:r>
      <w:r w:rsidR="000C3143" w:rsidRPr="008311B2">
        <w:rPr>
          <w:rFonts w:ascii="Times New Roman" w:hAnsi="Times New Roman" w:cs="Times New Roman"/>
          <w:b/>
          <w:sz w:val="28"/>
        </w:rPr>
        <w:t xml:space="preserve"> ГОДА</w:t>
      </w: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11B2">
        <w:rPr>
          <w:rFonts w:ascii="Times New Roman" w:hAnsi="Times New Roman" w:cs="Times New Roman"/>
          <w:b/>
          <w:sz w:val="28"/>
        </w:rPr>
        <w:t>ДЕПАРТАМЕНТ «РАЗВИТИЕ РЫНКА»</w:t>
      </w: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4FBA" w:rsidRPr="008311B2" w:rsidRDefault="00984FBA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8311B2" w:rsidRDefault="009C2F09" w:rsidP="00984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11B2">
        <w:rPr>
          <w:rFonts w:ascii="Times New Roman" w:hAnsi="Times New Roman" w:cs="Times New Roman"/>
          <w:b/>
          <w:sz w:val="28"/>
        </w:rPr>
        <w:t>Феврал</w:t>
      </w:r>
      <w:r w:rsidR="00FD596B" w:rsidRPr="008311B2">
        <w:rPr>
          <w:rFonts w:ascii="Times New Roman" w:hAnsi="Times New Roman" w:cs="Times New Roman"/>
          <w:b/>
          <w:sz w:val="28"/>
        </w:rPr>
        <w:t>ь</w:t>
      </w:r>
      <w:r w:rsidRPr="008311B2">
        <w:rPr>
          <w:rFonts w:ascii="Times New Roman" w:hAnsi="Times New Roman" w:cs="Times New Roman"/>
          <w:b/>
          <w:sz w:val="28"/>
        </w:rPr>
        <w:t>, 2019</w:t>
      </w:r>
      <w:r w:rsidR="00984FBA" w:rsidRPr="008311B2">
        <w:rPr>
          <w:rFonts w:ascii="Times New Roman" w:hAnsi="Times New Roman" w:cs="Times New Roman"/>
          <w:b/>
          <w:sz w:val="28"/>
        </w:rPr>
        <w:t>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/>
      <w:sdtContent>
        <w:p w:rsidR="00545712" w:rsidRPr="008311B2" w:rsidRDefault="00545712" w:rsidP="00CB6062">
          <w:pPr>
            <w:pStyle w:val="afb"/>
            <w:spacing w:before="0"/>
            <w:rPr>
              <w:rFonts w:ascii="Times New Roman" w:hAnsi="Times New Roman" w:cs="Times New Roman"/>
            </w:rPr>
          </w:pPr>
          <w:r w:rsidRPr="008311B2">
            <w:rPr>
              <w:rFonts w:ascii="Times New Roman" w:hAnsi="Times New Roman" w:cs="Times New Roman"/>
            </w:rPr>
            <w:t>Оглавление</w:t>
          </w:r>
        </w:p>
        <w:p w:rsidR="008311B2" w:rsidRPr="008311B2" w:rsidRDefault="0056275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8311B2">
            <w:fldChar w:fldCharType="begin"/>
          </w:r>
          <w:r w:rsidR="00545712" w:rsidRPr="008311B2">
            <w:instrText xml:space="preserve"> TOC \o "1-3" \h \z \u </w:instrText>
          </w:r>
          <w:r w:rsidRPr="008311B2">
            <w:fldChar w:fldCharType="separate"/>
          </w:r>
          <w:hyperlink w:anchor="_Toc2345641" w:history="1">
            <w:r w:rsidR="008311B2" w:rsidRPr="008311B2">
              <w:rPr>
                <w:rStyle w:val="aa"/>
                <w:b/>
              </w:rPr>
              <w:t xml:space="preserve">РАЗДЕЛ </w:t>
            </w:r>
            <w:r w:rsidR="008311B2" w:rsidRPr="008311B2">
              <w:rPr>
                <w:rStyle w:val="aa"/>
                <w:b/>
                <w:lang w:val="en-US"/>
              </w:rPr>
              <w:t>I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_Toc2345641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3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8311B2" w:rsidRPr="008311B2" w:rsidRDefault="007E2BB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2345642" w:history="1">
            <w:r w:rsidR="008311B2" w:rsidRPr="008311B2">
              <w:rPr>
                <w:rStyle w:val="aa"/>
                <w:b/>
              </w:rPr>
              <w:t>1.</w:t>
            </w:r>
            <w:r w:rsidR="008311B2" w:rsidRPr="008311B2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8311B2" w:rsidRPr="008311B2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_Toc2345642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3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8311B2" w:rsidRPr="008311B2" w:rsidRDefault="007E2BB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2345643" w:history="1">
            <w:r w:rsidR="008311B2" w:rsidRPr="008311B2">
              <w:rPr>
                <w:rStyle w:val="aa"/>
                <w:i/>
              </w:rPr>
              <w:t>Производство электроэнергии по областям РК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_Toc2345643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3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8311B2" w:rsidRPr="008311B2" w:rsidRDefault="007E2BB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2345644" w:history="1">
            <w:r w:rsidR="008311B2" w:rsidRPr="008311B2">
              <w:rPr>
                <w:rStyle w:val="aa"/>
                <w:i/>
              </w:rPr>
              <w:t>Производство электроэнергии связанной генерацией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_Toc2345644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4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8311B2" w:rsidRPr="008311B2" w:rsidRDefault="007E2BB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2345645" w:history="1">
            <w:r w:rsidR="008311B2" w:rsidRPr="008311B2">
              <w:rPr>
                <w:rStyle w:val="aa"/>
                <w:b/>
              </w:rPr>
              <w:t>2.</w:t>
            </w:r>
            <w:r w:rsidR="008311B2" w:rsidRPr="008311B2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8311B2" w:rsidRPr="008311B2">
              <w:rPr>
                <w:rStyle w:val="aa"/>
                <w:b/>
              </w:rPr>
              <w:t>Потребление электрической энергии в ЕЭС Казахстана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_Toc2345645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5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8311B2" w:rsidRPr="008311B2" w:rsidRDefault="007E2BB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2345646" w:history="1">
            <w:r w:rsidR="008311B2" w:rsidRPr="008311B2">
              <w:rPr>
                <w:rStyle w:val="aa"/>
                <w:i/>
              </w:rPr>
              <w:t>Потребление электрической энергии по зонам и областям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_Toc2345646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5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8311B2" w:rsidRPr="008311B2" w:rsidRDefault="007E2BB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2345647" w:history="1">
            <w:r w:rsidR="008311B2" w:rsidRPr="008311B2">
              <w:rPr>
                <w:rStyle w:val="aa"/>
                <w:i/>
              </w:rPr>
              <w:t>Итоги работы промышленности за 1 месяц 2019 года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_Toc2345647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5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8311B2" w:rsidRPr="008311B2" w:rsidRDefault="007E2BB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2345648" w:history="1">
            <w:r w:rsidR="008311B2" w:rsidRPr="008311B2">
              <w:rPr>
                <w:rStyle w:val="aa"/>
                <w:i/>
              </w:rPr>
              <w:t>Электропотребление крупными потребителями Казахстана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_Toc2345648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7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8311B2" w:rsidRPr="008311B2" w:rsidRDefault="007E2BB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2345649" w:history="1">
            <w:r w:rsidR="008311B2" w:rsidRPr="008311B2">
              <w:rPr>
                <w:rStyle w:val="aa"/>
                <w:i/>
              </w:rPr>
              <w:t>Электропотребление потребителями связанной генерации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_Toc2345649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8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8311B2" w:rsidRPr="008311B2" w:rsidRDefault="007E2BB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2345650" w:history="1">
            <w:r w:rsidR="008311B2" w:rsidRPr="008311B2">
              <w:rPr>
                <w:rStyle w:val="aa"/>
                <w:b/>
              </w:rPr>
              <w:t>3.</w:t>
            </w:r>
            <w:r w:rsidR="008311B2" w:rsidRPr="008311B2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8311B2" w:rsidRPr="008311B2">
              <w:rPr>
                <w:rStyle w:val="aa"/>
                <w:b/>
              </w:rPr>
              <w:t>Уголь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_Toc2345650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8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8311B2" w:rsidRPr="008311B2" w:rsidRDefault="007E2BB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2345651" w:history="1">
            <w:r w:rsidR="008311B2" w:rsidRPr="008311B2">
              <w:rPr>
                <w:rStyle w:val="aa"/>
                <w:i/>
              </w:rPr>
              <w:t>Добыча энергетического угля в Казахстане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_Toc2345651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8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8311B2" w:rsidRPr="008311B2" w:rsidRDefault="007E2BB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2345652" w:history="1">
            <w:r w:rsidR="008311B2" w:rsidRPr="008311B2">
              <w:rPr>
                <w:rStyle w:val="aa"/>
                <w:i/>
              </w:rPr>
              <w:t>Добыча угля АО «Самрук-Энерго»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_Toc2345652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8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8311B2" w:rsidRPr="008311B2" w:rsidRDefault="007E2BB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2345653" w:history="1">
            <w:r w:rsidR="008311B2" w:rsidRPr="008311B2">
              <w:rPr>
                <w:rStyle w:val="aa"/>
                <w:i/>
              </w:rPr>
              <w:t>Реализация угля АО «Самрук-Энерго»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_Toc2345653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8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8311B2" w:rsidRPr="008311B2" w:rsidRDefault="007E2BB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2345654" w:history="1">
            <w:r w:rsidR="008311B2" w:rsidRPr="008311B2">
              <w:rPr>
                <w:rStyle w:val="aa"/>
                <w:b/>
              </w:rPr>
              <w:t>4.</w:t>
            </w:r>
            <w:r w:rsidR="008311B2" w:rsidRPr="008311B2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8311B2" w:rsidRPr="008311B2">
              <w:rPr>
                <w:rStyle w:val="aa"/>
                <w:b/>
              </w:rPr>
              <w:t>Возобновляемые источники энергии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_Toc2345654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8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8311B2" w:rsidRPr="008311B2" w:rsidRDefault="007E2BB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2345655" w:history="1">
            <w:r w:rsidR="008311B2" w:rsidRPr="008311B2">
              <w:rPr>
                <w:rStyle w:val="aa"/>
                <w:b/>
              </w:rPr>
              <w:t>5.</w:t>
            </w:r>
            <w:r w:rsidR="008311B2" w:rsidRPr="008311B2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8311B2" w:rsidRPr="008311B2">
              <w:rPr>
                <w:rStyle w:val="aa"/>
                <w:b/>
              </w:rPr>
              <w:t>Централизованные торги электроэнергией АО «КОРЭМ»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_Toc2345655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10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8311B2" w:rsidRPr="008311B2" w:rsidRDefault="007E2BB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2345656" w:history="1">
            <w:r w:rsidR="008311B2" w:rsidRPr="008311B2">
              <w:rPr>
                <w:rStyle w:val="aa"/>
                <w:i/>
              </w:rPr>
              <w:t>Общие итоги торгов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_Toc2345656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10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8311B2" w:rsidRPr="008311B2" w:rsidRDefault="007E2BB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2345657" w:history="1">
            <w:r w:rsidR="008311B2" w:rsidRPr="008311B2">
              <w:rPr>
                <w:rStyle w:val="aa"/>
                <w:i/>
              </w:rPr>
              <w:t>Общие итоги торгов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_Toc2345657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10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8311B2" w:rsidRPr="008311B2" w:rsidRDefault="007E2BB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2345658" w:history="1">
            <w:r w:rsidR="008311B2" w:rsidRPr="008311B2">
              <w:rPr>
                <w:rStyle w:val="aa"/>
                <w:i/>
              </w:rPr>
              <w:t>Итоги спот-торгов в режиме «за день вперед»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_Toc2345658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11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8311B2" w:rsidRPr="008311B2" w:rsidRDefault="007E2BB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2345659" w:history="1">
            <w:r w:rsidR="008311B2" w:rsidRPr="008311B2">
              <w:rPr>
                <w:rStyle w:val="aa"/>
                <w:i/>
              </w:rPr>
              <w:t>Итоги спот-торгов «в течение операционных суток»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_Toc2345659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12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8311B2" w:rsidRPr="008311B2" w:rsidRDefault="007E2BB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2345660" w:history="1">
            <w:r w:rsidR="008311B2" w:rsidRPr="008311B2">
              <w:rPr>
                <w:rStyle w:val="aa"/>
                <w:i/>
              </w:rPr>
              <w:t>Итоги торгов на средне- и долгосрочный период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_Toc2345660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13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8311B2" w:rsidRPr="008311B2" w:rsidRDefault="007E2BB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2345661" w:history="1">
            <w:r w:rsidR="008311B2" w:rsidRPr="008311B2">
              <w:rPr>
                <w:rStyle w:val="aa"/>
                <w:b/>
              </w:rPr>
              <w:t>6.</w:t>
            </w:r>
            <w:r w:rsidR="008311B2" w:rsidRPr="008311B2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8311B2" w:rsidRPr="008311B2">
              <w:rPr>
                <w:rStyle w:val="aa"/>
                <w:b/>
              </w:rPr>
              <w:t>Экспорт-импорт электрической энергии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_Toc2345661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13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8311B2" w:rsidRPr="008311B2" w:rsidRDefault="007E2BB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2345662" w:history="1">
            <w:r w:rsidR="008311B2" w:rsidRPr="008311B2">
              <w:rPr>
                <w:rStyle w:val="aa"/>
                <w:b/>
              </w:rPr>
              <w:t>РАЗДЕЛ II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_Toc2345662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13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8311B2" w:rsidRPr="008311B2" w:rsidRDefault="007E2BB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2345663" w:history="1">
            <w:r w:rsidR="008311B2" w:rsidRPr="008311B2">
              <w:rPr>
                <w:rStyle w:val="aa"/>
                <w:b/>
              </w:rPr>
              <w:t>1.</w:t>
            </w:r>
            <w:r w:rsidR="008311B2" w:rsidRPr="008311B2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8311B2" w:rsidRPr="008311B2">
              <w:rPr>
                <w:rStyle w:val="aa"/>
                <w:b/>
              </w:rPr>
              <w:t>Статус формирования Общего электроэнергетического рынка Евразийского экономического союза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_Toc2345663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13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8311B2" w:rsidRPr="008311B2" w:rsidRDefault="007E2BB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2345664" w:history="1">
            <w:r w:rsidR="008311B2" w:rsidRPr="008311B2">
              <w:rPr>
                <w:rStyle w:val="aa"/>
                <w:b/>
              </w:rPr>
              <w:t>2.</w:t>
            </w:r>
            <w:r w:rsidR="008311B2" w:rsidRPr="008311B2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8311B2" w:rsidRPr="008311B2">
              <w:rPr>
                <w:rStyle w:val="aa"/>
                <w:b/>
              </w:rPr>
              <w:t>Статус формирования Электроэнергетического рынка СНГ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_Toc2345664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14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8311B2" w:rsidRPr="008311B2" w:rsidRDefault="007E2BB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2345665" w:history="1">
            <w:r w:rsidR="008311B2" w:rsidRPr="008311B2">
              <w:rPr>
                <w:rStyle w:val="aa"/>
                <w:b/>
              </w:rPr>
              <w:t>3.</w:t>
            </w:r>
            <w:r w:rsidR="008311B2" w:rsidRPr="008311B2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8311B2" w:rsidRPr="008311B2">
              <w:rPr>
                <w:rStyle w:val="aa"/>
                <w:b/>
              </w:rPr>
              <w:t>Статус реализации проекта CASA-1000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_Toc2345665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15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8311B2" w:rsidRPr="008311B2" w:rsidRDefault="007E2BB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2345666" w:history="1">
            <w:r w:rsidR="008311B2" w:rsidRPr="008311B2">
              <w:rPr>
                <w:rStyle w:val="aa"/>
                <w:b/>
              </w:rPr>
              <w:t>4.</w:t>
            </w:r>
            <w:r w:rsidR="008311B2" w:rsidRPr="008311B2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8311B2" w:rsidRPr="008311B2">
              <w:rPr>
                <w:rStyle w:val="aa"/>
                <w:b/>
              </w:rPr>
              <w:t>Обзор СМИ в странах СНГ</w:t>
            </w:r>
            <w:r w:rsidR="008311B2" w:rsidRPr="008311B2">
              <w:rPr>
                <w:webHidden/>
              </w:rPr>
              <w:tab/>
            </w:r>
            <w:r w:rsidR="008311B2" w:rsidRPr="008311B2">
              <w:rPr>
                <w:webHidden/>
              </w:rPr>
              <w:fldChar w:fldCharType="begin"/>
            </w:r>
            <w:r w:rsidR="008311B2" w:rsidRPr="008311B2">
              <w:rPr>
                <w:webHidden/>
              </w:rPr>
              <w:instrText xml:space="preserve"> PAGEREF _Toc2345666 \h </w:instrText>
            </w:r>
            <w:r w:rsidR="008311B2" w:rsidRPr="008311B2">
              <w:rPr>
                <w:webHidden/>
              </w:rPr>
            </w:r>
            <w:r w:rsidR="008311B2" w:rsidRPr="008311B2">
              <w:rPr>
                <w:webHidden/>
              </w:rPr>
              <w:fldChar w:fldCharType="separate"/>
            </w:r>
            <w:r w:rsidR="008311B2" w:rsidRPr="008311B2">
              <w:rPr>
                <w:webHidden/>
              </w:rPr>
              <w:t>16</w:t>
            </w:r>
            <w:r w:rsidR="008311B2" w:rsidRPr="008311B2">
              <w:rPr>
                <w:webHidden/>
              </w:rPr>
              <w:fldChar w:fldCharType="end"/>
            </w:r>
          </w:hyperlink>
        </w:p>
        <w:p w:rsidR="00545712" w:rsidRPr="008311B2" w:rsidRDefault="00562751" w:rsidP="00CB6062">
          <w:pPr>
            <w:spacing w:after="0"/>
            <w:rPr>
              <w:rFonts w:ascii="Times New Roman" w:hAnsi="Times New Roman" w:cs="Times New Roman"/>
            </w:rPr>
          </w:pPr>
          <w:r w:rsidRPr="008311B2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8311B2" w:rsidRDefault="00995E50" w:rsidP="00CB6062">
      <w:pPr>
        <w:pStyle w:val="11"/>
        <w:spacing w:before="0"/>
        <w:rPr>
          <w:lang w:val="en-US"/>
        </w:rPr>
      </w:pPr>
    </w:p>
    <w:p w:rsidR="001D295E" w:rsidRPr="008311B2" w:rsidRDefault="001D295E" w:rsidP="00CB6062">
      <w:pPr>
        <w:spacing w:after="0" w:line="240" w:lineRule="auto"/>
        <w:rPr>
          <w:lang w:val="en-US"/>
        </w:rPr>
      </w:pPr>
    </w:p>
    <w:p w:rsidR="00F47C61" w:rsidRPr="008311B2" w:rsidRDefault="00F47C61" w:rsidP="00CB6062">
      <w:pPr>
        <w:spacing w:after="0" w:line="240" w:lineRule="auto"/>
        <w:rPr>
          <w:lang w:val="en-US"/>
        </w:rPr>
      </w:pPr>
    </w:p>
    <w:p w:rsidR="00F47C61" w:rsidRPr="008311B2" w:rsidRDefault="00F47C61" w:rsidP="00CB6062">
      <w:pPr>
        <w:spacing w:after="0" w:line="240" w:lineRule="auto"/>
      </w:pPr>
    </w:p>
    <w:p w:rsidR="00C71038" w:rsidRPr="008311B2" w:rsidRDefault="00C71038" w:rsidP="00CB6062">
      <w:pPr>
        <w:spacing w:after="0" w:line="240" w:lineRule="auto"/>
      </w:pPr>
    </w:p>
    <w:p w:rsidR="00C71038" w:rsidRPr="008311B2" w:rsidRDefault="00C71038" w:rsidP="00CB6062">
      <w:pPr>
        <w:spacing w:after="0" w:line="240" w:lineRule="auto"/>
      </w:pPr>
    </w:p>
    <w:p w:rsidR="00C71038" w:rsidRPr="008311B2" w:rsidRDefault="00C71038" w:rsidP="00CB6062">
      <w:pPr>
        <w:spacing w:after="0" w:line="240" w:lineRule="auto"/>
      </w:pPr>
    </w:p>
    <w:p w:rsidR="00633669" w:rsidRPr="008311B2" w:rsidRDefault="00633669" w:rsidP="00CB6062">
      <w:pPr>
        <w:spacing w:after="0" w:line="240" w:lineRule="auto"/>
        <w:rPr>
          <w:lang w:val="en-US"/>
        </w:rPr>
      </w:pPr>
    </w:p>
    <w:p w:rsidR="00CB6062" w:rsidRPr="008311B2" w:rsidRDefault="00CB6062" w:rsidP="00CB6062">
      <w:pPr>
        <w:spacing w:after="0" w:line="240" w:lineRule="auto"/>
        <w:rPr>
          <w:lang w:val="en-US"/>
        </w:rPr>
      </w:pPr>
    </w:p>
    <w:p w:rsidR="00CB6062" w:rsidRPr="008311B2" w:rsidRDefault="00CB6062" w:rsidP="00CB6062">
      <w:pPr>
        <w:spacing w:after="0" w:line="240" w:lineRule="auto"/>
        <w:rPr>
          <w:lang w:val="en-US"/>
        </w:rPr>
      </w:pPr>
    </w:p>
    <w:p w:rsidR="00CB6062" w:rsidRPr="008311B2" w:rsidRDefault="00CB6062" w:rsidP="00CB6062">
      <w:pPr>
        <w:spacing w:after="0" w:line="240" w:lineRule="auto"/>
        <w:rPr>
          <w:lang w:val="en-US"/>
        </w:rPr>
      </w:pPr>
    </w:p>
    <w:p w:rsidR="00CB6062" w:rsidRPr="008311B2" w:rsidRDefault="00CB6062" w:rsidP="00CB6062">
      <w:pPr>
        <w:spacing w:after="0" w:line="240" w:lineRule="auto"/>
        <w:rPr>
          <w:lang w:val="en-US"/>
        </w:rPr>
      </w:pPr>
    </w:p>
    <w:p w:rsidR="00CB6062" w:rsidRPr="008311B2" w:rsidRDefault="00CB6062" w:rsidP="00CB6062">
      <w:pPr>
        <w:spacing w:after="0" w:line="240" w:lineRule="auto"/>
        <w:rPr>
          <w:lang w:val="en-US"/>
        </w:rPr>
      </w:pPr>
    </w:p>
    <w:p w:rsidR="00CB6062" w:rsidRPr="008311B2" w:rsidRDefault="00B94F51" w:rsidP="00CB6062">
      <w:pPr>
        <w:pStyle w:val="1"/>
        <w:spacing w:before="0" w:line="240" w:lineRule="auto"/>
        <w:rPr>
          <w:rFonts w:ascii="Times New Roman" w:hAnsi="Times New Roman" w:cs="Times New Roman"/>
          <w:b/>
          <w:lang w:val="en-US"/>
        </w:rPr>
      </w:pPr>
      <w:bookmarkStart w:id="0" w:name="_Toc2345641"/>
      <w:r w:rsidRPr="008311B2">
        <w:rPr>
          <w:rFonts w:ascii="Times New Roman" w:hAnsi="Times New Roman" w:cs="Times New Roman"/>
          <w:b/>
        </w:rPr>
        <w:lastRenderedPageBreak/>
        <w:t xml:space="preserve">РАЗДЕЛ </w:t>
      </w:r>
      <w:r w:rsidR="00CB6062" w:rsidRPr="008311B2">
        <w:rPr>
          <w:rFonts w:ascii="Times New Roman" w:hAnsi="Times New Roman" w:cs="Times New Roman"/>
          <w:b/>
          <w:lang w:val="en-US"/>
        </w:rPr>
        <w:t>I</w:t>
      </w:r>
      <w:bookmarkEnd w:id="0"/>
    </w:p>
    <w:p w:rsidR="00682876" w:rsidRPr="008311B2" w:rsidRDefault="00541D3A" w:rsidP="00CB606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" w:name="_Toc2345642"/>
      <w:r w:rsidRPr="008311B2">
        <w:rPr>
          <w:rFonts w:ascii="Times New Roman" w:hAnsi="Times New Roman" w:cs="Times New Roman"/>
          <w:b/>
        </w:rPr>
        <w:t>Производство электрической энергии в ЕЭС Казахстана</w:t>
      </w:r>
      <w:bookmarkEnd w:id="1"/>
    </w:p>
    <w:p w:rsidR="00F31222" w:rsidRPr="008311B2" w:rsidRDefault="00F31222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023FFD" w:rsidRPr="008311B2" w:rsidRDefault="00023FFD" w:rsidP="000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11B2">
        <w:rPr>
          <w:rFonts w:ascii="Times New Roman" w:hAnsi="Times New Roman" w:cs="Times New Roman"/>
          <w:sz w:val="28"/>
        </w:rPr>
        <w:t xml:space="preserve">По данным Системного оператора электростанциями РК в январе 2019 года было выработано 9 944,4 млн. </w:t>
      </w:r>
      <w:proofErr w:type="spellStart"/>
      <w:r w:rsidRPr="008311B2">
        <w:rPr>
          <w:rFonts w:ascii="Times New Roman" w:hAnsi="Times New Roman" w:cs="Times New Roman"/>
          <w:sz w:val="28"/>
        </w:rPr>
        <w:t>кВтч</w:t>
      </w:r>
      <w:proofErr w:type="spellEnd"/>
      <w:r w:rsidRPr="008311B2">
        <w:rPr>
          <w:rFonts w:ascii="Times New Roman" w:hAnsi="Times New Roman" w:cs="Times New Roman"/>
          <w:sz w:val="28"/>
        </w:rPr>
        <w:t xml:space="preserve"> электроэнергии, что на 4% меньше аналогичного периода 2018 года. Рост выработки наблюдался лишь в Западной зоне ЕЭС Казахстана.</w:t>
      </w:r>
    </w:p>
    <w:p w:rsidR="001447DB" w:rsidRPr="008311B2" w:rsidRDefault="001447DB" w:rsidP="00CB60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8311B2">
        <w:rPr>
          <w:rFonts w:ascii="Times New Roman" w:hAnsi="Times New Roman" w:cs="Times New Roman"/>
          <w:i/>
          <w:sz w:val="24"/>
        </w:rPr>
        <w:t>мл</w:t>
      </w:r>
      <w:r w:rsidR="00582144" w:rsidRPr="008311B2">
        <w:rPr>
          <w:rFonts w:ascii="Times New Roman" w:hAnsi="Times New Roman" w:cs="Times New Roman"/>
          <w:i/>
          <w:sz w:val="24"/>
        </w:rPr>
        <w:t>н</w:t>
      </w:r>
      <w:r w:rsidRPr="008311B2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8311B2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2258"/>
        <w:gridCol w:w="2552"/>
        <w:gridCol w:w="1843"/>
        <w:gridCol w:w="1842"/>
        <w:gridCol w:w="1418"/>
      </w:tblGrid>
      <w:tr w:rsidR="00023FFD" w:rsidRPr="008311B2" w:rsidTr="00457F45">
        <w:trPr>
          <w:trHeight w:val="615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генерации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10357,3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9944,4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-4,0%</w:t>
            </w: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8652,8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-4,1%</w:t>
            </w: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-2,3%</w:t>
            </w: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-7,2%</w:t>
            </w: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40,2%</w:t>
            </w: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123,8%</w:t>
            </w: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7867,2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-4,4%</w:t>
            </w: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7023,4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-4,4%</w:t>
            </w: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-1,5%</w:t>
            </w: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-6,2%</w:t>
            </w: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-13,0%</w:t>
            </w: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-6,9%</w:t>
            </w: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-7,3%</w:t>
            </w: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-1,0%</w:t>
            </w: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-9,2%</w:t>
            </w: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15,7%</w:t>
            </w: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95,2%</w:t>
            </w: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1,4%</w:t>
            </w: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2,8%</w:t>
            </w: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-2,8%</w:t>
            </w: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23FFD" w:rsidRPr="008311B2" w:rsidTr="00023FFD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BC6332" w:rsidRPr="008311B2" w:rsidRDefault="00682876" w:rsidP="00BC633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2345643"/>
      <w:r w:rsidRPr="008311B2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</w:t>
      </w:r>
      <w:r w:rsidR="001447DB" w:rsidRPr="008311B2">
        <w:rPr>
          <w:rFonts w:ascii="Times New Roman" w:hAnsi="Times New Roman" w:cs="Times New Roman"/>
          <w:i/>
          <w:color w:val="auto"/>
          <w:sz w:val="28"/>
        </w:rPr>
        <w:t xml:space="preserve"> РК</w:t>
      </w:r>
      <w:bookmarkEnd w:id="2"/>
    </w:p>
    <w:p w:rsidR="00023FFD" w:rsidRPr="008311B2" w:rsidRDefault="00023FFD" w:rsidP="00023FFD"/>
    <w:p w:rsidR="00023FFD" w:rsidRPr="008311B2" w:rsidRDefault="00023FFD" w:rsidP="000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11B2">
        <w:rPr>
          <w:rFonts w:ascii="Times New Roman" w:hAnsi="Times New Roman" w:cs="Times New Roman"/>
          <w:sz w:val="28"/>
        </w:rPr>
        <w:t xml:space="preserve">В январе 2019 года по сравнению с аналогичным периодом 2018 года производство электроэнергии значительно увеличилось (рост 20% и выше) в Туркестанской области. В то же время, снижение производства электроэнергии (более 5%) наблюдалось в </w:t>
      </w:r>
      <w:proofErr w:type="spellStart"/>
      <w:r w:rsidRPr="008311B2">
        <w:rPr>
          <w:rFonts w:ascii="Times New Roman" w:hAnsi="Times New Roman" w:cs="Times New Roman"/>
          <w:sz w:val="28"/>
        </w:rPr>
        <w:t>Алматинской</w:t>
      </w:r>
      <w:proofErr w:type="spellEnd"/>
      <w:r w:rsidRPr="008311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11B2">
        <w:rPr>
          <w:rFonts w:ascii="Times New Roman" w:hAnsi="Times New Roman" w:cs="Times New Roman"/>
          <w:sz w:val="28"/>
        </w:rPr>
        <w:t>Жамбылской</w:t>
      </w:r>
      <w:proofErr w:type="spellEnd"/>
      <w:r w:rsidRPr="008311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11B2">
        <w:rPr>
          <w:rFonts w:ascii="Times New Roman" w:hAnsi="Times New Roman" w:cs="Times New Roman"/>
          <w:sz w:val="28"/>
        </w:rPr>
        <w:t>Костанайской</w:t>
      </w:r>
      <w:proofErr w:type="spellEnd"/>
      <w:r w:rsidRPr="008311B2">
        <w:rPr>
          <w:rFonts w:ascii="Times New Roman" w:hAnsi="Times New Roman" w:cs="Times New Roman"/>
          <w:sz w:val="28"/>
        </w:rPr>
        <w:t xml:space="preserve"> и Павлодарской областях. </w:t>
      </w:r>
    </w:p>
    <w:p w:rsidR="00023FFD" w:rsidRPr="008311B2" w:rsidRDefault="00023FFD" w:rsidP="00CB60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9B7719" w:rsidRPr="008311B2" w:rsidRDefault="009B7719" w:rsidP="00CB60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8311B2">
        <w:rPr>
          <w:rFonts w:ascii="Times New Roman" w:hAnsi="Times New Roman" w:cs="Times New Roman"/>
          <w:i/>
          <w:sz w:val="24"/>
        </w:rPr>
        <w:lastRenderedPageBreak/>
        <w:t>мл</w:t>
      </w:r>
      <w:r w:rsidR="00582144" w:rsidRPr="008311B2">
        <w:rPr>
          <w:rFonts w:ascii="Times New Roman" w:hAnsi="Times New Roman" w:cs="Times New Roman"/>
          <w:i/>
          <w:sz w:val="24"/>
        </w:rPr>
        <w:t>н</w:t>
      </w:r>
      <w:r w:rsidRPr="008311B2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8311B2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740"/>
        <w:gridCol w:w="4070"/>
        <w:gridCol w:w="1984"/>
        <w:gridCol w:w="1985"/>
        <w:gridCol w:w="1134"/>
      </w:tblGrid>
      <w:tr w:rsidR="00023FFD" w:rsidRPr="008311B2" w:rsidTr="00457F45">
        <w:trPr>
          <w:trHeight w:val="330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023FFD" w:rsidRPr="008311B2" w:rsidTr="00023FFD">
        <w:trPr>
          <w:trHeight w:val="330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23FFD" w:rsidRPr="008311B2" w:rsidTr="00023FFD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0,7%</w:t>
            </w:r>
          </w:p>
        </w:tc>
      </w:tr>
      <w:tr w:rsidR="00023FFD" w:rsidRPr="008311B2" w:rsidTr="00023FFD">
        <w:trPr>
          <w:trHeight w:val="2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-0,3%</w:t>
            </w:r>
          </w:p>
        </w:tc>
      </w:tr>
      <w:tr w:rsidR="00023FFD" w:rsidRPr="008311B2" w:rsidTr="00023FFD">
        <w:trPr>
          <w:trHeight w:val="15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-9,1%</w:t>
            </w:r>
          </w:p>
        </w:tc>
      </w:tr>
      <w:tr w:rsidR="00023FFD" w:rsidRPr="008311B2" w:rsidTr="00023FFD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6,5%</w:t>
            </w:r>
          </w:p>
        </w:tc>
      </w:tr>
      <w:tr w:rsidR="00023FFD" w:rsidRPr="008311B2" w:rsidTr="00023FFD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-0,6%</w:t>
            </w:r>
          </w:p>
        </w:tc>
      </w:tr>
      <w:tr w:rsidR="00023FFD" w:rsidRPr="008311B2" w:rsidTr="00023FFD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-16,2%</w:t>
            </w:r>
          </w:p>
        </w:tc>
      </w:tr>
      <w:tr w:rsidR="00023FFD" w:rsidRPr="008311B2" w:rsidTr="00023FFD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-1,1%</w:t>
            </w:r>
          </w:p>
        </w:tc>
      </w:tr>
      <w:tr w:rsidR="00023FFD" w:rsidRPr="008311B2" w:rsidTr="00023FFD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</w:tr>
      <w:tr w:rsidR="00023FFD" w:rsidRPr="008311B2" w:rsidTr="00023FFD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-21,3%</w:t>
            </w:r>
          </w:p>
        </w:tc>
      </w:tr>
      <w:tr w:rsidR="00023FFD" w:rsidRPr="008311B2" w:rsidTr="00023FFD">
        <w:trPr>
          <w:trHeight w:val="18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5,4%</w:t>
            </w:r>
          </w:p>
        </w:tc>
      </w:tr>
      <w:tr w:rsidR="00023FFD" w:rsidRPr="008311B2" w:rsidTr="00023FFD">
        <w:trPr>
          <w:trHeight w:val="13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-2,6%</w:t>
            </w:r>
          </w:p>
        </w:tc>
      </w:tr>
      <w:tr w:rsidR="00023FFD" w:rsidRPr="008311B2" w:rsidTr="00023FFD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-8,2%</w:t>
            </w:r>
          </w:p>
        </w:tc>
      </w:tr>
      <w:tr w:rsidR="00023FFD" w:rsidRPr="008311B2" w:rsidTr="00023FFD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023FFD" w:rsidRPr="008311B2" w:rsidTr="00023FFD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32,2%</w:t>
            </w:r>
          </w:p>
        </w:tc>
      </w:tr>
      <w:tr w:rsidR="00023FFD" w:rsidRPr="008311B2" w:rsidTr="00023FFD">
        <w:trPr>
          <w:trHeight w:val="1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02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D" w:rsidRPr="008311B2" w:rsidRDefault="00023FFD" w:rsidP="004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-4,0%</w:t>
            </w:r>
          </w:p>
        </w:tc>
      </w:tr>
    </w:tbl>
    <w:p w:rsidR="00BC6332" w:rsidRPr="008311B2" w:rsidRDefault="00BC6332" w:rsidP="00457F45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3" w:name="_Toc2345644"/>
      <w:r w:rsidRPr="008311B2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связанной генерацией</w:t>
      </w:r>
      <w:bookmarkEnd w:id="3"/>
    </w:p>
    <w:p w:rsidR="00CB6062" w:rsidRPr="008311B2" w:rsidRDefault="00CB6062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C46649" w:rsidRPr="008311B2" w:rsidRDefault="00C46649" w:rsidP="00C466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57F45">
        <w:rPr>
          <w:rFonts w:ascii="Times New Roman" w:hAnsi="Times New Roman" w:cs="Times New Roman"/>
          <w:sz w:val="28"/>
        </w:rPr>
        <w:t xml:space="preserve">За январь 2019 года производство электроэнергии связанной генерацией составило 4,8 млрд. </w:t>
      </w:r>
      <w:proofErr w:type="spellStart"/>
      <w:r w:rsidRPr="00457F45">
        <w:rPr>
          <w:rFonts w:ascii="Times New Roman" w:hAnsi="Times New Roman" w:cs="Times New Roman"/>
          <w:sz w:val="28"/>
        </w:rPr>
        <w:t>кВтч</w:t>
      </w:r>
      <w:proofErr w:type="spellEnd"/>
      <w:r w:rsidRPr="00457F45">
        <w:rPr>
          <w:rFonts w:ascii="Times New Roman" w:hAnsi="Times New Roman" w:cs="Times New Roman"/>
          <w:sz w:val="28"/>
        </w:rPr>
        <w:t xml:space="preserve">, что на 0,2 млрд. </w:t>
      </w:r>
      <w:proofErr w:type="spellStart"/>
      <w:r w:rsidRPr="00457F45">
        <w:rPr>
          <w:rFonts w:ascii="Times New Roman" w:hAnsi="Times New Roman" w:cs="Times New Roman"/>
          <w:sz w:val="28"/>
        </w:rPr>
        <w:t>кВтч</w:t>
      </w:r>
      <w:proofErr w:type="spellEnd"/>
      <w:r w:rsidRPr="00457F45">
        <w:rPr>
          <w:rFonts w:ascii="Times New Roman" w:hAnsi="Times New Roman" w:cs="Times New Roman"/>
          <w:sz w:val="28"/>
        </w:rPr>
        <w:t xml:space="preserve"> ниже по сравнению с аналогичным периодом</w:t>
      </w:r>
      <w:r w:rsidRPr="008311B2">
        <w:rPr>
          <w:rFonts w:ascii="Times New Roman" w:hAnsi="Times New Roman" w:cs="Times New Roman"/>
          <w:sz w:val="28"/>
        </w:rPr>
        <w:t xml:space="preserve"> 2018 года (5,0 млрд. </w:t>
      </w:r>
      <w:proofErr w:type="spellStart"/>
      <w:r w:rsidRPr="008311B2">
        <w:rPr>
          <w:rFonts w:ascii="Times New Roman" w:hAnsi="Times New Roman" w:cs="Times New Roman"/>
          <w:sz w:val="28"/>
        </w:rPr>
        <w:t>кВтч</w:t>
      </w:r>
      <w:proofErr w:type="spellEnd"/>
      <w:r w:rsidRPr="008311B2">
        <w:rPr>
          <w:rFonts w:ascii="Times New Roman" w:hAnsi="Times New Roman" w:cs="Times New Roman"/>
          <w:sz w:val="28"/>
        </w:rPr>
        <w:t xml:space="preserve">). Вместе с тем, по сравнению с январем 2018 года доля связанной генерации осталась на прежнем уровне, и составила 48,6% от общего объема производства электроэнергии в РК. </w:t>
      </w:r>
    </w:p>
    <w:p w:rsidR="004A4775" w:rsidRPr="008311B2" w:rsidRDefault="004A4775" w:rsidP="00CB60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8311B2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8311B2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701"/>
        <w:gridCol w:w="1417"/>
        <w:gridCol w:w="1418"/>
      </w:tblGrid>
      <w:tr w:rsidR="00CD400E" w:rsidRPr="008311B2" w:rsidTr="00CD400E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8311B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8311B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8311B2" w:rsidRDefault="00C46649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  <w:r w:rsidR="00CD400E"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  <w:p w:rsidR="00CD400E" w:rsidRPr="008311B2" w:rsidRDefault="00C46649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8311B2" w:rsidRDefault="00C46649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  <w:r w:rsidR="00CD400E"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 </w:t>
            </w:r>
          </w:p>
          <w:p w:rsidR="00CD400E" w:rsidRPr="008311B2" w:rsidRDefault="00CD400E" w:rsidP="00C4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</w:t>
            </w:r>
            <w:r w:rsidR="00C46649"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8311B2" w:rsidRDefault="007E2BB4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201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CD400E"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/2018</w:t>
            </w:r>
            <w:bookmarkStart w:id="4" w:name="_GoBack"/>
            <w:bookmarkEnd w:id="4"/>
            <w:r w:rsidR="00CD400E"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гг</w:t>
            </w:r>
          </w:p>
        </w:tc>
      </w:tr>
      <w:tr w:rsidR="00CD400E" w:rsidRPr="008311B2" w:rsidTr="00CD400E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0E" w:rsidRPr="008311B2" w:rsidRDefault="00CD400E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0E" w:rsidRPr="008311B2" w:rsidRDefault="00CD400E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8311B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8311B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8311B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8311B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C46649" w:rsidRPr="008311B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649" w:rsidRPr="008311B2" w:rsidRDefault="00C46649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649" w:rsidRPr="008311B2" w:rsidRDefault="00C46649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649" w:rsidRPr="008311B2" w:rsidRDefault="00C46649" w:rsidP="00156A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1 871,1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649" w:rsidRPr="008311B2" w:rsidRDefault="00C46649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1 694,0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649" w:rsidRPr="008311B2" w:rsidRDefault="00C46649" w:rsidP="00C46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-177,1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649" w:rsidRPr="008311B2" w:rsidRDefault="00C46649" w:rsidP="00C46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-9,5%</w:t>
            </w:r>
          </w:p>
        </w:tc>
      </w:tr>
      <w:tr w:rsidR="00C46649" w:rsidRPr="008311B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6649" w:rsidRPr="008311B2" w:rsidRDefault="00C46649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6649" w:rsidRPr="008311B2" w:rsidRDefault="00C46649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>Казахмыс</w:t>
            </w:r>
            <w:proofErr w:type="spellEnd"/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649" w:rsidRPr="008311B2" w:rsidRDefault="00C46649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596,7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649" w:rsidRPr="008311B2" w:rsidRDefault="00C46649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671,2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649" w:rsidRPr="008311B2" w:rsidRDefault="00C46649" w:rsidP="00C46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649" w:rsidRPr="008311B2" w:rsidRDefault="00C46649" w:rsidP="00C46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12,5%</w:t>
            </w:r>
          </w:p>
        </w:tc>
      </w:tr>
      <w:tr w:rsidR="00C46649" w:rsidRPr="008311B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6649" w:rsidRPr="008311B2" w:rsidRDefault="00C46649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6649" w:rsidRPr="008311B2" w:rsidRDefault="00C46649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>Казцинк</w:t>
            </w:r>
            <w:proofErr w:type="spellEnd"/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649" w:rsidRPr="008311B2" w:rsidRDefault="00C46649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257,8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649" w:rsidRPr="008311B2" w:rsidRDefault="00C46649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649" w:rsidRPr="008311B2" w:rsidRDefault="00C46649" w:rsidP="00C46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-18,8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649" w:rsidRPr="008311B2" w:rsidRDefault="00C46649" w:rsidP="00C46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-7,3%</w:t>
            </w:r>
          </w:p>
        </w:tc>
      </w:tr>
      <w:tr w:rsidR="00C46649" w:rsidRPr="008311B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6649" w:rsidRPr="008311B2" w:rsidRDefault="00C46649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6649" w:rsidRPr="008311B2" w:rsidRDefault="00C46649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Арселлор</w:t>
            </w:r>
            <w:proofErr w:type="spellEnd"/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649" w:rsidRPr="008311B2" w:rsidRDefault="00C46649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254,3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649" w:rsidRPr="008311B2" w:rsidRDefault="00C46649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187,7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649" w:rsidRPr="008311B2" w:rsidRDefault="00C46649" w:rsidP="00C46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-66,6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649" w:rsidRPr="008311B2" w:rsidRDefault="00C46649" w:rsidP="00C46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-26,2%</w:t>
            </w:r>
          </w:p>
        </w:tc>
      </w:tr>
      <w:tr w:rsidR="00C46649" w:rsidRPr="008311B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649" w:rsidRPr="008311B2" w:rsidRDefault="00C46649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649" w:rsidRPr="008311B2" w:rsidRDefault="00C46649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649" w:rsidRPr="008311B2" w:rsidRDefault="00C46649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638,6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649" w:rsidRPr="008311B2" w:rsidRDefault="00C46649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656,2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649" w:rsidRPr="008311B2" w:rsidRDefault="00C46649" w:rsidP="00C46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649" w:rsidRPr="008311B2" w:rsidRDefault="00C46649" w:rsidP="00C46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2,8%</w:t>
            </w:r>
          </w:p>
        </w:tc>
      </w:tr>
      <w:tr w:rsidR="00C46649" w:rsidRPr="008311B2" w:rsidTr="00CD400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649" w:rsidRPr="008311B2" w:rsidRDefault="00C46649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649" w:rsidRPr="008311B2" w:rsidRDefault="00C46649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649" w:rsidRPr="008311B2" w:rsidRDefault="00C46649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677,2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649" w:rsidRPr="008311B2" w:rsidRDefault="00C46649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694,3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649" w:rsidRPr="008311B2" w:rsidRDefault="00C46649" w:rsidP="00C46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649" w:rsidRPr="008311B2" w:rsidRDefault="00C46649" w:rsidP="00C46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2,5%</w:t>
            </w:r>
          </w:p>
        </w:tc>
      </w:tr>
      <w:tr w:rsidR="00C46649" w:rsidRPr="008311B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649" w:rsidRPr="008311B2" w:rsidRDefault="00C46649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649" w:rsidRPr="008311B2" w:rsidRDefault="00C46649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>Жамбылская</w:t>
            </w:r>
            <w:proofErr w:type="spellEnd"/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ГРЭС»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49" w:rsidRPr="008311B2" w:rsidRDefault="00C46649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264,1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49" w:rsidRPr="008311B2" w:rsidRDefault="00C46649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216,7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649" w:rsidRPr="008311B2" w:rsidRDefault="00C46649" w:rsidP="00C46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-47,4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649" w:rsidRPr="008311B2" w:rsidRDefault="00C46649" w:rsidP="00C46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-17,9%</w:t>
            </w:r>
          </w:p>
        </w:tc>
      </w:tr>
      <w:tr w:rsidR="00C46649" w:rsidRPr="008311B2" w:rsidTr="00076A8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46649" w:rsidRPr="008311B2" w:rsidRDefault="00C46649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46649" w:rsidRPr="008311B2" w:rsidRDefault="00C46649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46649" w:rsidRPr="008311B2" w:rsidRDefault="00C46649" w:rsidP="00156A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474,2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46649" w:rsidRPr="008311B2" w:rsidRDefault="00C46649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478,6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46649" w:rsidRPr="008311B2" w:rsidRDefault="00C46649" w:rsidP="00C46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46649" w:rsidRPr="008311B2" w:rsidRDefault="00C46649" w:rsidP="00C46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0,9%</w:t>
            </w:r>
          </w:p>
        </w:tc>
      </w:tr>
      <w:tr w:rsidR="00C46649" w:rsidRPr="008311B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649" w:rsidRPr="008311B2" w:rsidRDefault="00C46649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649" w:rsidRPr="008311B2" w:rsidRDefault="00C46649" w:rsidP="00CD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649" w:rsidRPr="008311B2" w:rsidRDefault="00C46649" w:rsidP="0007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5 034,0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649" w:rsidRPr="008311B2" w:rsidRDefault="00C46649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4 837,7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649" w:rsidRPr="008311B2" w:rsidRDefault="00C46649" w:rsidP="00C46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-196,3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649" w:rsidRPr="008311B2" w:rsidRDefault="00C46649" w:rsidP="00C46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-3,9%</w:t>
            </w:r>
          </w:p>
        </w:tc>
      </w:tr>
    </w:tbl>
    <w:p w:rsidR="00CD400E" w:rsidRPr="008311B2" w:rsidRDefault="00CD400E" w:rsidP="00CD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57F45" w:rsidRPr="00457F45" w:rsidRDefault="00CD400E" w:rsidP="00457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11B2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proofErr w:type="spellStart"/>
      <w:r w:rsidRPr="008311B2"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 w:rsidRPr="008311B2">
        <w:rPr>
          <w:rFonts w:ascii="Times New Roman" w:hAnsi="Times New Roman" w:cs="Times New Roman"/>
          <w:sz w:val="28"/>
        </w:rPr>
        <w:t xml:space="preserve"> организациями АО «</w:t>
      </w:r>
      <w:proofErr w:type="spellStart"/>
      <w:r w:rsidRPr="008311B2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8311B2">
        <w:rPr>
          <w:rFonts w:ascii="Times New Roman" w:hAnsi="Times New Roman" w:cs="Times New Roman"/>
          <w:sz w:val="28"/>
        </w:rPr>
        <w:t>» в я</w:t>
      </w:r>
      <w:r w:rsidR="002F20CC" w:rsidRPr="008311B2">
        <w:rPr>
          <w:rFonts w:ascii="Times New Roman" w:hAnsi="Times New Roman" w:cs="Times New Roman"/>
          <w:sz w:val="28"/>
        </w:rPr>
        <w:t>нваре 2019 года составил 2,9</w:t>
      </w:r>
      <w:r w:rsidR="00D36832" w:rsidRPr="008311B2">
        <w:rPr>
          <w:rFonts w:ascii="Times New Roman" w:hAnsi="Times New Roman" w:cs="Times New Roman"/>
          <w:sz w:val="28"/>
        </w:rPr>
        <w:t xml:space="preserve"> млрд.</w:t>
      </w:r>
      <w:r w:rsidR="0099385A" w:rsidRPr="00831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385A" w:rsidRPr="008311B2">
        <w:rPr>
          <w:rFonts w:ascii="Times New Roman" w:hAnsi="Times New Roman" w:cs="Times New Roman"/>
          <w:sz w:val="28"/>
        </w:rPr>
        <w:t>кВтч</w:t>
      </w:r>
      <w:proofErr w:type="spellEnd"/>
      <w:r w:rsidR="0099385A" w:rsidRPr="008311B2">
        <w:rPr>
          <w:rFonts w:ascii="Times New Roman" w:hAnsi="Times New Roman" w:cs="Times New Roman"/>
          <w:sz w:val="28"/>
        </w:rPr>
        <w:t xml:space="preserve"> или снижение на 7</w:t>
      </w:r>
      <w:r w:rsidR="00691F19" w:rsidRPr="008311B2">
        <w:rPr>
          <w:rFonts w:ascii="Times New Roman" w:hAnsi="Times New Roman" w:cs="Times New Roman"/>
          <w:sz w:val="28"/>
        </w:rPr>
        <w:t>,8</w:t>
      </w:r>
      <w:r w:rsidRPr="008311B2">
        <w:rPr>
          <w:rFonts w:ascii="Times New Roman" w:hAnsi="Times New Roman" w:cs="Times New Roman"/>
          <w:sz w:val="28"/>
        </w:rPr>
        <w:t>% в сравнении с показа</w:t>
      </w:r>
      <w:r w:rsidR="0099385A" w:rsidRPr="008311B2">
        <w:rPr>
          <w:rFonts w:ascii="Times New Roman" w:hAnsi="Times New Roman" w:cs="Times New Roman"/>
          <w:sz w:val="28"/>
        </w:rPr>
        <w:t>телями аналогичного периода 2018</w:t>
      </w:r>
      <w:r w:rsidR="00457F45">
        <w:rPr>
          <w:rFonts w:ascii="Times New Roman" w:hAnsi="Times New Roman" w:cs="Times New Roman"/>
          <w:sz w:val="28"/>
        </w:rPr>
        <w:t xml:space="preserve"> года.</w:t>
      </w:r>
    </w:p>
    <w:p w:rsidR="004A4775" w:rsidRPr="008311B2" w:rsidRDefault="004A4775" w:rsidP="00CB606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8311B2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8311B2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1"/>
        <w:gridCol w:w="3246"/>
        <w:gridCol w:w="992"/>
        <w:gridCol w:w="1151"/>
        <w:gridCol w:w="992"/>
        <w:gridCol w:w="1151"/>
        <w:gridCol w:w="1134"/>
        <w:gridCol w:w="973"/>
      </w:tblGrid>
      <w:tr w:rsidR="0099385A" w:rsidRPr="008311B2" w:rsidTr="0099385A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2019г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2018/2019гг</w:t>
            </w:r>
          </w:p>
        </w:tc>
      </w:tr>
      <w:tr w:rsidR="0099385A" w:rsidRPr="008311B2" w:rsidTr="0099385A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99385A" w:rsidRPr="008311B2" w:rsidTr="0099385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</w:t>
            </w:r>
            <w:proofErr w:type="spellStart"/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Самрук-Энерго</w:t>
            </w:r>
            <w:proofErr w:type="spellEnd"/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3 161,1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30,5%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2 914,3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29,3%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-246,9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-7,8%</w:t>
            </w:r>
          </w:p>
        </w:tc>
      </w:tr>
      <w:tr w:rsidR="0099385A" w:rsidRPr="008311B2" w:rsidTr="0099385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</w:t>
            </w:r>
            <w:proofErr w:type="spellStart"/>
            <w:r w:rsidRPr="008311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8311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654,2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6,3%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594,1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6,0%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-60,1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-9,2%</w:t>
            </w:r>
          </w:p>
        </w:tc>
      </w:tr>
      <w:tr w:rsidR="0099385A" w:rsidRPr="008311B2" w:rsidTr="0099385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«Экибастузская ГРЭС-1»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1 784,4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17,2%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1 539,3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15,5%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-245,1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-13,7%</w:t>
            </w:r>
          </w:p>
        </w:tc>
      </w:tr>
      <w:tr w:rsidR="0099385A" w:rsidRPr="008311B2" w:rsidTr="0099385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«Экибастузская ГРЭС-2»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578,2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5,6%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639,9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6,4%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61,8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10,7%</w:t>
            </w:r>
          </w:p>
        </w:tc>
      </w:tr>
      <w:tr w:rsidR="0099385A" w:rsidRPr="008311B2" w:rsidTr="0099385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«Шардаринская ГЭС»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32,2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0,3%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46,9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14,8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46,0%</w:t>
            </w:r>
          </w:p>
        </w:tc>
      </w:tr>
      <w:tr w:rsidR="0099385A" w:rsidRPr="008311B2" w:rsidTr="0099385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АО «Мойнакская ГЭС»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94,6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0,9%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78,8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0,8%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-15,8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-16,7%</w:t>
            </w:r>
          </w:p>
        </w:tc>
      </w:tr>
      <w:tr w:rsidR="0099385A" w:rsidRPr="008311B2" w:rsidTr="0099385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«Samruk-Green Energy»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0,001%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0,002%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0,01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6,8%</w:t>
            </w:r>
          </w:p>
        </w:tc>
      </w:tr>
      <w:tr w:rsidR="0099385A" w:rsidRPr="008311B2" w:rsidTr="0099385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9938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17,5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15,1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-2,4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5A" w:rsidRPr="008311B2" w:rsidRDefault="0099385A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-13,7%</w:t>
            </w:r>
          </w:p>
        </w:tc>
      </w:tr>
    </w:tbl>
    <w:p w:rsidR="004A4775" w:rsidRPr="008311B2" w:rsidRDefault="004A4775" w:rsidP="00CB606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7F45" w:rsidRPr="00457F45" w:rsidRDefault="004A4775" w:rsidP="00457F45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5" w:name="_Toc516129783"/>
      <w:bookmarkStart w:id="6" w:name="_Toc2345645"/>
      <w:r w:rsidRPr="008311B2">
        <w:rPr>
          <w:rFonts w:ascii="Times New Roman" w:hAnsi="Times New Roman" w:cs="Times New Roman"/>
          <w:b/>
        </w:rPr>
        <w:t>Потребление электрической энергии в ЕЭС Казахстана</w:t>
      </w:r>
      <w:bookmarkStart w:id="7" w:name="_Toc516129784"/>
      <w:bookmarkStart w:id="8" w:name="_Toc2345646"/>
      <w:bookmarkEnd w:id="5"/>
      <w:bookmarkEnd w:id="6"/>
    </w:p>
    <w:p w:rsidR="004A4775" w:rsidRPr="008311B2" w:rsidRDefault="004A4775" w:rsidP="00457F45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8311B2">
        <w:rPr>
          <w:rFonts w:ascii="Times New Roman" w:hAnsi="Times New Roman" w:cs="Times New Roman"/>
          <w:i/>
          <w:color w:val="auto"/>
          <w:sz w:val="28"/>
        </w:rPr>
        <w:t>Потребление электрической энергии по зонам и областям</w:t>
      </w:r>
      <w:bookmarkEnd w:id="7"/>
      <w:bookmarkEnd w:id="8"/>
    </w:p>
    <w:p w:rsidR="000134A2" w:rsidRPr="008311B2" w:rsidRDefault="000134A2" w:rsidP="00013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311B2">
        <w:rPr>
          <w:rFonts w:ascii="Times New Roman" w:hAnsi="Times New Roman" w:cs="Times New Roman"/>
          <w:sz w:val="28"/>
        </w:rPr>
        <w:t>По данным Системного оператора, в январе 2019 года наблюдался рост в динамике потребления электрической энергии республики в сравнении с показателями января 2018 года. Так, в северной зоне республики потребление увеличилось на 1,5%, в западной зоне на 0,9%, а в южной зоне снижение на 0,4%.</w:t>
      </w:r>
    </w:p>
    <w:p w:rsidR="004A4775" w:rsidRPr="008311B2" w:rsidRDefault="004A4775" w:rsidP="00CB606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en-US"/>
        </w:rPr>
      </w:pPr>
      <w:r w:rsidRPr="008311B2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8311B2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2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660"/>
        <w:gridCol w:w="1420"/>
        <w:gridCol w:w="1598"/>
        <w:gridCol w:w="1560"/>
      </w:tblGrid>
      <w:tr w:rsidR="000134A2" w:rsidRPr="008311B2" w:rsidTr="000134A2">
        <w:trPr>
          <w:trHeight w:val="10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Δ,</w:t>
            </w: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млн. </w:t>
            </w:r>
            <w:proofErr w:type="spellStart"/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Δ, </w:t>
            </w: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0134A2" w:rsidRPr="008311B2" w:rsidTr="000134A2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9 867,5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1%</w:t>
            </w:r>
          </w:p>
        </w:tc>
      </w:tr>
      <w:tr w:rsidR="000134A2" w:rsidRPr="008311B2" w:rsidTr="000134A2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6 416,4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511,5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1,5%</w:t>
            </w:r>
          </w:p>
        </w:tc>
      </w:tr>
      <w:tr w:rsidR="000134A2" w:rsidRPr="008311B2" w:rsidTr="000134A2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Западная зона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1 271,8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0,9%</w:t>
            </w:r>
          </w:p>
        </w:tc>
      </w:tr>
      <w:tr w:rsidR="000134A2" w:rsidRPr="008311B2" w:rsidTr="000134A2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2 179,4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171,0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-0,4%</w:t>
            </w:r>
          </w:p>
        </w:tc>
      </w:tr>
      <w:tr w:rsidR="000134A2" w:rsidRPr="008311B2" w:rsidTr="000134A2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311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8311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по областям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34A2" w:rsidRPr="008311B2" w:rsidTr="000134A2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Восточно-Казахстанская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855,5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886,8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3,7%</w:t>
            </w:r>
          </w:p>
        </w:tc>
      </w:tr>
      <w:tr w:rsidR="000134A2" w:rsidRPr="008311B2" w:rsidTr="000134A2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Карагандинская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1 635,3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642,8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0,5%</w:t>
            </w:r>
          </w:p>
        </w:tc>
      </w:tr>
      <w:tr w:rsidR="000134A2" w:rsidRPr="008311B2" w:rsidTr="000134A2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948,9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947,8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-0,1%</w:t>
            </w:r>
          </w:p>
        </w:tc>
      </w:tr>
      <w:tr w:rsidR="000134A2" w:rsidRPr="008311B2" w:rsidTr="000134A2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187,3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6,2%</w:t>
            </w:r>
          </w:p>
        </w:tc>
      </w:tr>
      <w:tr w:rsidR="000134A2" w:rsidRPr="008311B2" w:rsidTr="000134A2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468,4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1,7%</w:t>
            </w:r>
          </w:p>
        </w:tc>
      </w:tr>
      <w:tr w:rsidR="000134A2" w:rsidRPr="008311B2" w:rsidTr="000134A2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1 756,9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789,7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1,9%</w:t>
            </w:r>
          </w:p>
        </w:tc>
      </w:tr>
      <w:tr w:rsidR="000134A2" w:rsidRPr="008311B2" w:rsidTr="000134A2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561,1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606,0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8%</w:t>
            </w:r>
          </w:p>
        </w:tc>
      </w:tr>
      <w:tr w:rsidR="000134A2" w:rsidRPr="008311B2" w:rsidTr="000134A2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Мангистауская</w:t>
            </w:r>
            <w:proofErr w:type="spellEnd"/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513,4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478,1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-6,9%</w:t>
            </w:r>
          </w:p>
        </w:tc>
      </w:tr>
      <w:tr w:rsidR="000134A2" w:rsidRPr="008311B2" w:rsidTr="000134A2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Актюбинская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582,8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588,7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0134A2" w:rsidRPr="008311B2" w:rsidTr="000134A2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Западно-Казахстанская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0,9%</w:t>
            </w:r>
          </w:p>
        </w:tc>
      </w:tr>
      <w:tr w:rsidR="000134A2" w:rsidRPr="008311B2" w:rsidTr="000134A2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1 146,8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-33,7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-2,9%</w:t>
            </w:r>
          </w:p>
        </w:tc>
      </w:tr>
      <w:tr w:rsidR="000134A2" w:rsidRPr="008311B2" w:rsidTr="000134A2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452,1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1,1%</w:t>
            </w:r>
          </w:p>
        </w:tc>
      </w:tr>
      <w:tr w:rsidR="000134A2" w:rsidRPr="008311B2" w:rsidTr="000134A2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Жамбылская</w:t>
            </w:r>
            <w:proofErr w:type="spellEnd"/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404,5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426,4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5,4%</w:t>
            </w:r>
          </w:p>
        </w:tc>
      </w:tr>
      <w:tr w:rsidR="000134A2" w:rsidRPr="008311B2" w:rsidTr="000134A2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Кызылординская</w:t>
            </w:r>
            <w:proofErr w:type="spellEnd"/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-0,9%</w:t>
            </w:r>
          </w:p>
        </w:tc>
      </w:tr>
    </w:tbl>
    <w:p w:rsidR="00C6011E" w:rsidRPr="008311B2" w:rsidRDefault="00C6011E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134A2" w:rsidRPr="008311B2" w:rsidRDefault="000134A2" w:rsidP="000134A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9" w:name="_Toc510196468"/>
      <w:bookmarkStart w:id="10" w:name="_Toc2249073"/>
      <w:bookmarkStart w:id="11" w:name="_Toc2345647"/>
      <w:r w:rsidRPr="008311B2">
        <w:rPr>
          <w:rFonts w:ascii="Times New Roman" w:hAnsi="Times New Roman" w:cs="Times New Roman"/>
          <w:i/>
          <w:color w:val="auto"/>
          <w:sz w:val="28"/>
        </w:rPr>
        <w:t>Итоги работы промышленности за 1 месяц 2019 года</w:t>
      </w:r>
      <w:bookmarkEnd w:id="9"/>
      <w:bookmarkEnd w:id="10"/>
      <w:bookmarkEnd w:id="11"/>
      <w:r w:rsidRPr="008311B2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0134A2" w:rsidRDefault="000134A2" w:rsidP="000134A2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8311B2">
        <w:rPr>
          <w:i/>
          <w:szCs w:val="22"/>
        </w:rPr>
        <w:t>(экспресс-информация Комитета по статистике МНЭ РК)</w:t>
      </w:r>
    </w:p>
    <w:p w:rsidR="00457F45" w:rsidRPr="008311B2" w:rsidRDefault="00457F45" w:rsidP="000134A2">
      <w:pPr>
        <w:pStyle w:val="ab"/>
        <w:spacing w:before="0" w:beforeAutospacing="0" w:after="0" w:afterAutospacing="0"/>
        <w:jc w:val="center"/>
        <w:rPr>
          <w:i/>
          <w:szCs w:val="22"/>
        </w:rPr>
      </w:pPr>
    </w:p>
    <w:p w:rsidR="000134A2" w:rsidRDefault="000134A2" w:rsidP="000134A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proofErr w:type="gram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В январе 2019 года по сравнению с январем 2018 года индекс промышленного производства составил 101,9%. Увеличение объемов производства зафиксировано в 11 регионах республики, снижение наблюдалось в Карагандинской, </w:t>
      </w:r>
      <w:proofErr w:type="spell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, Северо-Казахстанской, Западно-Казахстанской, </w:t>
      </w:r>
      <w:proofErr w:type="spell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Мангистауской</w:t>
      </w:r>
      <w:proofErr w:type="spell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 и </w:t>
      </w:r>
      <w:proofErr w:type="spell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Акмолинской</w:t>
      </w:r>
      <w:proofErr w:type="spell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областях.</w:t>
      </w:r>
      <w:proofErr w:type="gramEnd"/>
    </w:p>
    <w:p w:rsidR="00E56657" w:rsidRPr="008311B2" w:rsidRDefault="00E56657" w:rsidP="000134A2">
      <w:pPr>
        <w:pStyle w:val="OsnTxt"/>
        <w:spacing w:line="240" w:lineRule="auto"/>
        <w:ind w:right="-284" w:firstLine="0"/>
        <w:rPr>
          <w:rFonts w:ascii="Times New Roman" w:hAnsi="Times New Roman"/>
          <w:b/>
          <w:sz w:val="28"/>
          <w:szCs w:val="28"/>
        </w:rPr>
      </w:pPr>
    </w:p>
    <w:p w:rsidR="00A90F00" w:rsidRPr="008311B2" w:rsidRDefault="00A90F00" w:rsidP="00CB606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8311B2">
        <w:rPr>
          <w:rFonts w:ascii="Times New Roman" w:hAnsi="Times New Roman"/>
          <w:b/>
          <w:sz w:val="28"/>
          <w:szCs w:val="28"/>
        </w:rPr>
        <w:lastRenderedPageBreak/>
        <w:t>Изменение объемов промышленной продукции по регионам</w:t>
      </w:r>
    </w:p>
    <w:p w:rsidR="00A90F00" w:rsidRPr="008311B2" w:rsidRDefault="00A90F00" w:rsidP="00CB6062">
      <w:pPr>
        <w:pStyle w:val="OsnTxt"/>
        <w:spacing w:line="240" w:lineRule="auto"/>
        <w:ind w:right="-284"/>
        <w:jc w:val="right"/>
        <w:rPr>
          <w:rFonts w:ascii="Times New Roman" w:hAnsi="Times New Roman"/>
          <w:i/>
          <w:sz w:val="28"/>
          <w:szCs w:val="28"/>
        </w:rPr>
      </w:pPr>
      <w:proofErr w:type="gramStart"/>
      <w:r w:rsidRPr="008311B2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8311B2">
        <w:rPr>
          <w:rFonts w:ascii="Times New Roman" w:hAnsi="Times New Roman"/>
          <w:i/>
          <w:sz w:val="28"/>
          <w:szCs w:val="28"/>
        </w:rPr>
        <w:t xml:space="preserve"> % к соответствующему периоду предыдущего года</w:t>
      </w:r>
    </w:p>
    <w:p w:rsidR="00770E28" w:rsidRPr="00457F45" w:rsidRDefault="000134A2" w:rsidP="00457F45">
      <w:pPr>
        <w:pStyle w:val="OsnTxt"/>
        <w:spacing w:line="240" w:lineRule="auto"/>
        <w:ind w:right="-284"/>
        <w:jc w:val="left"/>
        <w:rPr>
          <w:rFonts w:ascii="Times New Roman" w:hAnsi="Times New Roman"/>
          <w:i/>
          <w:sz w:val="28"/>
          <w:szCs w:val="28"/>
        </w:rPr>
      </w:pPr>
      <w:r w:rsidRPr="008311B2">
        <w:rPr>
          <w:rFonts w:ascii="Calibri" w:hAnsi="Calibri" w:cs="Arial"/>
          <w:noProof/>
        </w:rPr>
        <w:drawing>
          <wp:inline distT="0" distB="0" distL="0" distR="0" wp14:anchorId="5CEF01AB" wp14:editId="581FF335">
            <wp:extent cx="5209540" cy="25806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540" cy="258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34A2" w:rsidRPr="008311B2" w:rsidRDefault="000134A2" w:rsidP="000134A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В Восточно-Казахстанской области возросла добыча медных, золотосодержащих руд и концентратов, увеличилось производство аффинированного золота,  рафинированной меди и легковых автомобилей (117,1%).</w:t>
      </w:r>
    </w:p>
    <w:p w:rsidR="000134A2" w:rsidRPr="008311B2" w:rsidRDefault="000134A2" w:rsidP="000134A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Атырауской</w:t>
      </w:r>
      <w:proofErr w:type="spell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из-за увеличения объемов добычи сырой нефти индекс промышленного производства составил 112,2%.</w:t>
      </w:r>
    </w:p>
    <w:p w:rsidR="000134A2" w:rsidRPr="008311B2" w:rsidRDefault="000134A2" w:rsidP="000134A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Костанайской</w:t>
      </w:r>
      <w:proofErr w:type="spell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увеличилась добыча агломерированных железных руд и железорудных окатышей, возросло производство прутков и стержней из стали, золота в сплаве Доре и легковых автомобилей (108%).</w:t>
      </w:r>
    </w:p>
    <w:p w:rsidR="000134A2" w:rsidRPr="008311B2" w:rsidRDefault="000134A2" w:rsidP="000134A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г</w:t>
      </w:r>
      <w:proofErr w:type="gram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.А</w:t>
      </w:r>
      <w:proofErr w:type="gram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стана</w:t>
      </w:r>
      <w:proofErr w:type="spell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 возросло производство товарного бетона, </w:t>
      </w:r>
      <w:proofErr w:type="spell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преформ</w:t>
      </w:r>
      <w:proofErr w:type="spell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 и железнодорожных локомотивов (107,2%).</w:t>
      </w:r>
    </w:p>
    <w:p w:rsidR="000134A2" w:rsidRPr="008311B2" w:rsidRDefault="000134A2" w:rsidP="000134A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г</w:t>
      </w:r>
      <w:proofErr w:type="gram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.А</w:t>
      </w:r>
      <w:proofErr w:type="gram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лматы</w:t>
      </w:r>
      <w:proofErr w:type="spell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 увеличилось производство обработанного молока, переработанного чая и кофе, пива, нелегированной стали (103,8%).</w:t>
      </w:r>
    </w:p>
    <w:p w:rsidR="000134A2" w:rsidRPr="008311B2" w:rsidRDefault="000134A2" w:rsidP="000134A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г</w:t>
      </w:r>
      <w:proofErr w:type="gram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.Ш</w:t>
      </w:r>
      <w:proofErr w:type="gram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ымкент</w:t>
      </w:r>
      <w:proofErr w:type="spell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 возросло производство хлопкового масла, бензина, керосина, сжиженного пропана и бутана (103,3%).</w:t>
      </w:r>
    </w:p>
    <w:p w:rsidR="000134A2" w:rsidRPr="008311B2" w:rsidRDefault="000134A2" w:rsidP="000134A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Алматинской</w:t>
      </w:r>
      <w:proofErr w:type="spell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увеличилось производство безалкогольных напитков, лекарств и </w:t>
      </w:r>
      <w:proofErr w:type="spell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гипсокартона</w:t>
      </w:r>
      <w:proofErr w:type="spell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 (103%).</w:t>
      </w:r>
    </w:p>
    <w:p w:rsidR="000134A2" w:rsidRPr="008311B2" w:rsidRDefault="000134A2" w:rsidP="000134A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В Павлодарской области увеличилась добыча каменного угля, медных руд и концентратов, возросло производство дизельного топлива, топочного мазута и феррохрома (101,9%).</w:t>
      </w:r>
    </w:p>
    <w:p w:rsidR="000134A2" w:rsidRPr="008311B2" w:rsidRDefault="000134A2" w:rsidP="000134A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В Туркестанской области возросло производство муки, трансформаторов, обработанного хлопка и электроэнергии (100,8%).</w:t>
      </w:r>
    </w:p>
    <w:p w:rsidR="000134A2" w:rsidRPr="008311B2" w:rsidRDefault="000134A2" w:rsidP="000134A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В Актюбинской области увеличилась добыча хромовых руд и концентратов, цинковых концентратов, возросло производство феррохрома и рельса из стали (100,5%).</w:t>
      </w:r>
    </w:p>
    <w:p w:rsidR="000134A2" w:rsidRPr="008311B2" w:rsidRDefault="000134A2" w:rsidP="000134A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Жамбылской</w:t>
      </w:r>
      <w:proofErr w:type="spell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возросла добыча медных руд и фосфатного сырья, увеличилось производство фосфора (100,2%).</w:t>
      </w:r>
    </w:p>
    <w:p w:rsidR="000134A2" w:rsidRPr="008311B2" w:rsidRDefault="000134A2" w:rsidP="000134A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Акмолинской</w:t>
      </w:r>
      <w:proofErr w:type="spell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уменьшения производства пестицидов, природного урана и грузовых автомобилей индекс промышленного производства составил 99,6%.</w:t>
      </w:r>
    </w:p>
    <w:p w:rsidR="000134A2" w:rsidRPr="008311B2" w:rsidRDefault="000134A2" w:rsidP="000134A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Мангистауской</w:t>
      </w:r>
      <w:proofErr w:type="spell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снижения добычи сырой нефти индекс промышленного производства составил 99,5%.</w:t>
      </w:r>
    </w:p>
    <w:p w:rsidR="000134A2" w:rsidRPr="008311B2" w:rsidRDefault="000134A2" w:rsidP="000134A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>В Западно-Казахстанской области из-за снижения добычи газового конденсата индекс промышленного производства составил 96,8%.</w:t>
      </w:r>
    </w:p>
    <w:p w:rsidR="000134A2" w:rsidRPr="008311B2" w:rsidRDefault="000134A2" w:rsidP="000134A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В Северо-Казахстанской области за счет сокращения производства подсолнечного масла, несамоходных грузовых вагонов и </w:t>
      </w:r>
      <w:proofErr w:type="gram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насосов</w:t>
      </w:r>
      <w:proofErr w:type="gram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 центробежных индекс промышленного производства составил 96,8%.</w:t>
      </w:r>
    </w:p>
    <w:p w:rsidR="000134A2" w:rsidRPr="008311B2" w:rsidRDefault="000134A2" w:rsidP="000134A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снижения добычи сырой нефти индекс промышленного производства составил 93,9%.</w:t>
      </w:r>
    </w:p>
    <w:p w:rsidR="000134A2" w:rsidRPr="008311B2" w:rsidRDefault="000134A2" w:rsidP="000134A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В Карагандинской области за счет уменьшения производства </w:t>
      </w:r>
      <w:proofErr w:type="spell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передельного</w:t>
      </w:r>
      <w:proofErr w:type="spell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 чугуна, нелегированной стали, плоского проката и изолированного провода индекс промышленного производства составил 81,9%. </w:t>
      </w:r>
    </w:p>
    <w:p w:rsidR="000134A2" w:rsidRPr="008311B2" w:rsidRDefault="000134A2" w:rsidP="000134A2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8311B2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(Источник: </w:t>
      </w:r>
      <w:hyperlink r:id="rId11" w:history="1">
        <w:r w:rsidRPr="008311B2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Pr="008311B2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8311B2" w:rsidRDefault="00BC7CB8" w:rsidP="00CB6062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0134A2" w:rsidRPr="00457F45" w:rsidRDefault="00596C30" w:rsidP="00457F45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2" w:name="_Toc2345648"/>
      <w:r w:rsidRPr="008311B2">
        <w:rPr>
          <w:rFonts w:ascii="Times New Roman" w:hAnsi="Times New Roman" w:cs="Times New Roman"/>
          <w:i/>
          <w:color w:val="auto"/>
          <w:sz w:val="28"/>
        </w:rPr>
        <w:t>Электропотребление к</w:t>
      </w:r>
      <w:r w:rsidR="001447DB" w:rsidRPr="008311B2">
        <w:rPr>
          <w:rFonts w:ascii="Times New Roman" w:hAnsi="Times New Roman" w:cs="Times New Roman"/>
          <w:i/>
          <w:color w:val="auto"/>
          <w:sz w:val="28"/>
        </w:rPr>
        <w:t>рупными потребителями</w:t>
      </w:r>
      <w:r w:rsidRPr="008311B2">
        <w:rPr>
          <w:rFonts w:ascii="Times New Roman" w:hAnsi="Times New Roman" w:cs="Times New Roman"/>
          <w:i/>
          <w:color w:val="auto"/>
          <w:sz w:val="28"/>
        </w:rPr>
        <w:t xml:space="preserve"> Казахстана</w:t>
      </w:r>
      <w:bookmarkEnd w:id="12"/>
    </w:p>
    <w:p w:rsidR="000134A2" w:rsidRPr="008311B2" w:rsidRDefault="000134A2" w:rsidP="000134A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За январь 2019 года по отношению к аналогичному периоду 2018 года наблюдался рост потребления электроэнергии по всем крупным потребителям, за исключением АО «</w:t>
      </w:r>
      <w:proofErr w:type="spell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Арселор</w:t>
      </w:r>
      <w:proofErr w:type="spell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proofErr w:type="spell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Миттал</w:t>
      </w:r>
      <w:proofErr w:type="spell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 Темиртау», ТОО «Корпорация </w:t>
      </w:r>
      <w:proofErr w:type="spell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Казахмыс</w:t>
      </w:r>
      <w:proofErr w:type="spell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», РГП «Канал им. </w:t>
      </w:r>
      <w:proofErr w:type="spell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Сатпаева</w:t>
      </w:r>
      <w:proofErr w:type="spell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», ТОО «</w:t>
      </w:r>
      <w:proofErr w:type="spell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Таразский</w:t>
      </w:r>
      <w:proofErr w:type="spell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 Металлургический завод» и ТОО «</w:t>
      </w:r>
      <w:proofErr w:type="spellStart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>ТемиржолЭнерго</w:t>
      </w:r>
      <w:proofErr w:type="spellEnd"/>
      <w:r w:rsidRPr="008311B2">
        <w:rPr>
          <w:rFonts w:ascii="Times New Roman" w:eastAsiaTheme="minorHAnsi" w:hAnsi="Times New Roman"/>
          <w:sz w:val="28"/>
          <w:szCs w:val="22"/>
          <w:lang w:eastAsia="en-US"/>
        </w:rPr>
        <w:t xml:space="preserve">». </w:t>
      </w:r>
    </w:p>
    <w:p w:rsidR="00A42AA0" w:rsidRPr="008311B2" w:rsidRDefault="006C6971" w:rsidP="00CB60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11B2">
        <w:rPr>
          <w:rFonts w:ascii="Times New Roman" w:hAnsi="Times New Roman" w:cs="Times New Roman"/>
          <w:i/>
          <w:sz w:val="24"/>
          <w:szCs w:val="24"/>
        </w:rPr>
        <w:t>млн</w:t>
      </w:r>
      <w:r w:rsidR="00A42AA0" w:rsidRPr="008311B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42AA0" w:rsidRPr="008311B2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Style w:val="a9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45"/>
        <w:gridCol w:w="1087"/>
        <w:gridCol w:w="1087"/>
      </w:tblGrid>
      <w:tr w:rsidR="000F6D27" w:rsidRPr="00E31CB4" w:rsidTr="003E6E0E">
        <w:trPr>
          <w:trHeight w:val="449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_Toc2249075"/>
            <w:r w:rsidRPr="00E31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1C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1CB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F6D27" w:rsidRPr="00E31CB4" w:rsidTr="003E6E0E">
        <w:trPr>
          <w:trHeight w:val="355"/>
          <w:jc w:val="center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B6DDE8" w:themeFill="accent5" w:themeFillTint="66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0F6D27" w:rsidRPr="00E31CB4" w:rsidTr="003E6E0E">
        <w:trPr>
          <w:trHeight w:val="360"/>
          <w:jc w:val="center"/>
        </w:trPr>
        <w:tc>
          <w:tcPr>
            <w:tcW w:w="56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 xml:space="preserve"> Темиртау»</w:t>
            </w:r>
          </w:p>
        </w:tc>
        <w:tc>
          <w:tcPr>
            <w:tcW w:w="945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386,6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301,7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-22%</w:t>
            </w:r>
          </w:p>
        </w:tc>
      </w:tr>
      <w:tr w:rsidR="000F6D27" w:rsidRPr="00E31CB4" w:rsidTr="003E6E0E">
        <w:trPr>
          <w:trHeight w:val="360"/>
          <w:jc w:val="center"/>
        </w:trPr>
        <w:tc>
          <w:tcPr>
            <w:tcW w:w="56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АО АЗФ (</w:t>
            </w:r>
            <w:proofErr w:type="spellStart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Аксуйский</w:t>
            </w:r>
            <w:proofErr w:type="spellEnd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 xml:space="preserve">) «ТНК </w:t>
            </w:r>
            <w:proofErr w:type="spellStart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465,4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497,5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0F6D27" w:rsidRPr="00E31CB4" w:rsidTr="003E6E0E">
        <w:trPr>
          <w:trHeight w:val="360"/>
          <w:jc w:val="center"/>
        </w:trPr>
        <w:tc>
          <w:tcPr>
            <w:tcW w:w="56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Kazakhmys</w:t>
            </w:r>
            <w:proofErr w:type="spellEnd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Smelting</w:t>
            </w:r>
            <w:proofErr w:type="spellEnd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45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0F6D27" w:rsidRPr="00E31CB4" w:rsidTr="003E6E0E">
        <w:trPr>
          <w:trHeight w:val="360"/>
          <w:jc w:val="center"/>
        </w:trPr>
        <w:tc>
          <w:tcPr>
            <w:tcW w:w="56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Казцинк</w:t>
            </w:r>
            <w:proofErr w:type="spellEnd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235,2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0F6D27" w:rsidRPr="00E31CB4" w:rsidTr="003E6E0E">
        <w:trPr>
          <w:trHeight w:val="360"/>
          <w:jc w:val="center"/>
        </w:trPr>
        <w:tc>
          <w:tcPr>
            <w:tcW w:w="56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Соколовско-Сарбайское</w:t>
            </w:r>
            <w:proofErr w:type="spellEnd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 xml:space="preserve"> ГПО»</w:t>
            </w:r>
          </w:p>
        </w:tc>
        <w:tc>
          <w:tcPr>
            <w:tcW w:w="945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161,6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0F6D27" w:rsidRPr="00E31CB4" w:rsidTr="003E6E0E">
        <w:trPr>
          <w:trHeight w:val="360"/>
          <w:jc w:val="center"/>
        </w:trPr>
        <w:tc>
          <w:tcPr>
            <w:tcW w:w="56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 xml:space="preserve">ТОО «Корпорация </w:t>
            </w:r>
            <w:proofErr w:type="spellStart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Казахмыс</w:t>
            </w:r>
            <w:proofErr w:type="spellEnd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45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-8%</w:t>
            </w:r>
          </w:p>
        </w:tc>
      </w:tr>
      <w:tr w:rsidR="000F6D27" w:rsidRPr="00E31CB4" w:rsidTr="003E6E0E">
        <w:trPr>
          <w:trHeight w:val="360"/>
          <w:jc w:val="center"/>
        </w:trPr>
        <w:tc>
          <w:tcPr>
            <w:tcW w:w="56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АО АЗФ (</w:t>
            </w:r>
            <w:proofErr w:type="gramStart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Актюбинский</w:t>
            </w:r>
            <w:proofErr w:type="gramEnd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 xml:space="preserve">) «ТНК </w:t>
            </w:r>
            <w:proofErr w:type="spellStart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258,1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-2%</w:t>
            </w:r>
          </w:p>
        </w:tc>
      </w:tr>
      <w:tr w:rsidR="000F6D27" w:rsidRPr="00E31CB4" w:rsidTr="003E6E0E">
        <w:trPr>
          <w:trHeight w:val="360"/>
          <w:jc w:val="center"/>
        </w:trPr>
        <w:tc>
          <w:tcPr>
            <w:tcW w:w="56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 xml:space="preserve">РГП «Канал им. </w:t>
            </w:r>
            <w:proofErr w:type="spellStart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-10%</w:t>
            </w:r>
          </w:p>
        </w:tc>
      </w:tr>
      <w:tr w:rsidR="000F6D27" w:rsidRPr="00E31CB4" w:rsidTr="003E6E0E">
        <w:trPr>
          <w:trHeight w:val="360"/>
          <w:jc w:val="center"/>
        </w:trPr>
        <w:tc>
          <w:tcPr>
            <w:tcW w:w="56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0F6D27" w:rsidRPr="00E31CB4" w:rsidTr="003E6E0E">
        <w:trPr>
          <w:trHeight w:val="360"/>
          <w:jc w:val="center"/>
        </w:trPr>
        <w:tc>
          <w:tcPr>
            <w:tcW w:w="56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 xml:space="preserve">АО «НДФЗ» (входит в структуру ТОО </w:t>
            </w:r>
            <w:proofErr w:type="spellStart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190,9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0F6D27" w:rsidRPr="00E31CB4" w:rsidTr="003E6E0E">
        <w:trPr>
          <w:trHeight w:val="360"/>
          <w:jc w:val="center"/>
        </w:trPr>
        <w:tc>
          <w:tcPr>
            <w:tcW w:w="56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Таразский</w:t>
            </w:r>
            <w:proofErr w:type="spellEnd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Металлургический завод»</w:t>
            </w:r>
          </w:p>
        </w:tc>
        <w:tc>
          <w:tcPr>
            <w:tcW w:w="945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-29%</w:t>
            </w:r>
          </w:p>
        </w:tc>
      </w:tr>
      <w:tr w:rsidR="000F6D27" w:rsidRPr="00E31CB4" w:rsidTr="003E6E0E">
        <w:trPr>
          <w:trHeight w:val="360"/>
          <w:jc w:val="center"/>
        </w:trPr>
        <w:tc>
          <w:tcPr>
            <w:tcW w:w="56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Усть-Каменогорский</w:t>
            </w:r>
            <w:proofErr w:type="spellEnd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титано</w:t>
            </w:r>
            <w:proofErr w:type="spellEnd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-магниевый</w:t>
            </w:r>
            <w:proofErr w:type="gramEnd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945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0F6D27" w:rsidRPr="00E31CB4" w:rsidTr="003E6E0E">
        <w:trPr>
          <w:trHeight w:val="360"/>
          <w:jc w:val="center"/>
        </w:trPr>
        <w:tc>
          <w:tcPr>
            <w:tcW w:w="56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167,1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168,2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0F6D27" w:rsidRPr="00E31CB4" w:rsidTr="003E6E0E">
        <w:trPr>
          <w:trHeight w:val="360"/>
          <w:jc w:val="center"/>
        </w:trPr>
        <w:tc>
          <w:tcPr>
            <w:tcW w:w="56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АО «ПАЗ» (Павлодарский алюминиевый завод)</w:t>
            </w:r>
          </w:p>
        </w:tc>
        <w:tc>
          <w:tcPr>
            <w:tcW w:w="945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</w:tc>
      </w:tr>
      <w:tr w:rsidR="000F6D27" w:rsidRPr="00E31CB4" w:rsidTr="003E6E0E">
        <w:trPr>
          <w:trHeight w:val="360"/>
          <w:jc w:val="center"/>
        </w:trPr>
        <w:tc>
          <w:tcPr>
            <w:tcW w:w="56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АО «КЭЗ» (Казахстанский электролизный завод)</w:t>
            </w:r>
          </w:p>
        </w:tc>
        <w:tc>
          <w:tcPr>
            <w:tcW w:w="945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319,6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325,2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0F6D27" w:rsidRPr="00E31CB4" w:rsidTr="003E6E0E">
        <w:trPr>
          <w:trHeight w:val="360"/>
          <w:jc w:val="center"/>
        </w:trPr>
        <w:tc>
          <w:tcPr>
            <w:tcW w:w="56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ТемиржолЭнерго</w:t>
            </w:r>
            <w:proofErr w:type="spellEnd"/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258,2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156,8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-39%</w:t>
            </w:r>
          </w:p>
        </w:tc>
      </w:tr>
      <w:tr w:rsidR="000F6D27" w:rsidRPr="00E31CB4" w:rsidTr="003E6E0E">
        <w:trPr>
          <w:trHeight w:val="360"/>
          <w:jc w:val="center"/>
        </w:trPr>
        <w:tc>
          <w:tcPr>
            <w:tcW w:w="56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АО «KEGOC»</w:t>
            </w:r>
          </w:p>
        </w:tc>
        <w:tc>
          <w:tcPr>
            <w:tcW w:w="945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541,2</w:t>
            </w:r>
          </w:p>
        </w:tc>
        <w:tc>
          <w:tcPr>
            <w:tcW w:w="1087" w:type="dxa"/>
            <w:vAlign w:val="center"/>
          </w:tcPr>
          <w:p w:rsidR="000F6D27" w:rsidRPr="00E31CB4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0F6D27" w:rsidRPr="00E31CB4" w:rsidTr="003E6E0E">
        <w:trPr>
          <w:trHeight w:val="360"/>
          <w:jc w:val="center"/>
        </w:trPr>
        <w:tc>
          <w:tcPr>
            <w:tcW w:w="6804" w:type="dxa"/>
            <w:gridSpan w:val="2"/>
            <w:vAlign w:val="center"/>
          </w:tcPr>
          <w:p w:rsidR="000F6D27" w:rsidRPr="001959E2" w:rsidRDefault="000F6D27" w:rsidP="003E6E0E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E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45" w:type="dxa"/>
            <w:vAlign w:val="center"/>
          </w:tcPr>
          <w:p w:rsidR="000F6D27" w:rsidRPr="00B57B3B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3 267,4 </w:t>
            </w:r>
          </w:p>
        </w:tc>
        <w:tc>
          <w:tcPr>
            <w:tcW w:w="1087" w:type="dxa"/>
            <w:vAlign w:val="center"/>
          </w:tcPr>
          <w:p w:rsidR="000F6D27" w:rsidRPr="00B57B3B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3 266,5 </w:t>
            </w:r>
          </w:p>
        </w:tc>
        <w:tc>
          <w:tcPr>
            <w:tcW w:w="1087" w:type="dxa"/>
            <w:vAlign w:val="center"/>
          </w:tcPr>
          <w:p w:rsidR="000F6D27" w:rsidRPr="00B57B3B" w:rsidRDefault="000F6D27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3B">
              <w:rPr>
                <w:rFonts w:ascii="Times New Roman" w:hAnsi="Times New Roman" w:cs="Times New Roman"/>
                <w:b/>
                <w:sz w:val="24"/>
                <w:szCs w:val="24"/>
              </w:rPr>
              <w:t>-0,03%</w:t>
            </w:r>
          </w:p>
        </w:tc>
      </w:tr>
    </w:tbl>
    <w:p w:rsidR="000134A2" w:rsidRPr="008311B2" w:rsidRDefault="000134A2" w:rsidP="00457F45">
      <w:pPr>
        <w:pStyle w:val="1"/>
        <w:spacing w:before="0" w:line="240" w:lineRule="auto"/>
        <w:rPr>
          <w:rFonts w:ascii="Times New Roman" w:hAnsi="Times New Roman" w:cs="Times New Roman"/>
          <w:i/>
          <w:color w:val="auto"/>
          <w:sz w:val="28"/>
        </w:rPr>
      </w:pPr>
    </w:p>
    <w:p w:rsidR="000134A2" w:rsidRPr="008311B2" w:rsidRDefault="000134A2" w:rsidP="000134A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4" w:name="_Toc2345649"/>
      <w:r w:rsidRPr="008311B2">
        <w:rPr>
          <w:rFonts w:ascii="Times New Roman" w:hAnsi="Times New Roman" w:cs="Times New Roman"/>
          <w:i/>
          <w:color w:val="auto"/>
          <w:sz w:val="28"/>
        </w:rPr>
        <w:t>Электропотребление потребителями связанной генерации</w:t>
      </w:r>
      <w:bookmarkEnd w:id="13"/>
      <w:bookmarkEnd w:id="14"/>
      <w:r w:rsidRPr="008311B2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E56657" w:rsidRPr="008311B2" w:rsidRDefault="00E56657" w:rsidP="00CB6062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3B36BC" w:rsidRPr="008311B2" w:rsidRDefault="00A32670" w:rsidP="00AE695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5" w:name="_Toc2345650"/>
      <w:r w:rsidRPr="008311B2">
        <w:rPr>
          <w:rFonts w:ascii="Times New Roman" w:hAnsi="Times New Roman" w:cs="Times New Roman"/>
          <w:b/>
        </w:rPr>
        <w:lastRenderedPageBreak/>
        <w:t>Уголь</w:t>
      </w:r>
      <w:bookmarkEnd w:id="15"/>
    </w:p>
    <w:p w:rsidR="00BC7CB8" w:rsidRPr="008311B2" w:rsidRDefault="00BC7CB8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C7CB8" w:rsidRPr="008311B2" w:rsidRDefault="00E23C2C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6" w:name="_Toc2345651"/>
      <w:r w:rsidRPr="008311B2">
        <w:rPr>
          <w:rFonts w:ascii="Times New Roman" w:hAnsi="Times New Roman" w:cs="Times New Roman"/>
          <w:i/>
          <w:color w:val="auto"/>
          <w:sz w:val="28"/>
        </w:rPr>
        <w:t>Добыча</w:t>
      </w:r>
      <w:r w:rsidR="005A5AF2" w:rsidRPr="008311B2">
        <w:rPr>
          <w:rFonts w:ascii="Times New Roman" w:hAnsi="Times New Roman" w:cs="Times New Roman"/>
          <w:i/>
          <w:color w:val="auto"/>
          <w:sz w:val="28"/>
        </w:rPr>
        <w:t xml:space="preserve"> энергетическ</w:t>
      </w:r>
      <w:r w:rsidR="00B34E61" w:rsidRPr="008311B2">
        <w:rPr>
          <w:rFonts w:ascii="Times New Roman" w:hAnsi="Times New Roman" w:cs="Times New Roman"/>
          <w:i/>
          <w:color w:val="auto"/>
          <w:sz w:val="28"/>
        </w:rPr>
        <w:t>ого угля в</w:t>
      </w:r>
      <w:r w:rsidR="00A42AA0" w:rsidRPr="008311B2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34E61" w:rsidRPr="008311B2">
        <w:rPr>
          <w:rFonts w:ascii="Times New Roman" w:hAnsi="Times New Roman" w:cs="Times New Roman"/>
          <w:i/>
          <w:color w:val="auto"/>
          <w:sz w:val="28"/>
        </w:rPr>
        <w:t>Казахстане</w:t>
      </w:r>
      <w:bookmarkEnd w:id="16"/>
    </w:p>
    <w:p w:rsidR="000134A2" w:rsidRPr="008311B2" w:rsidRDefault="000134A2" w:rsidP="000134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B2">
        <w:rPr>
          <w:rFonts w:ascii="Times New Roman" w:hAnsi="Times New Roman" w:cs="Times New Roman"/>
          <w:sz w:val="28"/>
          <w:szCs w:val="28"/>
        </w:rPr>
        <w:t>По информации Комитета по статистике МНЭ РК, в Казахстане в январе 2019 года добыто 9,9 млн. тонн каменного угля, что на 4% больше, чем за аналогичный период 2018 года (9,4 млн. тонн).</w:t>
      </w:r>
    </w:p>
    <w:p w:rsidR="000134A2" w:rsidRPr="008311B2" w:rsidRDefault="000134A2" w:rsidP="000134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</w:rPr>
      </w:pPr>
      <w:r w:rsidRPr="008311B2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9923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796"/>
      </w:tblGrid>
      <w:tr w:rsidR="000134A2" w:rsidRPr="008311B2" w:rsidTr="00457F45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0134A2" w:rsidRPr="008311B2" w:rsidTr="00457F45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0134A2" w:rsidRPr="008311B2" w:rsidRDefault="000134A2" w:rsidP="000134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0134A2" w:rsidRPr="008311B2" w:rsidRDefault="000134A2" w:rsidP="000134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A2" w:rsidRPr="008311B2" w:rsidTr="00457F45">
        <w:trPr>
          <w:trHeight w:val="333"/>
        </w:trPr>
        <w:tc>
          <w:tcPr>
            <w:tcW w:w="566" w:type="dxa"/>
            <w:vAlign w:val="center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0134A2" w:rsidRPr="008311B2" w:rsidRDefault="000134A2" w:rsidP="000134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938" w:type="dxa"/>
            <w:vAlign w:val="center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6 032,7</w:t>
            </w:r>
          </w:p>
        </w:tc>
        <w:tc>
          <w:tcPr>
            <w:tcW w:w="1938" w:type="dxa"/>
            <w:vAlign w:val="center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6 608,9</w:t>
            </w:r>
          </w:p>
        </w:tc>
        <w:tc>
          <w:tcPr>
            <w:tcW w:w="1796" w:type="dxa"/>
            <w:vAlign w:val="center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110%</w:t>
            </w:r>
          </w:p>
        </w:tc>
      </w:tr>
      <w:tr w:rsidR="000134A2" w:rsidRPr="008311B2" w:rsidTr="00457F45">
        <w:trPr>
          <w:trHeight w:val="333"/>
        </w:trPr>
        <w:tc>
          <w:tcPr>
            <w:tcW w:w="566" w:type="dxa"/>
            <w:vAlign w:val="center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0134A2" w:rsidRPr="008311B2" w:rsidRDefault="000134A2" w:rsidP="000134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938" w:type="dxa"/>
            <w:vAlign w:val="center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2 683,4</w:t>
            </w:r>
          </w:p>
        </w:tc>
        <w:tc>
          <w:tcPr>
            <w:tcW w:w="1938" w:type="dxa"/>
            <w:vAlign w:val="center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2 503,9</w:t>
            </w:r>
          </w:p>
        </w:tc>
        <w:tc>
          <w:tcPr>
            <w:tcW w:w="1796" w:type="dxa"/>
            <w:vAlign w:val="center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0134A2" w:rsidRPr="008311B2" w:rsidTr="00457F45">
        <w:trPr>
          <w:trHeight w:val="333"/>
        </w:trPr>
        <w:tc>
          <w:tcPr>
            <w:tcW w:w="566" w:type="dxa"/>
            <w:vAlign w:val="center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0134A2" w:rsidRPr="008311B2" w:rsidRDefault="000134A2" w:rsidP="000134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938" w:type="dxa"/>
            <w:vAlign w:val="center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938" w:type="dxa"/>
            <w:vAlign w:val="center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732,6</w:t>
            </w:r>
          </w:p>
        </w:tc>
        <w:tc>
          <w:tcPr>
            <w:tcW w:w="1796" w:type="dxa"/>
            <w:vAlign w:val="center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101%</w:t>
            </w:r>
          </w:p>
        </w:tc>
      </w:tr>
      <w:tr w:rsidR="000134A2" w:rsidRPr="008311B2" w:rsidTr="00457F45">
        <w:trPr>
          <w:trHeight w:val="333"/>
        </w:trPr>
        <w:tc>
          <w:tcPr>
            <w:tcW w:w="566" w:type="dxa"/>
            <w:vAlign w:val="center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134A2" w:rsidRPr="008311B2" w:rsidRDefault="000134A2" w:rsidP="000134A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РК</w:t>
            </w:r>
          </w:p>
        </w:tc>
        <w:tc>
          <w:tcPr>
            <w:tcW w:w="1938" w:type="dxa"/>
            <w:vAlign w:val="center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9 445,5</w:t>
            </w:r>
          </w:p>
        </w:tc>
        <w:tc>
          <w:tcPr>
            <w:tcW w:w="1938" w:type="dxa"/>
            <w:vAlign w:val="center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9 851,7</w:t>
            </w:r>
          </w:p>
        </w:tc>
        <w:tc>
          <w:tcPr>
            <w:tcW w:w="1796" w:type="dxa"/>
            <w:vAlign w:val="center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104%</w:t>
            </w:r>
          </w:p>
        </w:tc>
      </w:tr>
    </w:tbl>
    <w:p w:rsidR="000134A2" w:rsidRPr="008311B2" w:rsidRDefault="000134A2" w:rsidP="000134A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0134A2" w:rsidRPr="008311B2" w:rsidRDefault="000134A2" w:rsidP="000134A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7" w:name="_Toc2249078"/>
      <w:bookmarkStart w:id="18" w:name="_Toc2345652"/>
      <w:r w:rsidRPr="008311B2">
        <w:rPr>
          <w:rFonts w:ascii="Times New Roman" w:hAnsi="Times New Roman" w:cs="Times New Roman"/>
          <w:i/>
          <w:color w:val="auto"/>
          <w:sz w:val="28"/>
        </w:rPr>
        <w:t>Добыча угля АО «</w:t>
      </w:r>
      <w:proofErr w:type="spellStart"/>
      <w:r w:rsidRPr="008311B2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8311B2">
        <w:rPr>
          <w:rFonts w:ascii="Times New Roman" w:hAnsi="Times New Roman" w:cs="Times New Roman"/>
          <w:i/>
          <w:color w:val="auto"/>
          <w:sz w:val="28"/>
        </w:rPr>
        <w:t>»</w:t>
      </w:r>
      <w:bookmarkEnd w:id="17"/>
      <w:bookmarkEnd w:id="18"/>
    </w:p>
    <w:p w:rsidR="000134A2" w:rsidRPr="008311B2" w:rsidRDefault="000134A2" w:rsidP="000134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B2">
        <w:rPr>
          <w:rFonts w:ascii="Times New Roman" w:hAnsi="Times New Roman" w:cs="Times New Roman"/>
          <w:sz w:val="28"/>
          <w:szCs w:val="28"/>
        </w:rPr>
        <w:t>В январе 2019 года ТОО «Богатырь Комир» добыто 4 400 тыс. тонн, что на 12% больше, чем за соответствующий период 2018 года (3 934 тыс. тонн).</w:t>
      </w:r>
    </w:p>
    <w:p w:rsidR="000134A2" w:rsidRPr="008311B2" w:rsidRDefault="000134A2" w:rsidP="000134A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9" w:name="_Toc2249079"/>
      <w:bookmarkStart w:id="20" w:name="_Toc2345653"/>
      <w:r w:rsidRPr="008311B2">
        <w:rPr>
          <w:rFonts w:ascii="Times New Roman" w:hAnsi="Times New Roman" w:cs="Times New Roman"/>
          <w:i/>
          <w:color w:val="auto"/>
          <w:sz w:val="28"/>
        </w:rPr>
        <w:t>Реализация угля АО «</w:t>
      </w:r>
      <w:proofErr w:type="spellStart"/>
      <w:r w:rsidRPr="008311B2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8311B2">
        <w:rPr>
          <w:rFonts w:ascii="Times New Roman" w:hAnsi="Times New Roman" w:cs="Times New Roman"/>
          <w:i/>
          <w:color w:val="auto"/>
          <w:sz w:val="28"/>
        </w:rPr>
        <w:t>»</w:t>
      </w:r>
      <w:bookmarkEnd w:id="19"/>
      <w:bookmarkEnd w:id="20"/>
    </w:p>
    <w:p w:rsidR="000134A2" w:rsidRPr="008311B2" w:rsidRDefault="000134A2" w:rsidP="000134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B2">
        <w:rPr>
          <w:rFonts w:ascii="Times New Roman" w:hAnsi="Times New Roman" w:cs="Times New Roman"/>
          <w:sz w:val="28"/>
          <w:szCs w:val="28"/>
        </w:rPr>
        <w:t xml:space="preserve">В январе 2019 года реализовано 4 320 тыс. тонн, в </w:t>
      </w:r>
      <w:proofErr w:type="spellStart"/>
      <w:r w:rsidRPr="008311B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311B2">
        <w:rPr>
          <w:rFonts w:ascii="Times New Roman" w:hAnsi="Times New Roman" w:cs="Times New Roman"/>
          <w:sz w:val="28"/>
          <w:szCs w:val="28"/>
        </w:rPr>
        <w:t>.:</w:t>
      </w:r>
    </w:p>
    <w:p w:rsidR="000134A2" w:rsidRPr="008311B2" w:rsidRDefault="000134A2" w:rsidP="000134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B2">
        <w:rPr>
          <w:rFonts w:ascii="Times New Roman" w:hAnsi="Times New Roman" w:cs="Times New Roman"/>
          <w:sz w:val="28"/>
          <w:szCs w:val="28"/>
        </w:rPr>
        <w:t>- на внутренний рынок РК 3 541 тыс. тонн, что на 4% больше, че</w:t>
      </w:r>
      <w:r w:rsidR="000D0548">
        <w:rPr>
          <w:rFonts w:ascii="Times New Roman" w:hAnsi="Times New Roman" w:cs="Times New Roman"/>
          <w:sz w:val="28"/>
          <w:szCs w:val="28"/>
        </w:rPr>
        <w:t>м за соответствующий период 2018</w:t>
      </w:r>
      <w:r w:rsidRPr="008311B2">
        <w:rPr>
          <w:rFonts w:ascii="Times New Roman" w:hAnsi="Times New Roman" w:cs="Times New Roman"/>
          <w:sz w:val="28"/>
          <w:szCs w:val="28"/>
        </w:rPr>
        <w:t xml:space="preserve"> года (3 392 тыс. тонн);</w:t>
      </w:r>
    </w:p>
    <w:p w:rsidR="000134A2" w:rsidRPr="008311B2" w:rsidRDefault="000134A2" w:rsidP="000134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B2">
        <w:rPr>
          <w:rFonts w:ascii="Times New Roman" w:hAnsi="Times New Roman" w:cs="Times New Roman"/>
          <w:sz w:val="28"/>
          <w:szCs w:val="28"/>
        </w:rPr>
        <w:t>- на экспорт (РФ) – 779 млн. тонн, что на 9% больше, че</w:t>
      </w:r>
      <w:r w:rsidR="000D0548">
        <w:rPr>
          <w:rFonts w:ascii="Times New Roman" w:hAnsi="Times New Roman" w:cs="Times New Roman"/>
          <w:sz w:val="28"/>
          <w:szCs w:val="28"/>
        </w:rPr>
        <w:t>м за соответствующий период 2018</w:t>
      </w:r>
      <w:r w:rsidRPr="008311B2">
        <w:rPr>
          <w:rFonts w:ascii="Times New Roman" w:hAnsi="Times New Roman" w:cs="Times New Roman"/>
          <w:sz w:val="28"/>
          <w:szCs w:val="28"/>
        </w:rPr>
        <w:t xml:space="preserve"> года (713 тыс. тонн).</w:t>
      </w:r>
    </w:p>
    <w:p w:rsidR="00B34E61" w:rsidRPr="008311B2" w:rsidRDefault="00B34E61" w:rsidP="00CB606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8311B2">
        <w:rPr>
          <w:rFonts w:ascii="Times New Roman" w:hAnsi="Times New Roman" w:cs="Times New Roman"/>
          <w:i/>
          <w:sz w:val="24"/>
        </w:rPr>
        <w:t>тыс. тонн</w:t>
      </w:r>
    </w:p>
    <w:tbl>
      <w:tblPr>
        <w:tblStyle w:val="a9"/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3685"/>
        <w:gridCol w:w="1937"/>
        <w:gridCol w:w="1938"/>
        <w:gridCol w:w="1796"/>
      </w:tblGrid>
      <w:tr w:rsidR="00B34E61" w:rsidRPr="008311B2" w:rsidTr="00457F45">
        <w:trPr>
          <w:trHeight w:val="5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34E61" w:rsidRPr="008311B2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34E61" w:rsidRPr="008311B2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B34E61" w:rsidRPr="008311B2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реализации, тыс. тонн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3B36BC" w:rsidRPr="003E6E0E" w:rsidRDefault="00B9424F" w:rsidP="003E6E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8311B2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00D87" w:rsidRPr="008311B2" w:rsidTr="00457F45">
        <w:trPr>
          <w:trHeight w:val="35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800D87" w:rsidRPr="008311B2" w:rsidRDefault="00800D87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800D87" w:rsidRPr="008311B2" w:rsidRDefault="00800D87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D87" w:rsidRPr="008311B2" w:rsidRDefault="000134A2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2018</w:t>
            </w:r>
            <w:r w:rsidR="00800D87"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D87" w:rsidRPr="008311B2" w:rsidRDefault="000134A2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2019</w:t>
            </w:r>
            <w:r w:rsidR="00800D87"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D87" w:rsidRPr="008311B2" w:rsidRDefault="00800D87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A2" w:rsidRPr="008311B2" w:rsidTr="00457F45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:rsidR="000134A2" w:rsidRPr="008311B2" w:rsidRDefault="000134A2" w:rsidP="000D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134A2" w:rsidRPr="008311B2" w:rsidRDefault="000134A2" w:rsidP="000D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Всего на внутренний рынок РК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134A2" w:rsidRPr="008311B2" w:rsidRDefault="000134A2" w:rsidP="000134A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311B2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3 392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0134A2" w:rsidRPr="008311B2" w:rsidRDefault="000134A2" w:rsidP="00013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8311B2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3 541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104,4%</w:t>
            </w:r>
          </w:p>
        </w:tc>
      </w:tr>
      <w:tr w:rsidR="000134A2" w:rsidRPr="008311B2" w:rsidTr="00457F45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:rsidR="000134A2" w:rsidRPr="008311B2" w:rsidRDefault="000134A2" w:rsidP="000D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134A2" w:rsidRPr="008311B2" w:rsidRDefault="000134A2" w:rsidP="000D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Всего на экспо</w:t>
            </w:r>
            <w:proofErr w:type="gramStart"/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рт в РФ</w:t>
            </w:r>
            <w:proofErr w:type="gramEnd"/>
          </w:p>
        </w:tc>
        <w:tc>
          <w:tcPr>
            <w:tcW w:w="1937" w:type="dxa"/>
            <w:shd w:val="clear" w:color="auto" w:fill="auto"/>
            <w:vAlign w:val="bottom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713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779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0134A2" w:rsidRPr="008311B2" w:rsidRDefault="000134A2" w:rsidP="000134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109,3%</w:t>
            </w:r>
          </w:p>
        </w:tc>
      </w:tr>
    </w:tbl>
    <w:p w:rsidR="000134A2" w:rsidRPr="008311B2" w:rsidRDefault="000134A2" w:rsidP="000134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B2">
        <w:rPr>
          <w:rFonts w:ascii="Times New Roman" w:hAnsi="Times New Roman" w:cs="Times New Roman"/>
          <w:sz w:val="28"/>
          <w:szCs w:val="28"/>
        </w:rPr>
        <w:t xml:space="preserve">По показателям за январь 2019 года по сравнению с аналогичным периодом 2018 года в Обществе наблюдается рост добычи и реализации угля. </w:t>
      </w:r>
    </w:p>
    <w:p w:rsidR="00CB6062" w:rsidRPr="008311B2" w:rsidRDefault="00CB6062" w:rsidP="00CB60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34A2" w:rsidRPr="008311B2" w:rsidRDefault="000134A2" w:rsidP="00CB60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952" w:rsidRPr="008311B2" w:rsidRDefault="006C42DB" w:rsidP="00AE695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21" w:name="_Toc503289885"/>
      <w:bookmarkStart w:id="22" w:name="_Toc2345654"/>
      <w:r w:rsidRPr="008311B2">
        <w:rPr>
          <w:rFonts w:ascii="Times New Roman" w:hAnsi="Times New Roman" w:cs="Times New Roman"/>
          <w:b/>
        </w:rPr>
        <w:t>Возобновляемые источники энергии</w:t>
      </w:r>
      <w:bookmarkEnd w:id="21"/>
      <w:bookmarkEnd w:id="22"/>
    </w:p>
    <w:p w:rsidR="00AE6952" w:rsidRPr="008311B2" w:rsidRDefault="00AE6952" w:rsidP="00AE6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134A2" w:rsidRPr="008311B2" w:rsidRDefault="000134A2" w:rsidP="00DF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311B2">
        <w:rPr>
          <w:rFonts w:ascii="Times New Roman" w:hAnsi="Times New Roman" w:cs="Times New Roman"/>
          <w:sz w:val="28"/>
        </w:rPr>
        <w:t xml:space="preserve">Объем производства электроэнергии объектами по использованию ВИЭ (СЭС, ВЭС, БГС, малые ГЭС, согласно Закону «О поддержке и использования ВИЭ») за январь 2019 года составил 94,4 млн. </w:t>
      </w:r>
      <w:proofErr w:type="spellStart"/>
      <w:r w:rsidRPr="008311B2">
        <w:rPr>
          <w:rFonts w:ascii="Times New Roman" w:hAnsi="Times New Roman" w:cs="Times New Roman"/>
          <w:sz w:val="28"/>
        </w:rPr>
        <w:t>кВтч</w:t>
      </w:r>
      <w:proofErr w:type="spellEnd"/>
      <w:r w:rsidRPr="008311B2">
        <w:rPr>
          <w:rFonts w:ascii="Times New Roman" w:hAnsi="Times New Roman" w:cs="Times New Roman"/>
          <w:sz w:val="28"/>
        </w:rPr>
        <w:t>. В сравнении с показателями 2018 года (74,5 млн</w:t>
      </w:r>
      <w:r w:rsidR="00DF2006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DF2006">
        <w:rPr>
          <w:rFonts w:ascii="Times New Roman" w:hAnsi="Times New Roman" w:cs="Times New Roman"/>
          <w:sz w:val="28"/>
        </w:rPr>
        <w:t>кВтч</w:t>
      </w:r>
      <w:proofErr w:type="spellEnd"/>
      <w:r w:rsidR="00DF2006">
        <w:rPr>
          <w:rFonts w:ascii="Times New Roman" w:hAnsi="Times New Roman" w:cs="Times New Roman"/>
          <w:sz w:val="28"/>
        </w:rPr>
        <w:t>) прирост составил 26,7%.</w:t>
      </w:r>
    </w:p>
    <w:p w:rsidR="006C42DB" w:rsidRPr="008311B2" w:rsidRDefault="006C42DB" w:rsidP="00CB606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8311B2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8311B2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38"/>
        <w:gridCol w:w="3280"/>
        <w:gridCol w:w="1114"/>
        <w:gridCol w:w="1031"/>
        <w:gridCol w:w="1135"/>
        <w:gridCol w:w="969"/>
        <w:gridCol w:w="1041"/>
        <w:gridCol w:w="931"/>
      </w:tblGrid>
      <w:tr w:rsidR="000D0548" w:rsidRPr="00E11B9A" w:rsidTr="003E6E0E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48" w:rsidRPr="00E11B9A" w:rsidRDefault="000D0548" w:rsidP="003E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1B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48" w:rsidRPr="00E11B9A" w:rsidRDefault="000D0548" w:rsidP="003E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1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48" w:rsidRPr="00E11B9A" w:rsidRDefault="000D0548" w:rsidP="003E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1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E11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48" w:rsidRPr="00E11B9A" w:rsidRDefault="000D0548" w:rsidP="003E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1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E11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E11B9A" w:rsidRDefault="000D0548" w:rsidP="003E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1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E11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E11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гг,</w:t>
            </w:r>
          </w:p>
        </w:tc>
      </w:tr>
      <w:tr w:rsidR="000D0548" w:rsidRPr="00E11B9A" w:rsidTr="003E6E0E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48" w:rsidRPr="00E11B9A" w:rsidRDefault="000D0548" w:rsidP="003E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48" w:rsidRPr="00E11B9A" w:rsidRDefault="000D0548" w:rsidP="003E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48" w:rsidRPr="00682524" w:rsidRDefault="000D0548" w:rsidP="003E6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48" w:rsidRPr="00682524" w:rsidRDefault="000D0548" w:rsidP="003E6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доля в РК, 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48" w:rsidRPr="00682524" w:rsidRDefault="000D0548" w:rsidP="003E6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48" w:rsidRPr="00682524" w:rsidRDefault="000D0548" w:rsidP="003E6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доля в РК,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48" w:rsidRPr="00682524" w:rsidRDefault="000D0548" w:rsidP="003E6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млн. </w:t>
            </w:r>
            <w:proofErr w:type="spellStart"/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48" w:rsidRPr="00682524" w:rsidRDefault="000D0548" w:rsidP="003E6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D0548" w:rsidRPr="00E11B9A" w:rsidTr="003E6E0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E11B9A" w:rsidRDefault="000D0548" w:rsidP="003E6E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B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E11B9A" w:rsidRDefault="000D0548" w:rsidP="003E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1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выработка в РК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10357,3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9944,4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-412,9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-4,0%</w:t>
            </w:r>
          </w:p>
        </w:tc>
      </w:tr>
      <w:tr w:rsidR="000D0548" w:rsidRPr="00E11B9A" w:rsidTr="003E6E0E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E11B9A" w:rsidRDefault="000D0548" w:rsidP="003E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1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E11B9A" w:rsidRDefault="000D0548" w:rsidP="003E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1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ВИЭ в РК, в </w:t>
            </w:r>
            <w:proofErr w:type="spellStart"/>
            <w:r w:rsidRPr="00E11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E11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по зонам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26,7%</w:t>
            </w:r>
          </w:p>
        </w:tc>
      </w:tr>
      <w:tr w:rsidR="000D0548" w:rsidRPr="00E11B9A" w:rsidTr="003E6E0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E11B9A" w:rsidRDefault="000D0548" w:rsidP="003E6E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E11B9A" w:rsidRDefault="000D0548" w:rsidP="003E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1B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Северная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36,4%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27,1%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-5,5%</w:t>
            </w:r>
          </w:p>
        </w:tc>
      </w:tr>
      <w:tr w:rsidR="000D0548" w:rsidRPr="00E11B9A" w:rsidTr="003E6E0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E11B9A" w:rsidRDefault="000D0548" w:rsidP="003E6E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B9A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E11B9A" w:rsidRDefault="000D0548" w:rsidP="003E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1B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Южная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63,6%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55,4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58,7%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16,9%</w:t>
            </w:r>
          </w:p>
        </w:tc>
      </w:tr>
      <w:tr w:rsidR="000D0548" w:rsidRPr="00E11B9A" w:rsidTr="003E6E0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E11B9A" w:rsidRDefault="000D0548" w:rsidP="003E6E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B9A">
              <w:rPr>
                <w:rFonts w:ascii="Times New Roman" w:eastAsia="Times New Roman" w:hAnsi="Times New Roman" w:cs="Times New Roman"/>
                <w:lang w:eastAsia="ru-RU"/>
              </w:rPr>
              <w:t> 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E11B9A" w:rsidRDefault="000D0548" w:rsidP="003E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1B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Западная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52,3%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0,0%</w:t>
            </w:r>
          </w:p>
        </w:tc>
      </w:tr>
      <w:tr w:rsidR="000D0548" w:rsidRPr="00E11B9A" w:rsidTr="003E6E0E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E11B9A" w:rsidRDefault="000D0548" w:rsidP="003E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1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E11B9A" w:rsidRDefault="000D0548" w:rsidP="003E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1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ВИЭ в РК, в </w:t>
            </w:r>
            <w:proofErr w:type="spellStart"/>
            <w:r w:rsidRPr="00E11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E11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по типам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</w:t>
            </w: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26,7</w:t>
            </w: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D0548" w:rsidRPr="00E11B9A" w:rsidTr="003E6E0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E11B9A" w:rsidRDefault="000D0548" w:rsidP="003E6E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B9A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E11B9A" w:rsidRDefault="000D0548" w:rsidP="003E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11B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123,8%</w:t>
            </w:r>
          </w:p>
        </w:tc>
      </w:tr>
      <w:tr w:rsidR="000D0548" w:rsidRPr="00E11B9A" w:rsidTr="003E6E0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E11B9A" w:rsidRDefault="000D0548" w:rsidP="003E6E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B9A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E11B9A" w:rsidRDefault="000D0548" w:rsidP="003E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11B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33,6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0,3%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49,9%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40,2%</w:t>
            </w:r>
          </w:p>
        </w:tc>
      </w:tr>
      <w:tr w:rsidR="000D0548" w:rsidRPr="00E11B9A" w:rsidTr="003E6E0E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E11B9A" w:rsidRDefault="000D0548" w:rsidP="003E6E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B9A">
              <w:rPr>
                <w:rFonts w:ascii="Times New Roman" w:eastAsia="Times New Roman" w:hAnsi="Times New Roman" w:cs="Times New Roman"/>
                <w:lang w:eastAsia="ru-RU"/>
              </w:rPr>
              <w:t> 3.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E11B9A" w:rsidRDefault="000D0548" w:rsidP="003E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11B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36,7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0,4%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39,8%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2,5%</w:t>
            </w:r>
          </w:p>
        </w:tc>
      </w:tr>
      <w:tr w:rsidR="000D0548" w:rsidRPr="00E11B9A" w:rsidTr="003E6E0E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548" w:rsidRPr="00E11B9A" w:rsidRDefault="000D0548" w:rsidP="003E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B9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548" w:rsidRPr="00E11B9A" w:rsidRDefault="000D0548" w:rsidP="003E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11B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БиоГазовыеУстановки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0,3%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548" w:rsidRPr="00682524" w:rsidRDefault="000D0548" w:rsidP="0025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0,0%</w:t>
            </w:r>
          </w:p>
        </w:tc>
      </w:tr>
    </w:tbl>
    <w:p w:rsidR="00457F45" w:rsidRDefault="00457F45" w:rsidP="000134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17273" w:rsidRDefault="00B17273" w:rsidP="00B1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E11B9A">
        <w:rPr>
          <w:rFonts w:ascii="Times New Roman" w:hAnsi="Times New Roman" w:cs="Times New Roman"/>
          <w:sz w:val="28"/>
        </w:rPr>
        <w:t xml:space="preserve"> январ</w:t>
      </w:r>
      <w:r>
        <w:rPr>
          <w:rFonts w:ascii="Times New Roman" w:hAnsi="Times New Roman" w:cs="Times New Roman"/>
          <w:sz w:val="28"/>
        </w:rPr>
        <w:t xml:space="preserve">е </w:t>
      </w:r>
      <w:r w:rsidRPr="00E11B9A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9</w:t>
      </w:r>
      <w:r w:rsidRPr="00E11B9A">
        <w:rPr>
          <w:rFonts w:ascii="Times New Roman" w:hAnsi="Times New Roman" w:cs="Times New Roman"/>
          <w:sz w:val="28"/>
        </w:rPr>
        <w:t>г. наблюдается снижение производства электроэнергии крупными и малыми ГЭС</w:t>
      </w:r>
      <w:r w:rsidRPr="000E4516">
        <w:rPr>
          <w:rFonts w:ascii="Times New Roman" w:hAnsi="Times New Roman" w:cs="Times New Roman"/>
          <w:sz w:val="28"/>
        </w:rPr>
        <w:t xml:space="preserve"> </w:t>
      </w:r>
      <w:r w:rsidRPr="00E11B9A">
        <w:rPr>
          <w:rFonts w:ascii="Times New Roman" w:hAnsi="Times New Roman" w:cs="Times New Roman"/>
          <w:sz w:val="28"/>
        </w:rPr>
        <w:t>по сравнению с аналогичным периодом 201</w:t>
      </w:r>
      <w:r>
        <w:rPr>
          <w:rFonts w:ascii="Times New Roman" w:hAnsi="Times New Roman" w:cs="Times New Roman"/>
          <w:sz w:val="28"/>
        </w:rPr>
        <w:t>8</w:t>
      </w:r>
      <w:r w:rsidRPr="00E11B9A">
        <w:rPr>
          <w:rFonts w:ascii="Times New Roman" w:hAnsi="Times New Roman" w:cs="Times New Roman"/>
          <w:sz w:val="28"/>
        </w:rPr>
        <w:t xml:space="preserve">г., в то время как производство электроэнергии объектами ВЭС и СЭС выросло. </w:t>
      </w:r>
    </w:p>
    <w:p w:rsidR="00B17273" w:rsidRPr="00E31CB4" w:rsidRDefault="00B17273" w:rsidP="00B1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17273" w:rsidRPr="00E31CB4" w:rsidRDefault="00B17273" w:rsidP="00B17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E31CB4">
        <w:rPr>
          <w:rFonts w:ascii="Times New Roman" w:eastAsia="Times New Roman" w:hAnsi="Times New Roman" w:cs="Times New Roman"/>
          <w:i/>
          <w:iCs/>
          <w:sz w:val="28"/>
          <w:szCs w:val="28"/>
        </w:rPr>
        <w:t>Справочно</w:t>
      </w:r>
      <w:proofErr w:type="spellEnd"/>
      <w:r w:rsidRPr="00E31C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</w:p>
    <w:p w:rsidR="00B17273" w:rsidRPr="00E31CB4" w:rsidRDefault="00B17273" w:rsidP="00B17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E31CB4">
        <w:rPr>
          <w:rFonts w:ascii="Times New Roman" w:eastAsia="Times New Roman" w:hAnsi="Times New Roman" w:cs="Times New Roman"/>
          <w:i/>
          <w:sz w:val="28"/>
          <w:szCs w:val="28"/>
        </w:rPr>
        <w:t xml:space="preserve">В январе </w:t>
      </w:r>
      <w:proofErr w:type="spellStart"/>
      <w:r w:rsidRPr="00E31CB4">
        <w:rPr>
          <w:rFonts w:ascii="Times New Roman" w:eastAsia="Times New Roman" w:hAnsi="Times New Roman" w:cs="Times New Roman"/>
          <w:i/>
          <w:sz w:val="28"/>
          <w:szCs w:val="28"/>
        </w:rPr>
        <w:t>т.г</w:t>
      </w:r>
      <w:proofErr w:type="spellEnd"/>
      <w:r w:rsidRPr="00E31CB4">
        <w:rPr>
          <w:rFonts w:ascii="Times New Roman" w:eastAsia="Times New Roman" w:hAnsi="Times New Roman" w:cs="Times New Roman"/>
          <w:i/>
          <w:sz w:val="28"/>
          <w:szCs w:val="28"/>
        </w:rPr>
        <w:t>. в РК было введено 5 объектов ВИЭ (</w:t>
      </w:r>
      <w:r w:rsidRPr="00E31C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ВЭС </w:t>
      </w:r>
      <w:proofErr w:type="spellStart"/>
      <w:r w:rsidRPr="00E31CB4">
        <w:rPr>
          <w:rFonts w:ascii="Times New Roman" w:eastAsia="Times New Roman" w:hAnsi="Times New Roman" w:cs="Times New Roman"/>
          <w:i/>
          <w:iCs/>
          <w:sz w:val="28"/>
          <w:szCs w:val="28"/>
        </w:rPr>
        <w:t>Кербулак</w:t>
      </w:r>
      <w:proofErr w:type="spellEnd"/>
      <w:r w:rsidRPr="00E31C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1 - 4,5 МВт, </w:t>
      </w:r>
      <w:proofErr w:type="spellStart"/>
      <w:r w:rsidRPr="00E31CB4">
        <w:rPr>
          <w:rFonts w:ascii="Times New Roman" w:eastAsia="Times New Roman" w:hAnsi="Times New Roman" w:cs="Times New Roman"/>
          <w:i/>
          <w:iCs/>
          <w:sz w:val="28"/>
          <w:szCs w:val="28"/>
        </w:rPr>
        <w:t>Алматинская</w:t>
      </w:r>
      <w:proofErr w:type="spellEnd"/>
      <w:r w:rsidRPr="00E31C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область; ВЭС </w:t>
      </w:r>
      <w:proofErr w:type="spellStart"/>
      <w:r w:rsidRPr="00E31CB4">
        <w:rPr>
          <w:rFonts w:ascii="Times New Roman" w:eastAsia="Times New Roman" w:hAnsi="Times New Roman" w:cs="Times New Roman"/>
          <w:i/>
          <w:iCs/>
          <w:sz w:val="28"/>
          <w:szCs w:val="28"/>
        </w:rPr>
        <w:t>Кербулак</w:t>
      </w:r>
      <w:proofErr w:type="spellEnd"/>
      <w:r w:rsidRPr="00E31C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  - 4,5 МВт, </w:t>
      </w:r>
      <w:proofErr w:type="spellStart"/>
      <w:r w:rsidRPr="00E31CB4">
        <w:rPr>
          <w:rFonts w:ascii="Times New Roman" w:eastAsia="Times New Roman" w:hAnsi="Times New Roman" w:cs="Times New Roman"/>
          <w:i/>
          <w:iCs/>
          <w:sz w:val="28"/>
          <w:szCs w:val="28"/>
        </w:rPr>
        <w:t>Алматинская</w:t>
      </w:r>
      <w:proofErr w:type="spellEnd"/>
      <w:r w:rsidRPr="00E31C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область; СЭС «</w:t>
      </w:r>
      <w:proofErr w:type="spellStart"/>
      <w:r w:rsidRPr="00E31CB4">
        <w:rPr>
          <w:rFonts w:ascii="Times New Roman" w:eastAsia="Times New Roman" w:hAnsi="Times New Roman" w:cs="Times New Roman"/>
          <w:i/>
          <w:iCs/>
          <w:sz w:val="28"/>
          <w:szCs w:val="28"/>
        </w:rPr>
        <w:t>Гульшат</w:t>
      </w:r>
      <w:proofErr w:type="spellEnd"/>
      <w:r w:rsidRPr="00E31C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» КПМ Дельта – 40 МВт, Карагандинская область; ВЭС </w:t>
      </w:r>
      <w:proofErr w:type="spellStart"/>
      <w:r w:rsidRPr="00E31CB4">
        <w:rPr>
          <w:rFonts w:ascii="Times New Roman" w:eastAsia="Times New Roman" w:hAnsi="Times New Roman" w:cs="Times New Roman"/>
          <w:i/>
          <w:iCs/>
          <w:sz w:val="28"/>
          <w:szCs w:val="28"/>
        </w:rPr>
        <w:t>Ветроэнерготехнологии</w:t>
      </w:r>
      <w:proofErr w:type="spellEnd"/>
      <w:r w:rsidRPr="00E31C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52,8 МВт, </w:t>
      </w:r>
      <w:proofErr w:type="spellStart"/>
      <w:r w:rsidRPr="00E31CB4">
        <w:rPr>
          <w:rFonts w:ascii="Times New Roman" w:eastAsia="Times New Roman" w:hAnsi="Times New Roman" w:cs="Times New Roman"/>
          <w:i/>
          <w:iCs/>
          <w:sz w:val="28"/>
          <w:szCs w:val="28"/>
        </w:rPr>
        <w:t>Мангистауская</w:t>
      </w:r>
      <w:proofErr w:type="spellEnd"/>
      <w:r w:rsidRPr="00E31C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область; Биогазовая установка агрофирма «</w:t>
      </w:r>
      <w:proofErr w:type="spellStart"/>
      <w:r w:rsidRPr="00E31CB4">
        <w:rPr>
          <w:rFonts w:ascii="Times New Roman" w:eastAsia="Times New Roman" w:hAnsi="Times New Roman" w:cs="Times New Roman"/>
          <w:i/>
          <w:iCs/>
          <w:sz w:val="28"/>
          <w:szCs w:val="28"/>
        </w:rPr>
        <w:t>Курма</w:t>
      </w:r>
      <w:proofErr w:type="spellEnd"/>
      <w:r w:rsidRPr="00E31CB4">
        <w:rPr>
          <w:rFonts w:ascii="Times New Roman" w:eastAsia="Times New Roman" w:hAnsi="Times New Roman" w:cs="Times New Roman"/>
          <w:i/>
          <w:iCs/>
          <w:sz w:val="28"/>
          <w:szCs w:val="28"/>
        </w:rPr>
        <w:t>» - 1,3 МВт, Карагандинская область.</w:t>
      </w:r>
      <w:proofErr w:type="gramEnd"/>
    </w:p>
    <w:p w:rsidR="00B17273" w:rsidRPr="00535775" w:rsidRDefault="00B17273" w:rsidP="00B17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31CB4">
        <w:rPr>
          <w:rFonts w:ascii="Times New Roman" w:eastAsia="Times New Roman" w:hAnsi="Times New Roman" w:cs="Times New Roman"/>
          <w:i/>
          <w:sz w:val="28"/>
          <w:szCs w:val="28"/>
        </w:rPr>
        <w:t>Количество действующих объектов ВИЭ в РК составило 72 с суммарной мощностью 634 МВт </w:t>
      </w:r>
      <w:r w:rsidRPr="00E31CB4">
        <w:rPr>
          <w:rFonts w:ascii="Times New Roman" w:eastAsia="Times New Roman" w:hAnsi="Times New Roman" w:cs="Times New Roman"/>
          <w:i/>
          <w:iCs/>
          <w:sz w:val="28"/>
          <w:szCs w:val="28"/>
        </w:rPr>
        <w:t>(ГЭС – 200,25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МВт</w:t>
      </w:r>
      <w:r w:rsidRPr="00E31CB4">
        <w:rPr>
          <w:rFonts w:ascii="Times New Roman" w:eastAsia="Times New Roman" w:hAnsi="Times New Roman" w:cs="Times New Roman"/>
          <w:i/>
          <w:iCs/>
          <w:sz w:val="28"/>
          <w:szCs w:val="28"/>
        </w:rPr>
        <w:t>; ВЭС – 183,25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МВт</w:t>
      </w:r>
      <w:r w:rsidRPr="00E31CB4">
        <w:rPr>
          <w:rFonts w:ascii="Times New Roman" w:eastAsia="Times New Roman" w:hAnsi="Times New Roman" w:cs="Times New Roman"/>
          <w:i/>
          <w:iCs/>
          <w:sz w:val="28"/>
          <w:szCs w:val="28"/>
        </w:rPr>
        <w:t>; СЭС – 249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МВт</w:t>
      </w:r>
      <w:r w:rsidRPr="00E31CB4">
        <w:rPr>
          <w:rFonts w:ascii="Times New Roman" w:eastAsia="Times New Roman" w:hAnsi="Times New Roman" w:cs="Times New Roman"/>
          <w:i/>
          <w:iCs/>
          <w:sz w:val="28"/>
          <w:szCs w:val="28"/>
        </w:rPr>
        <w:t>; биогазовая установка – 1,65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МВт</w:t>
      </w:r>
      <w:r w:rsidRPr="00E31CB4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9A2788" w:rsidRPr="008311B2" w:rsidRDefault="009A2788" w:rsidP="00CB6062">
      <w:pPr>
        <w:spacing w:after="0" w:line="240" w:lineRule="auto"/>
        <w:ind w:firstLine="709"/>
        <w:rPr>
          <w:rFonts w:ascii="Times New Roman" w:hAnsi="Times New Roman" w:cs="Times New Roman"/>
          <w:sz w:val="16"/>
        </w:rPr>
      </w:pPr>
    </w:p>
    <w:p w:rsidR="006C42DB" w:rsidRPr="008311B2" w:rsidRDefault="006C42DB" w:rsidP="00CB60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8311B2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8311B2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104" w:type="dxa"/>
        <w:jc w:val="center"/>
        <w:tblLook w:val="04A0" w:firstRow="1" w:lastRow="0" w:firstColumn="1" w:lastColumn="0" w:noHBand="0" w:noVBand="1"/>
      </w:tblPr>
      <w:tblGrid>
        <w:gridCol w:w="439"/>
        <w:gridCol w:w="3604"/>
        <w:gridCol w:w="1108"/>
        <w:gridCol w:w="1045"/>
        <w:gridCol w:w="1108"/>
        <w:gridCol w:w="979"/>
        <w:gridCol w:w="1036"/>
        <w:gridCol w:w="785"/>
      </w:tblGrid>
      <w:tr w:rsidR="000134A2" w:rsidRPr="008311B2" w:rsidTr="00457F45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2019/2018гг,</w:t>
            </w:r>
          </w:p>
        </w:tc>
      </w:tr>
      <w:tr w:rsidR="000134A2" w:rsidRPr="008311B2" w:rsidTr="00457F45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 xml:space="preserve"> млн. </w:t>
            </w:r>
            <w:proofErr w:type="spellStart"/>
            <w:r w:rsidRPr="008311B2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0134A2" w:rsidRPr="008311B2" w:rsidTr="00457F45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э/э в ЕЭС РК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10357,3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9944,4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-412,9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-4,0%</w:t>
            </w:r>
          </w:p>
        </w:tc>
      </w:tr>
      <w:tr w:rsidR="000134A2" w:rsidRPr="008311B2" w:rsidTr="00457F45">
        <w:trPr>
          <w:trHeight w:val="75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4A2" w:rsidRPr="008311B2" w:rsidRDefault="000134A2" w:rsidP="000134A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«чистой» электроэнергии (с учетом крупных и малых ГЭС, ВЭС и СЭС)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B67098" w:rsidRDefault="00B67098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818,8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7,9%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781,8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7,9%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-37,0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-4,5%</w:t>
            </w:r>
          </w:p>
        </w:tc>
      </w:tr>
      <w:tr w:rsidR="000134A2" w:rsidRPr="008311B2" w:rsidTr="00457F45">
        <w:trPr>
          <w:trHeight w:val="9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4A2" w:rsidRPr="008311B2" w:rsidRDefault="000134A2" w:rsidP="000134A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lang w:eastAsia="ru-RU"/>
              </w:rPr>
              <w:t>Производство «чистой» электроэнергии (с учетом малых ГЭС, ВЭС и СЭС) (согласно Закону о ВИЭ)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74,5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0,7%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94,4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0,9%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19,9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26,7%</w:t>
            </w:r>
          </w:p>
        </w:tc>
      </w:tr>
    </w:tbl>
    <w:p w:rsidR="006C42DB" w:rsidRPr="008311B2" w:rsidRDefault="006C42DB" w:rsidP="00CB60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17273" w:rsidRPr="00E11B9A" w:rsidRDefault="00B17273" w:rsidP="00B1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E11B9A">
        <w:rPr>
          <w:rFonts w:ascii="Times New Roman" w:hAnsi="Times New Roman" w:cs="Times New Roman"/>
          <w:sz w:val="28"/>
        </w:rPr>
        <w:t>Выработка электроэнергии объектами ВИЭ АО «</w:t>
      </w:r>
      <w:proofErr w:type="spellStart"/>
      <w:r w:rsidRPr="00E11B9A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E11B9A">
        <w:rPr>
          <w:rFonts w:ascii="Times New Roman" w:hAnsi="Times New Roman" w:cs="Times New Roman"/>
          <w:sz w:val="28"/>
        </w:rPr>
        <w:t>»</w:t>
      </w:r>
      <w:r w:rsidRPr="003C2EA6">
        <w:rPr>
          <w:rFonts w:ascii="Times New Roman" w:hAnsi="Times New Roman" w:cs="Times New Roman"/>
          <w:sz w:val="28"/>
        </w:rPr>
        <w:t xml:space="preserve"> (малые ГЭС, ВЭС, СЭС)</w:t>
      </w:r>
      <w:r w:rsidRPr="00E11B9A">
        <w:rPr>
          <w:rFonts w:ascii="Times New Roman" w:hAnsi="Times New Roman" w:cs="Times New Roman"/>
          <w:sz w:val="28"/>
        </w:rPr>
        <w:t xml:space="preserve"> за январь</w:t>
      </w:r>
      <w:r>
        <w:rPr>
          <w:rFonts w:ascii="Times New Roman" w:hAnsi="Times New Roman" w:cs="Times New Roman"/>
          <w:sz w:val="28"/>
        </w:rPr>
        <w:t xml:space="preserve"> 2019 года</w:t>
      </w:r>
      <w:r w:rsidRPr="00E11B9A">
        <w:rPr>
          <w:rFonts w:ascii="Times New Roman" w:hAnsi="Times New Roman" w:cs="Times New Roman"/>
          <w:sz w:val="28"/>
        </w:rPr>
        <w:t xml:space="preserve"> </w:t>
      </w:r>
      <w:r w:rsidRPr="00E11B9A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Pr="00E11B9A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E11B9A">
        <w:rPr>
          <w:rFonts w:ascii="Times New Roman" w:hAnsi="Times New Roman" w:cs="Times New Roman"/>
          <w:sz w:val="28"/>
        </w:rPr>
        <w:t>кВтч</w:t>
      </w:r>
      <w:proofErr w:type="spellEnd"/>
      <w:r w:rsidRPr="00E11B9A">
        <w:rPr>
          <w:rFonts w:ascii="Times New Roman" w:hAnsi="Times New Roman" w:cs="Times New Roman"/>
          <w:sz w:val="28"/>
        </w:rPr>
        <w:t xml:space="preserve"> или </w:t>
      </w:r>
      <w:r>
        <w:rPr>
          <w:rFonts w:ascii="Times New Roman" w:hAnsi="Times New Roman" w:cs="Times New Roman"/>
          <w:sz w:val="28"/>
        </w:rPr>
        <w:t>27,5</w:t>
      </w:r>
      <w:r w:rsidRPr="00E11B9A">
        <w:rPr>
          <w:rFonts w:ascii="Times New Roman" w:hAnsi="Times New Roman" w:cs="Times New Roman"/>
          <w:sz w:val="28"/>
        </w:rPr>
        <w:t>% от общего объема вырабатываемой объектами ВИЭ электроэнергии, что по сравнению с аналогичным периодом 201</w:t>
      </w:r>
      <w:r>
        <w:rPr>
          <w:rFonts w:ascii="Times New Roman" w:hAnsi="Times New Roman" w:cs="Times New Roman"/>
          <w:sz w:val="28"/>
        </w:rPr>
        <w:t>8</w:t>
      </w:r>
      <w:r w:rsidRPr="00E11B9A">
        <w:rPr>
          <w:rFonts w:ascii="Times New Roman" w:hAnsi="Times New Roman" w:cs="Times New Roman"/>
          <w:sz w:val="28"/>
        </w:rPr>
        <w:t xml:space="preserve"> года ниже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Pr="00E11B9A">
        <w:rPr>
          <w:rFonts w:ascii="Times New Roman" w:hAnsi="Times New Roman" w:cs="Times New Roman"/>
          <w:sz w:val="28"/>
          <w:szCs w:val="28"/>
        </w:rPr>
        <w:t>%</w:t>
      </w:r>
      <w:r w:rsidRPr="00E11B9A">
        <w:rPr>
          <w:rFonts w:ascii="Times New Roman" w:hAnsi="Times New Roman" w:cs="Times New Roman"/>
          <w:sz w:val="28"/>
        </w:rPr>
        <w:t xml:space="preserve"> (за </w:t>
      </w:r>
      <w:r>
        <w:rPr>
          <w:rFonts w:ascii="Times New Roman" w:hAnsi="Times New Roman" w:cs="Times New Roman"/>
          <w:sz w:val="28"/>
        </w:rPr>
        <w:t>январь</w:t>
      </w:r>
      <w:r w:rsidRPr="00E11B9A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8</w:t>
      </w:r>
      <w:r w:rsidRPr="00E11B9A">
        <w:rPr>
          <w:rFonts w:ascii="Times New Roman" w:hAnsi="Times New Roman" w:cs="Times New Roman"/>
          <w:sz w:val="28"/>
        </w:rPr>
        <w:t>г. выработка ВИЭ Общества</w:t>
      </w:r>
      <w:r w:rsidRPr="00E11B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z w:val="28"/>
          <w:lang w:eastAsia="ru-RU"/>
        </w:rPr>
        <w:t>28,6</w:t>
      </w:r>
      <w:r w:rsidRPr="00E11B9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11B9A">
        <w:rPr>
          <w:rFonts w:ascii="Times New Roman" w:hAnsi="Times New Roman" w:cs="Times New Roman"/>
          <w:sz w:val="28"/>
        </w:rPr>
        <w:t>млн</w: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кВтч</w:t>
      </w:r>
      <w:proofErr w:type="spellEnd"/>
      <w:r>
        <w:rPr>
          <w:rFonts w:ascii="Times New Roman" w:hAnsi="Times New Roman" w:cs="Times New Roman"/>
          <w:sz w:val="28"/>
        </w:rPr>
        <w:t>, а д</w:t>
      </w:r>
      <w:r w:rsidRPr="00E11B9A">
        <w:rPr>
          <w:rFonts w:ascii="Times New Roman" w:hAnsi="Times New Roman" w:cs="Times New Roman"/>
          <w:sz w:val="28"/>
        </w:rPr>
        <w:t>оля ВИЭ Общества</w:t>
      </w:r>
      <w:r>
        <w:rPr>
          <w:rFonts w:ascii="Times New Roman" w:hAnsi="Times New Roman" w:cs="Times New Roman"/>
          <w:sz w:val="28"/>
        </w:rPr>
        <w:t xml:space="preserve"> </w:t>
      </w:r>
      <w:r w:rsidRPr="00E11B9A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38</w:t>
      </w:r>
      <w:r w:rsidRPr="00E11B9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4</w:t>
      </w:r>
      <w:r w:rsidRPr="00E11B9A">
        <w:rPr>
          <w:rFonts w:ascii="Times New Roman" w:hAnsi="Times New Roman" w:cs="Times New Roman"/>
          <w:sz w:val="28"/>
        </w:rPr>
        <w:t>%).</w:t>
      </w:r>
      <w:proofErr w:type="gramEnd"/>
    </w:p>
    <w:p w:rsidR="00B17273" w:rsidRPr="003C2EA6" w:rsidRDefault="00B17273" w:rsidP="00B1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C2EA6">
        <w:rPr>
          <w:rFonts w:ascii="Times New Roman" w:hAnsi="Times New Roman" w:cs="Times New Roman"/>
          <w:sz w:val="28"/>
        </w:rPr>
        <w:t xml:space="preserve">Доля Общества в производстве «чистой» электроэнергии (крупные, малые ГЭС, ВЭС, СЭС) за январь 2019г. снизилась до </w:t>
      </w:r>
      <w:r w:rsidRPr="003C2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29,1%</w:t>
      </w:r>
      <w:r w:rsidRPr="003C2EA6">
        <w:rPr>
          <w:rFonts w:ascii="Times New Roman" w:hAnsi="Times New Roman" w:cs="Times New Roman"/>
          <w:sz w:val="28"/>
        </w:rPr>
        <w:t xml:space="preserve"> (</w:t>
      </w:r>
      <w:r w:rsidRPr="003C2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227,3</w:t>
      </w:r>
      <w:r w:rsidRPr="003C2EA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C2EA6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3C2EA6">
        <w:rPr>
          <w:rFonts w:ascii="Times New Roman" w:hAnsi="Times New Roman" w:cs="Times New Roman"/>
          <w:sz w:val="28"/>
        </w:rPr>
        <w:t>кВтч</w:t>
      </w:r>
      <w:proofErr w:type="spellEnd"/>
      <w:r w:rsidRPr="003C2EA6">
        <w:rPr>
          <w:rFonts w:ascii="Times New Roman" w:hAnsi="Times New Roman" w:cs="Times New Roman"/>
          <w:sz w:val="28"/>
        </w:rPr>
        <w:t xml:space="preserve">) в сравнении с аналогичным периодом 2018г. (31,1% или 254,8 млн. </w:t>
      </w:r>
      <w:proofErr w:type="spellStart"/>
      <w:r w:rsidRPr="003C2EA6">
        <w:rPr>
          <w:rFonts w:ascii="Times New Roman" w:hAnsi="Times New Roman" w:cs="Times New Roman"/>
          <w:sz w:val="28"/>
        </w:rPr>
        <w:t>кВтч</w:t>
      </w:r>
      <w:proofErr w:type="spellEnd"/>
      <w:r w:rsidRPr="003C2EA6">
        <w:rPr>
          <w:rFonts w:ascii="Times New Roman" w:hAnsi="Times New Roman" w:cs="Times New Roman"/>
          <w:sz w:val="28"/>
        </w:rPr>
        <w:t>).</w:t>
      </w:r>
    </w:p>
    <w:p w:rsidR="00B17273" w:rsidRDefault="00B17273" w:rsidP="00B1727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E11B9A">
        <w:rPr>
          <w:rFonts w:ascii="Times New Roman" w:hAnsi="Times New Roman" w:cs="Times New Roman"/>
          <w:sz w:val="28"/>
        </w:rPr>
        <w:t xml:space="preserve">Снижение показателей выработки электроэнергии ВИЭ Общества связано с </w:t>
      </w:r>
      <w:r w:rsidRPr="00E11B9A">
        <w:rPr>
          <w:rFonts w:ascii="Times New Roman" w:hAnsi="Times New Roman" w:cs="Times New Roman"/>
          <w:sz w:val="28"/>
          <w:szCs w:val="28"/>
          <w:lang w:val="kk-KZ"/>
        </w:rPr>
        <w:t xml:space="preserve">повреждением главного редуктора ВЭУ </w:t>
      </w:r>
      <w:r w:rsidRPr="00E11B9A">
        <w:rPr>
          <w:rFonts w:ascii="Times New Roman" w:hAnsi="Times New Roman" w:cs="Times New Roman"/>
          <w:sz w:val="28"/>
          <w:szCs w:val="28"/>
        </w:rPr>
        <w:t>№21 ТОО «ПВЭС» (вывод с</w:t>
      </w:r>
      <w:r w:rsidRPr="00E11B9A">
        <w:rPr>
          <w:rFonts w:ascii="Times New Roman" w:hAnsi="Times New Roman" w:cs="Times New Roman"/>
          <w:sz w:val="28"/>
          <w:szCs w:val="28"/>
          <w:lang w:val="kk-KZ"/>
        </w:rPr>
        <w:t xml:space="preserve"> 19.02.2018г.), </w:t>
      </w:r>
      <w:r w:rsidRPr="00E11B9A">
        <w:rPr>
          <w:rFonts w:ascii="Times New Roman" w:hAnsi="Times New Roman" w:cs="Times New Roman"/>
          <w:sz w:val="28"/>
        </w:rPr>
        <w:t xml:space="preserve">снижением притока большого </w:t>
      </w:r>
      <w:proofErr w:type="spellStart"/>
      <w:r w:rsidRPr="00E11B9A">
        <w:rPr>
          <w:rFonts w:ascii="Times New Roman" w:hAnsi="Times New Roman" w:cs="Times New Roman"/>
          <w:sz w:val="28"/>
        </w:rPr>
        <w:t>алматинского</w:t>
      </w:r>
      <w:proofErr w:type="spellEnd"/>
      <w:r w:rsidRPr="00E11B9A">
        <w:rPr>
          <w:rFonts w:ascii="Times New Roman" w:hAnsi="Times New Roman" w:cs="Times New Roman"/>
          <w:sz w:val="28"/>
        </w:rPr>
        <w:t xml:space="preserve"> озера (БАО) </w:t>
      </w:r>
      <w:r w:rsidRPr="00E11B9A">
        <w:rPr>
          <w:rFonts w:ascii="Times New Roman" w:hAnsi="Times New Roman" w:cs="Times New Roman"/>
          <w:sz w:val="28"/>
          <w:szCs w:val="28"/>
        </w:rPr>
        <w:t xml:space="preserve">на </w:t>
      </w:r>
      <w:r w:rsidRPr="00E11B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Каскаде малых ГЭС АО «</w:t>
      </w:r>
      <w:proofErr w:type="spellStart"/>
      <w:r w:rsidRPr="00E11B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АлЭС</w:t>
      </w:r>
      <w:proofErr w:type="spellEnd"/>
      <w:r w:rsidRPr="00E11B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E11B9A">
        <w:rPr>
          <w:rFonts w:ascii="Times New Roman" w:hAnsi="Times New Roman" w:cs="Times New Roman"/>
          <w:sz w:val="28"/>
          <w:szCs w:val="28"/>
        </w:rPr>
        <w:t xml:space="preserve">, а также увеличением объемов производства </w:t>
      </w:r>
      <w:r w:rsidRPr="00E11B9A">
        <w:rPr>
          <w:rFonts w:ascii="Times New Roman" w:hAnsi="Times New Roman" w:cs="Times New Roman"/>
          <w:sz w:val="28"/>
          <w:szCs w:val="28"/>
        </w:rPr>
        <w:lastRenderedPageBreak/>
        <w:t>электроэнергии другими объе</w:t>
      </w:r>
      <w:r w:rsidRPr="00E11B9A">
        <w:rPr>
          <w:rFonts w:ascii="Times New Roman" w:hAnsi="Times New Roman" w:cs="Times New Roman"/>
          <w:sz w:val="28"/>
        </w:rPr>
        <w:t>ктами ВИЭ вследствие ввода новых мощностей ВИЭ в РК</w:t>
      </w:r>
      <w:r>
        <w:rPr>
          <w:rFonts w:ascii="Times New Roman" w:hAnsi="Times New Roman" w:cs="Times New Roman"/>
          <w:sz w:val="28"/>
        </w:rPr>
        <w:t>.</w:t>
      </w:r>
    </w:p>
    <w:p w:rsidR="006C42DB" w:rsidRPr="008311B2" w:rsidRDefault="006C42DB" w:rsidP="00CB60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311B2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8311B2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9"/>
        <w:gridCol w:w="3987"/>
        <w:gridCol w:w="930"/>
        <w:gridCol w:w="986"/>
        <w:gridCol w:w="939"/>
        <w:gridCol w:w="972"/>
        <w:gridCol w:w="960"/>
        <w:gridCol w:w="903"/>
      </w:tblGrid>
      <w:tr w:rsidR="000134A2" w:rsidRPr="008311B2" w:rsidTr="000134A2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2019/2018гг,</w:t>
            </w:r>
          </w:p>
        </w:tc>
      </w:tr>
      <w:tr w:rsidR="000134A2" w:rsidRPr="008311B2" w:rsidTr="000134A2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 xml:space="preserve"> млн. </w:t>
            </w:r>
            <w:proofErr w:type="spellStart"/>
            <w:r w:rsidRPr="008311B2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0134A2" w:rsidRPr="008311B2" w:rsidTr="000134A2">
        <w:trPr>
          <w:trHeight w:val="9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lang w:eastAsia="ru-RU"/>
              </w:rPr>
              <w:t>Производство</w:t>
            </w:r>
            <w:r w:rsidRPr="0083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311B2"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proofErr w:type="spellStart"/>
            <w:r w:rsidRPr="008311B2">
              <w:rPr>
                <w:rFonts w:ascii="Times New Roman" w:eastAsia="Times New Roman" w:hAnsi="Times New Roman" w:cs="Times New Roman"/>
                <w:lang w:eastAsia="ru-RU"/>
              </w:rPr>
              <w:t>Самрук-Энерго</w:t>
            </w:r>
            <w:proofErr w:type="spellEnd"/>
            <w:r w:rsidRPr="008311B2">
              <w:rPr>
                <w:rFonts w:ascii="Times New Roman" w:eastAsia="Times New Roman" w:hAnsi="Times New Roman" w:cs="Times New Roman"/>
                <w:lang w:eastAsia="ru-RU"/>
              </w:rPr>
              <w:t xml:space="preserve">» «чистой» электроэнергии (с учетом крупных и малых ГЭС, ВЭС и СЭС)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1B2">
              <w:rPr>
                <w:rFonts w:ascii="Times New Roman" w:hAnsi="Times New Roman" w:cs="Times New Roman"/>
              </w:rPr>
              <w:t>254,8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1B2">
              <w:rPr>
                <w:rFonts w:ascii="Times New Roman" w:hAnsi="Times New Roman" w:cs="Times New Roman"/>
              </w:rPr>
              <w:t>31,1%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1B2">
              <w:rPr>
                <w:rFonts w:ascii="Times New Roman" w:hAnsi="Times New Roman" w:cs="Times New Roman"/>
              </w:rPr>
              <w:t>227,3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1B2">
              <w:rPr>
                <w:rFonts w:ascii="Times New Roman" w:hAnsi="Times New Roman" w:cs="Times New Roman"/>
              </w:rPr>
              <w:t>29,1%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1B2">
              <w:rPr>
                <w:rFonts w:ascii="Times New Roman" w:hAnsi="Times New Roman" w:cs="Times New Roman"/>
              </w:rPr>
              <w:t>-27,5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1B2">
              <w:rPr>
                <w:rFonts w:ascii="Times New Roman" w:hAnsi="Times New Roman" w:cs="Times New Roman"/>
              </w:rPr>
              <w:t>-10,8%</w:t>
            </w:r>
          </w:p>
        </w:tc>
      </w:tr>
      <w:tr w:rsidR="000134A2" w:rsidRPr="008311B2" w:rsidTr="000134A2">
        <w:trPr>
          <w:trHeight w:val="922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lang w:eastAsia="ru-RU"/>
              </w:rPr>
              <w:t>Производство АО «</w:t>
            </w:r>
            <w:proofErr w:type="spellStart"/>
            <w:r w:rsidRPr="008311B2">
              <w:rPr>
                <w:rFonts w:ascii="Times New Roman" w:eastAsia="Times New Roman" w:hAnsi="Times New Roman" w:cs="Times New Roman"/>
                <w:lang w:eastAsia="ru-RU"/>
              </w:rPr>
              <w:t>Самрук-Энерго</w:t>
            </w:r>
            <w:proofErr w:type="spellEnd"/>
            <w:r w:rsidRPr="008311B2">
              <w:rPr>
                <w:rFonts w:ascii="Times New Roman" w:eastAsia="Times New Roman" w:hAnsi="Times New Roman" w:cs="Times New Roman"/>
                <w:lang w:eastAsia="ru-RU"/>
              </w:rPr>
              <w:t xml:space="preserve">» «чистой» электроэнергии (с учетом малых ГЭС, ВЭС и СЭС) (согласно Закону о ВИЭ), в </w:t>
            </w:r>
            <w:proofErr w:type="spellStart"/>
            <w:r w:rsidRPr="008311B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8311B2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1B2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1B2">
              <w:rPr>
                <w:rFonts w:ascii="Times New Roman" w:hAnsi="Times New Roman" w:cs="Times New Roman"/>
              </w:rPr>
              <w:t>38,4%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1B2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1B2">
              <w:rPr>
                <w:rFonts w:ascii="Times New Roman" w:hAnsi="Times New Roman" w:cs="Times New Roman"/>
              </w:rPr>
              <w:t>27,5%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1B2">
              <w:rPr>
                <w:rFonts w:ascii="Times New Roman" w:hAnsi="Times New Roman" w:cs="Times New Roman"/>
              </w:rPr>
              <w:t>-2,6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1B2">
              <w:rPr>
                <w:rFonts w:ascii="Times New Roman" w:hAnsi="Times New Roman" w:cs="Times New Roman"/>
              </w:rPr>
              <w:t>-9,1%</w:t>
            </w:r>
          </w:p>
        </w:tc>
      </w:tr>
      <w:tr w:rsidR="000134A2" w:rsidRPr="008311B2" w:rsidTr="000134A2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lang w:eastAsia="ru-RU"/>
              </w:rPr>
              <w:t> 3.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Каскад малых ГЭС АО «</w:t>
            </w:r>
            <w:proofErr w:type="spellStart"/>
            <w:r w:rsidRPr="008311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8311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10,8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11,4%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-0,1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-0,9%</w:t>
            </w:r>
          </w:p>
        </w:tc>
      </w:tr>
      <w:tr w:rsidR="000134A2" w:rsidRPr="008311B2" w:rsidTr="000134A2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lang w:eastAsia="ru-RU"/>
              </w:rPr>
              <w:t> 4.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«Samruk-Green Energy»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-0,1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-50,0%</w:t>
            </w:r>
          </w:p>
        </w:tc>
      </w:tr>
      <w:tr w:rsidR="000134A2" w:rsidRPr="008311B2" w:rsidTr="000134A2">
        <w:trPr>
          <w:trHeight w:val="6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lang w:eastAsia="ru-RU"/>
              </w:rPr>
              <w:t> 5.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0134A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15,1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16,0%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-2,4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-13,7%</w:t>
            </w:r>
          </w:p>
        </w:tc>
      </w:tr>
    </w:tbl>
    <w:p w:rsidR="006C42DB" w:rsidRPr="008311B2" w:rsidRDefault="006C42DB" w:rsidP="00CB60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C42DB" w:rsidRPr="008311B2" w:rsidRDefault="006C42DB" w:rsidP="00CB60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7CB8" w:rsidRPr="008311B2" w:rsidRDefault="00541D3A" w:rsidP="00CB606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23" w:name="_Toc2345655"/>
      <w:r w:rsidRPr="008311B2">
        <w:rPr>
          <w:rFonts w:ascii="Times New Roman" w:hAnsi="Times New Roman" w:cs="Times New Roman"/>
          <w:b/>
        </w:rPr>
        <w:t xml:space="preserve">Централизованные торги электроэнергией </w:t>
      </w:r>
      <w:r w:rsidR="00596C30" w:rsidRPr="008311B2">
        <w:rPr>
          <w:rFonts w:ascii="Times New Roman" w:hAnsi="Times New Roman" w:cs="Times New Roman"/>
          <w:b/>
        </w:rPr>
        <w:t xml:space="preserve">АО </w:t>
      </w:r>
      <w:r w:rsidR="00A23008" w:rsidRPr="008311B2">
        <w:rPr>
          <w:rFonts w:ascii="Times New Roman" w:hAnsi="Times New Roman" w:cs="Times New Roman"/>
          <w:b/>
        </w:rPr>
        <w:t>«</w:t>
      </w:r>
      <w:r w:rsidR="00596C30" w:rsidRPr="008311B2">
        <w:rPr>
          <w:rFonts w:ascii="Times New Roman" w:hAnsi="Times New Roman" w:cs="Times New Roman"/>
          <w:b/>
        </w:rPr>
        <w:t>КОРЭМ</w:t>
      </w:r>
      <w:r w:rsidR="00A23008" w:rsidRPr="008311B2">
        <w:rPr>
          <w:rFonts w:ascii="Times New Roman" w:hAnsi="Times New Roman" w:cs="Times New Roman"/>
          <w:b/>
        </w:rPr>
        <w:t>»</w:t>
      </w:r>
      <w:bookmarkEnd w:id="23"/>
    </w:p>
    <w:p w:rsidR="00BC7CB8" w:rsidRPr="008311B2" w:rsidRDefault="00BC7CB8" w:rsidP="00CB6062">
      <w:pPr>
        <w:spacing w:after="0" w:line="240" w:lineRule="auto"/>
      </w:pPr>
    </w:p>
    <w:p w:rsidR="000134A2" w:rsidRPr="008311B2" w:rsidRDefault="000134A2" w:rsidP="000134A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24" w:name="_Toc2249082"/>
      <w:bookmarkStart w:id="25" w:name="_Toc2345657"/>
      <w:r w:rsidRPr="008311B2">
        <w:rPr>
          <w:rFonts w:ascii="Times New Roman" w:hAnsi="Times New Roman" w:cs="Times New Roman"/>
          <w:i/>
          <w:sz w:val="28"/>
          <w:szCs w:val="28"/>
        </w:rPr>
        <w:t>Общие итоги торгов</w:t>
      </w:r>
      <w:bookmarkEnd w:id="24"/>
      <w:bookmarkEnd w:id="25"/>
    </w:p>
    <w:p w:rsidR="000134A2" w:rsidRPr="008311B2" w:rsidRDefault="000134A2" w:rsidP="0001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1B2">
        <w:rPr>
          <w:rFonts w:ascii="Times New Roman" w:hAnsi="Times New Roman" w:cs="Times New Roman"/>
          <w:sz w:val="28"/>
          <w:szCs w:val="28"/>
        </w:rPr>
        <w:t>По результатам проведенных централизованных торгов электроэнергией в январе 2019 года были заключены 259 сделок объеме 1 582 638 тыс. кВт*ч на общую сумму 9 013 297,96 тыс. тенге (включая, в режиме «за день вперед», спот-торги «в течение операционных суток» и торги на среднесрочный и долгосрочный периоды), в том числе:</w:t>
      </w:r>
      <w:proofErr w:type="gramEnd"/>
    </w:p>
    <w:p w:rsidR="000134A2" w:rsidRPr="008311B2" w:rsidRDefault="000134A2" w:rsidP="000134A2">
      <w:pPr>
        <w:pStyle w:val="a3"/>
        <w:numPr>
          <w:ilvl w:val="0"/>
          <w:numId w:val="3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1B2">
        <w:rPr>
          <w:rFonts w:ascii="Times New Roman" w:hAnsi="Times New Roman" w:cs="Times New Roman"/>
          <w:sz w:val="28"/>
          <w:szCs w:val="28"/>
        </w:rPr>
        <w:t>спот-торги</w:t>
      </w:r>
      <w:proofErr w:type="gramEnd"/>
      <w:r w:rsidRPr="008311B2">
        <w:rPr>
          <w:rFonts w:ascii="Times New Roman" w:hAnsi="Times New Roman" w:cs="Times New Roman"/>
          <w:sz w:val="28"/>
          <w:szCs w:val="28"/>
        </w:rPr>
        <w:t xml:space="preserve"> в режиме «за день вперед» - было заключено 88 сделок в объеме 24 931 тыс. кВт*ч на общую сумму 179 769,9 тыс. тенге. Минимальная цена на </w:t>
      </w:r>
      <w:proofErr w:type="gramStart"/>
      <w:r w:rsidRPr="008311B2">
        <w:rPr>
          <w:rFonts w:ascii="Times New Roman" w:hAnsi="Times New Roman" w:cs="Times New Roman"/>
          <w:sz w:val="28"/>
          <w:szCs w:val="28"/>
        </w:rPr>
        <w:t>спот-торгах</w:t>
      </w:r>
      <w:proofErr w:type="gramEnd"/>
      <w:r w:rsidRPr="008311B2">
        <w:rPr>
          <w:rFonts w:ascii="Times New Roman" w:hAnsi="Times New Roman" w:cs="Times New Roman"/>
          <w:sz w:val="28"/>
          <w:szCs w:val="28"/>
        </w:rPr>
        <w:t xml:space="preserve"> в режиме «за день вперед» составила – 6 </w:t>
      </w:r>
      <w:proofErr w:type="spellStart"/>
      <w:r w:rsidRPr="008311B2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8311B2">
        <w:rPr>
          <w:rFonts w:ascii="Times New Roman" w:hAnsi="Times New Roman" w:cs="Times New Roman"/>
          <w:sz w:val="28"/>
          <w:szCs w:val="28"/>
        </w:rPr>
        <w:t xml:space="preserve">/кВт*ч (без НДС), максимальная цена – 7,31 </w:t>
      </w:r>
      <w:proofErr w:type="spellStart"/>
      <w:r w:rsidRPr="008311B2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8311B2">
        <w:rPr>
          <w:rFonts w:ascii="Times New Roman" w:hAnsi="Times New Roman" w:cs="Times New Roman"/>
          <w:sz w:val="28"/>
          <w:szCs w:val="28"/>
        </w:rPr>
        <w:t>/кВт*ч (без НДС);</w:t>
      </w:r>
    </w:p>
    <w:p w:rsidR="000134A2" w:rsidRPr="008311B2" w:rsidRDefault="000134A2" w:rsidP="000134A2">
      <w:pPr>
        <w:pStyle w:val="a3"/>
        <w:numPr>
          <w:ilvl w:val="0"/>
          <w:numId w:val="3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1B2">
        <w:rPr>
          <w:rFonts w:ascii="Times New Roman" w:hAnsi="Times New Roman" w:cs="Times New Roman"/>
          <w:sz w:val="28"/>
          <w:szCs w:val="28"/>
        </w:rPr>
        <w:t>спот-торги</w:t>
      </w:r>
      <w:proofErr w:type="gramEnd"/>
      <w:r w:rsidRPr="008311B2">
        <w:rPr>
          <w:rFonts w:ascii="Times New Roman" w:hAnsi="Times New Roman" w:cs="Times New Roman"/>
          <w:sz w:val="28"/>
          <w:szCs w:val="28"/>
        </w:rPr>
        <w:t xml:space="preserve"> «в течение операционных суток» - было заключено 136 сделок в объеме 2 027 тыс. кВт*ч на общую сумму 13 134,96 тыс. тенге. Цена сделок составила – 6,48 </w:t>
      </w:r>
      <w:proofErr w:type="spellStart"/>
      <w:r w:rsidRPr="008311B2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8311B2">
        <w:rPr>
          <w:rFonts w:ascii="Times New Roman" w:hAnsi="Times New Roman" w:cs="Times New Roman"/>
          <w:sz w:val="28"/>
          <w:szCs w:val="28"/>
        </w:rPr>
        <w:t>/кВт*</w:t>
      </w:r>
      <w:proofErr w:type="gramStart"/>
      <w:r w:rsidRPr="008311B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311B2">
        <w:rPr>
          <w:rFonts w:ascii="Times New Roman" w:hAnsi="Times New Roman" w:cs="Times New Roman"/>
          <w:sz w:val="28"/>
          <w:szCs w:val="28"/>
        </w:rPr>
        <w:t xml:space="preserve"> (без НДС), максимальная цена – 7 </w:t>
      </w:r>
      <w:proofErr w:type="spellStart"/>
      <w:r w:rsidRPr="008311B2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8311B2">
        <w:rPr>
          <w:rFonts w:ascii="Times New Roman" w:hAnsi="Times New Roman" w:cs="Times New Roman"/>
          <w:sz w:val="28"/>
          <w:szCs w:val="28"/>
        </w:rPr>
        <w:t>/кВт*ч (без НДС);</w:t>
      </w:r>
    </w:p>
    <w:p w:rsidR="000134A2" w:rsidRPr="008311B2" w:rsidRDefault="000134A2" w:rsidP="000134A2">
      <w:pPr>
        <w:pStyle w:val="a3"/>
        <w:numPr>
          <w:ilvl w:val="0"/>
          <w:numId w:val="3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311B2">
        <w:rPr>
          <w:rFonts w:ascii="Times New Roman" w:hAnsi="Times New Roman" w:cs="Times New Roman"/>
          <w:sz w:val="28"/>
          <w:szCs w:val="28"/>
        </w:rPr>
        <w:t>торги электроэнергией на средне- и долгосрочный периоды - были заключены 35 сделок объемом 1 555 680 тыс. кВт*</w:t>
      </w:r>
      <w:proofErr w:type="gramStart"/>
      <w:r w:rsidRPr="008311B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311B2">
        <w:rPr>
          <w:rFonts w:ascii="Times New Roman" w:hAnsi="Times New Roman" w:cs="Times New Roman"/>
          <w:sz w:val="28"/>
          <w:szCs w:val="28"/>
        </w:rPr>
        <w:t xml:space="preserve"> на общую сумму 8 975 232 тыс. тенге. Минимальная цена по данному виду централизованных торгов составила 5,76 </w:t>
      </w:r>
      <w:proofErr w:type="spellStart"/>
      <w:r w:rsidRPr="008311B2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8311B2">
        <w:rPr>
          <w:rFonts w:ascii="Times New Roman" w:hAnsi="Times New Roman" w:cs="Times New Roman"/>
          <w:sz w:val="28"/>
          <w:szCs w:val="28"/>
        </w:rPr>
        <w:t>/кВт*</w:t>
      </w:r>
      <w:proofErr w:type="gramStart"/>
      <w:r w:rsidRPr="008311B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311B2">
        <w:rPr>
          <w:rFonts w:ascii="Times New Roman" w:hAnsi="Times New Roman" w:cs="Times New Roman"/>
          <w:sz w:val="28"/>
          <w:szCs w:val="28"/>
        </w:rPr>
        <w:t xml:space="preserve"> (без НДС), максимальная – 7,2 </w:t>
      </w:r>
      <w:proofErr w:type="spellStart"/>
      <w:r w:rsidRPr="008311B2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8311B2">
        <w:rPr>
          <w:rFonts w:ascii="Times New Roman" w:hAnsi="Times New Roman" w:cs="Times New Roman"/>
          <w:sz w:val="28"/>
          <w:szCs w:val="28"/>
        </w:rPr>
        <w:t>/кВт*ч (без НДС).</w:t>
      </w:r>
    </w:p>
    <w:p w:rsidR="00DF2006" w:rsidRDefault="000134A2" w:rsidP="000D054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11B2">
        <w:rPr>
          <w:rFonts w:ascii="Times New Roman" w:hAnsi="Times New Roman" w:cs="Times New Roman"/>
          <w:sz w:val="28"/>
          <w:szCs w:val="28"/>
        </w:rPr>
        <w:t>За аналогичный период 2018 года общий объем централизованных торгов составил 160 894 тыс. кВт*ч. В таблице ниже приведена динамика цен сделок, заключенных на централизованных торгах в январе 2018-2019 годов.</w:t>
      </w:r>
    </w:p>
    <w:p w:rsidR="0068431E" w:rsidRDefault="0068431E" w:rsidP="000D054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431E" w:rsidRDefault="0068431E" w:rsidP="000D054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431E" w:rsidRDefault="0068431E" w:rsidP="000D054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431E" w:rsidRDefault="0068431E" w:rsidP="000D054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431E" w:rsidRPr="0068431E" w:rsidRDefault="0068431E" w:rsidP="000D054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34A2" w:rsidRPr="008311B2" w:rsidRDefault="000134A2" w:rsidP="000134A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311B2">
        <w:rPr>
          <w:rFonts w:ascii="Times New Roman" w:hAnsi="Times New Roman" w:cs="Times New Roman"/>
          <w:sz w:val="28"/>
          <w:szCs w:val="28"/>
        </w:rPr>
        <w:lastRenderedPageBreak/>
        <w:t>Динамика цен, сложившихся по итогам централизованных торгов</w:t>
      </w:r>
    </w:p>
    <w:p w:rsidR="000134A2" w:rsidRPr="008311B2" w:rsidRDefault="000134A2" w:rsidP="000134A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311B2">
        <w:rPr>
          <w:rFonts w:ascii="Times New Roman" w:hAnsi="Times New Roman" w:cs="Times New Roman"/>
          <w:sz w:val="28"/>
          <w:szCs w:val="28"/>
        </w:rPr>
        <w:t>в январе 2018-2019 гг.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985"/>
        <w:gridCol w:w="1257"/>
        <w:gridCol w:w="1276"/>
        <w:gridCol w:w="1276"/>
        <w:gridCol w:w="1276"/>
        <w:gridCol w:w="1134"/>
        <w:gridCol w:w="1719"/>
      </w:tblGrid>
      <w:tr w:rsidR="000134A2" w:rsidRPr="008311B2" w:rsidTr="000134A2">
        <w:trPr>
          <w:trHeight w:val="1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31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спот-торги</w:t>
            </w:r>
            <w:proofErr w:type="gramEnd"/>
            <w:r w:rsidRPr="00831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режиме «за день вперед»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торги на средне- и долгосрочные периоды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операционных суток</w:t>
            </w:r>
          </w:p>
        </w:tc>
      </w:tr>
      <w:tr w:rsidR="000134A2" w:rsidRPr="008311B2" w:rsidTr="000134A2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A2" w:rsidRPr="008311B2" w:rsidRDefault="000134A2" w:rsidP="000134A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1B2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1B2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1B2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1B2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1B2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1B2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</w:tr>
      <w:tr w:rsidR="000134A2" w:rsidRPr="008311B2" w:rsidTr="000134A2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A2" w:rsidRPr="008311B2" w:rsidRDefault="000134A2" w:rsidP="000134A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A2" w:rsidRPr="008311B2" w:rsidRDefault="000134A2" w:rsidP="00013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31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тг</w:t>
            </w:r>
            <w:proofErr w:type="spellEnd"/>
            <w:r w:rsidRPr="00831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/кВт*</w:t>
            </w:r>
            <w:proofErr w:type="gramStart"/>
            <w:r w:rsidRPr="00831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  <w:proofErr w:type="gramEnd"/>
            <w:r w:rsidRPr="00831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(без НДС)</w:t>
            </w:r>
          </w:p>
        </w:tc>
      </w:tr>
      <w:tr w:rsidR="000134A2" w:rsidRPr="008311B2" w:rsidTr="000134A2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134A2" w:rsidRPr="008311B2" w:rsidRDefault="000134A2" w:rsidP="00013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134A2" w:rsidRPr="008311B2" w:rsidRDefault="000134A2" w:rsidP="00013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134A2" w:rsidRPr="008311B2" w:rsidRDefault="000134A2" w:rsidP="00013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134A2" w:rsidRPr="008311B2" w:rsidRDefault="000134A2" w:rsidP="00013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134A2" w:rsidRPr="008311B2" w:rsidRDefault="000134A2" w:rsidP="00013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134A2" w:rsidRPr="008311B2" w:rsidRDefault="000134A2" w:rsidP="00013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134A2" w:rsidRPr="008311B2" w:rsidRDefault="000134A2" w:rsidP="00013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</w:tr>
      <w:tr w:rsidR="000134A2" w:rsidRPr="008311B2" w:rsidTr="000134A2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34A2" w:rsidRPr="008311B2" w:rsidRDefault="000134A2" w:rsidP="00013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34A2" w:rsidRPr="008311B2" w:rsidRDefault="000134A2" w:rsidP="00013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34A2" w:rsidRPr="008311B2" w:rsidRDefault="000134A2" w:rsidP="00013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34A2" w:rsidRPr="008311B2" w:rsidRDefault="000134A2" w:rsidP="00013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34A2" w:rsidRPr="008311B2" w:rsidRDefault="000134A2" w:rsidP="00013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34A2" w:rsidRPr="008311B2" w:rsidRDefault="000134A2" w:rsidP="00013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6,48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34A2" w:rsidRPr="008311B2" w:rsidRDefault="000134A2" w:rsidP="00013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6,48</w:t>
            </w:r>
          </w:p>
        </w:tc>
      </w:tr>
    </w:tbl>
    <w:p w:rsidR="002E3ABD" w:rsidRPr="008311B2" w:rsidRDefault="003417C6" w:rsidP="000D0548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26" w:name="_Toc2345658"/>
      <w:r w:rsidRPr="008311B2">
        <w:rPr>
          <w:rFonts w:ascii="Times New Roman" w:hAnsi="Times New Roman" w:cs="Times New Roman"/>
          <w:i/>
          <w:color w:val="auto"/>
          <w:sz w:val="28"/>
        </w:rPr>
        <w:t xml:space="preserve">Итоги </w:t>
      </w:r>
      <w:proofErr w:type="gramStart"/>
      <w:r w:rsidRPr="008311B2">
        <w:rPr>
          <w:rFonts w:ascii="Times New Roman" w:hAnsi="Times New Roman" w:cs="Times New Roman"/>
          <w:i/>
          <w:color w:val="auto"/>
          <w:sz w:val="28"/>
        </w:rPr>
        <w:t>спот-торгов</w:t>
      </w:r>
      <w:proofErr w:type="gramEnd"/>
      <w:r w:rsidRPr="008311B2">
        <w:rPr>
          <w:rFonts w:ascii="Times New Roman" w:hAnsi="Times New Roman" w:cs="Times New Roman"/>
          <w:i/>
          <w:color w:val="auto"/>
          <w:sz w:val="28"/>
        </w:rPr>
        <w:t xml:space="preserve"> в режиме «за день вперед»</w:t>
      </w:r>
      <w:bookmarkEnd w:id="26"/>
    </w:p>
    <w:p w:rsidR="000134A2" w:rsidRPr="008311B2" w:rsidRDefault="000134A2" w:rsidP="000134A2">
      <w:pPr>
        <w:pStyle w:val="a3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</w:t>
      </w:r>
      <w:proofErr w:type="gram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спот-торгов</w:t>
      </w:r>
      <w:proofErr w:type="gram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январе 2019 года было заключено 88 сделок в объеме 24 931 тыс. кВт*ч, минимальная клиринговая цена на спот-торгах в режиме «за день вперед» составила – 6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а максимальная – 7,31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НДС).</w:t>
      </w:r>
    </w:p>
    <w:p w:rsidR="000134A2" w:rsidRPr="008311B2" w:rsidRDefault="000134A2" w:rsidP="000134A2">
      <w:pPr>
        <w:pStyle w:val="a3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ниже представлены итоговые результаты </w:t>
      </w:r>
      <w:proofErr w:type="gram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спот-торгов</w:t>
      </w:r>
      <w:proofErr w:type="gram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«за день вперед» за январь 2019 года. </w:t>
      </w:r>
    </w:p>
    <w:p w:rsidR="00946B06" w:rsidRPr="008311B2" w:rsidRDefault="000134A2" w:rsidP="00CB6062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311B2">
        <w:rPr>
          <w:noProof/>
          <w:lang w:eastAsia="ru-RU"/>
        </w:rPr>
        <w:drawing>
          <wp:inline distT="0" distB="0" distL="0" distR="0" wp14:anchorId="7C5A5442" wp14:editId="305F74D8">
            <wp:extent cx="6120130" cy="62142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1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4A2" w:rsidRPr="008311B2" w:rsidRDefault="000134A2" w:rsidP="008D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Toc2249084"/>
      <w:bookmarkStart w:id="28" w:name="_Toc510196479"/>
      <w:r w:rsidRPr="008311B2">
        <w:rPr>
          <w:rFonts w:ascii="Times New Roman" w:hAnsi="Times New Roman" w:cs="Times New Roman"/>
          <w:sz w:val="28"/>
          <w:szCs w:val="28"/>
        </w:rPr>
        <w:t xml:space="preserve">Из таблицы видно, что суммарный объем спроса составил 94 596 тыс. кВт*ч., при этом суммарный объем предложения составил 27 043 тыс. кВт*ч. </w:t>
      </w:r>
      <w:r w:rsidRPr="008311B2">
        <w:rPr>
          <w:rFonts w:ascii="Times New Roman" w:hAnsi="Times New Roman" w:cs="Times New Roman"/>
          <w:sz w:val="28"/>
          <w:szCs w:val="28"/>
        </w:rPr>
        <w:lastRenderedPageBreak/>
        <w:t xml:space="preserve">Неудовлетворенный объем спроса в январе 2019 года составил 69 665 </w:t>
      </w:r>
      <w:proofErr w:type="spellStart"/>
      <w:r w:rsidRPr="008311B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311B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311B2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8311B2">
        <w:rPr>
          <w:rFonts w:ascii="Times New Roman" w:hAnsi="Times New Roman" w:cs="Times New Roman"/>
          <w:sz w:val="28"/>
          <w:szCs w:val="28"/>
        </w:rPr>
        <w:t xml:space="preserve">*ч, а неудовлетворенный объем предложения 2 112 </w:t>
      </w:r>
      <w:proofErr w:type="spellStart"/>
      <w:r w:rsidRPr="008311B2">
        <w:rPr>
          <w:rFonts w:ascii="Times New Roman" w:hAnsi="Times New Roman" w:cs="Times New Roman"/>
          <w:sz w:val="28"/>
          <w:szCs w:val="28"/>
        </w:rPr>
        <w:t>тыс.кВт</w:t>
      </w:r>
      <w:proofErr w:type="spellEnd"/>
      <w:r w:rsidRPr="008311B2">
        <w:rPr>
          <w:rFonts w:ascii="Times New Roman" w:hAnsi="Times New Roman" w:cs="Times New Roman"/>
          <w:sz w:val="28"/>
          <w:szCs w:val="28"/>
        </w:rPr>
        <w:t>*ч. В процессе спот-торгов в торговую систему всего было принято заявок в количестве -115, из них 57 заявок от покупателей и 58 заявок от продавцов.</w:t>
      </w:r>
      <w:bookmarkEnd w:id="27"/>
    </w:p>
    <w:bookmarkEnd w:id="28"/>
    <w:p w:rsidR="00946B06" w:rsidRPr="008311B2" w:rsidRDefault="00946B06" w:rsidP="00C7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7C6" w:rsidRPr="008311B2" w:rsidRDefault="003417C6" w:rsidP="00C71038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</w:rPr>
      </w:pPr>
      <w:bookmarkStart w:id="29" w:name="_Toc2345659"/>
      <w:r w:rsidRPr="008311B2">
        <w:rPr>
          <w:rFonts w:ascii="Times New Roman" w:hAnsi="Times New Roman" w:cs="Times New Roman"/>
          <w:i/>
          <w:color w:val="auto"/>
          <w:sz w:val="28"/>
        </w:rPr>
        <w:t xml:space="preserve">Итоги </w:t>
      </w:r>
      <w:proofErr w:type="gramStart"/>
      <w:r w:rsidRPr="008311B2">
        <w:rPr>
          <w:rFonts w:ascii="Times New Roman" w:hAnsi="Times New Roman" w:cs="Times New Roman"/>
          <w:i/>
          <w:color w:val="auto"/>
          <w:sz w:val="28"/>
        </w:rPr>
        <w:t>спот-торгов</w:t>
      </w:r>
      <w:proofErr w:type="gramEnd"/>
      <w:r w:rsidRPr="008311B2">
        <w:rPr>
          <w:rFonts w:ascii="Times New Roman" w:hAnsi="Times New Roman" w:cs="Times New Roman"/>
          <w:i/>
          <w:color w:val="auto"/>
          <w:sz w:val="28"/>
        </w:rPr>
        <w:t xml:space="preserve"> «в течение операционных суток»</w:t>
      </w:r>
      <w:bookmarkEnd w:id="29"/>
    </w:p>
    <w:p w:rsidR="000134A2" w:rsidRPr="008311B2" w:rsidRDefault="000134A2" w:rsidP="000134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проведенных торгов в январе 2019 года было заключено 136 сделок в объеме 2 027 тыс. кВт*</w:t>
      </w:r>
      <w:proofErr w:type="gram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13 134,96 тыс. тенге. Минимальная и максимальная цена на </w:t>
      </w:r>
      <w:proofErr w:type="gram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спот-торгах</w:t>
      </w:r>
      <w:proofErr w:type="gram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течение операционных суток» составила 6,48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НДС). По итогам проведенных торгов в январе 2018 года было заключено 1580 сделок в объеме 9 430 тыс. кВт*ч. Минимальная цена на </w:t>
      </w:r>
      <w:proofErr w:type="gram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спот-торгах</w:t>
      </w:r>
      <w:proofErr w:type="gram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течение операционных суток» составила 4,5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а максимальная цена – 9,5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НДС).</w:t>
      </w:r>
    </w:p>
    <w:p w:rsidR="00D36832" w:rsidRPr="008311B2" w:rsidRDefault="00D36832" w:rsidP="00C71038">
      <w:pPr>
        <w:spacing w:after="0" w:line="240" w:lineRule="auto"/>
        <w:ind w:firstLine="709"/>
        <w:jc w:val="both"/>
      </w:pPr>
    </w:p>
    <w:p w:rsidR="003417C6" w:rsidRPr="008311B2" w:rsidRDefault="003417C6" w:rsidP="00CB6062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30" w:name="_Toc2345660"/>
      <w:r w:rsidRPr="008311B2">
        <w:rPr>
          <w:rFonts w:ascii="Times New Roman" w:hAnsi="Times New Roman" w:cs="Times New Roman"/>
          <w:i/>
          <w:color w:val="auto"/>
          <w:sz w:val="28"/>
        </w:rPr>
        <w:t>Итоги торгов на средне- и долгосрочный период</w:t>
      </w:r>
      <w:bookmarkEnd w:id="30"/>
    </w:p>
    <w:p w:rsidR="000134A2" w:rsidRPr="008311B2" w:rsidRDefault="000134A2" w:rsidP="000134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2019 года по итогам торгов на средне- и долгосрочный периоды были заключены 35 сделок объемом 1 555 680 тыс. кВт*</w:t>
      </w:r>
      <w:proofErr w:type="gram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8 975 232 тыс. тенге, в том числе:</w:t>
      </w:r>
    </w:p>
    <w:p w:rsidR="000134A2" w:rsidRPr="008311B2" w:rsidRDefault="000134A2" w:rsidP="000134A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контрактов с поставкой на февраль месяц общим объемом 1 555 680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*ч. Максимальная и минимальная цена составила 5,76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НДС).</w:t>
      </w:r>
    </w:p>
    <w:p w:rsidR="006C42DB" w:rsidRPr="008311B2" w:rsidRDefault="006C42DB" w:rsidP="00CB6062">
      <w:pPr>
        <w:pStyle w:val="1"/>
        <w:tabs>
          <w:tab w:val="left" w:pos="426"/>
        </w:tabs>
        <w:spacing w:before="0" w:line="240" w:lineRule="auto"/>
        <w:ind w:left="720"/>
        <w:rPr>
          <w:rFonts w:ascii="Times New Roman" w:hAnsi="Times New Roman" w:cs="Times New Roman"/>
          <w:b/>
        </w:rPr>
      </w:pPr>
    </w:p>
    <w:p w:rsidR="006C42DB" w:rsidRPr="008311B2" w:rsidRDefault="006C42DB" w:rsidP="00AE695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</w:rPr>
      </w:pPr>
      <w:bookmarkStart w:id="31" w:name="_Toc2345661"/>
      <w:r w:rsidRPr="008311B2">
        <w:rPr>
          <w:rFonts w:ascii="Times New Roman" w:hAnsi="Times New Roman" w:cs="Times New Roman"/>
          <w:b/>
        </w:rPr>
        <w:t>Экспорт-импорт электрической энергии</w:t>
      </w:r>
      <w:bookmarkEnd w:id="31"/>
      <w:r w:rsidRPr="008311B2">
        <w:rPr>
          <w:rFonts w:ascii="Times New Roman" w:hAnsi="Times New Roman" w:cs="Times New Roman"/>
          <w:b/>
        </w:rPr>
        <w:t xml:space="preserve"> </w:t>
      </w:r>
    </w:p>
    <w:p w:rsidR="006C42DB" w:rsidRPr="008311B2" w:rsidRDefault="006C42DB" w:rsidP="00CB6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4A2" w:rsidRPr="008311B2" w:rsidRDefault="000134A2" w:rsidP="0001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311B2">
        <w:rPr>
          <w:rFonts w:ascii="Times New Roman" w:hAnsi="Times New Roman" w:cs="Times New Roman"/>
          <w:sz w:val="28"/>
          <w:szCs w:val="28"/>
        </w:rPr>
        <w:t>В январе 2019 года основным направлением экспорта-импорта электроэнергии РК стала РФ (экспо</w:t>
      </w:r>
      <w:proofErr w:type="gramStart"/>
      <w:r w:rsidRPr="008311B2">
        <w:rPr>
          <w:rFonts w:ascii="Times New Roman" w:hAnsi="Times New Roman" w:cs="Times New Roman"/>
          <w:sz w:val="28"/>
          <w:szCs w:val="28"/>
        </w:rPr>
        <w:t>рт в РФ</w:t>
      </w:r>
      <w:proofErr w:type="gramEnd"/>
      <w:r w:rsidRPr="008311B2">
        <w:rPr>
          <w:rFonts w:ascii="Times New Roman" w:hAnsi="Times New Roman" w:cs="Times New Roman"/>
          <w:sz w:val="28"/>
          <w:szCs w:val="28"/>
        </w:rPr>
        <w:t xml:space="preserve"> – 97,3 млн. </w:t>
      </w:r>
      <w:proofErr w:type="spellStart"/>
      <w:r w:rsidRPr="008311B2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8311B2">
        <w:rPr>
          <w:rFonts w:ascii="Times New Roman" w:hAnsi="Times New Roman" w:cs="Times New Roman"/>
          <w:sz w:val="28"/>
          <w:szCs w:val="28"/>
        </w:rPr>
        <w:t xml:space="preserve">, импорт из РФ – 119 млн. </w:t>
      </w:r>
      <w:proofErr w:type="spellStart"/>
      <w:r w:rsidRPr="008311B2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8311B2">
        <w:rPr>
          <w:rFonts w:ascii="Times New Roman" w:hAnsi="Times New Roman" w:cs="Times New Roman"/>
          <w:sz w:val="28"/>
          <w:szCs w:val="28"/>
        </w:rPr>
        <w:t>). АО «</w:t>
      </w:r>
      <w:r w:rsidRPr="008311B2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Pr="008311B2">
        <w:rPr>
          <w:rFonts w:ascii="Times New Roman" w:hAnsi="Times New Roman" w:cs="Times New Roman"/>
          <w:sz w:val="28"/>
          <w:szCs w:val="28"/>
        </w:rPr>
        <w:t xml:space="preserve">» – 92,8 млн. </w:t>
      </w:r>
      <w:proofErr w:type="spellStart"/>
      <w:r w:rsidRPr="008311B2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8311B2">
        <w:rPr>
          <w:rFonts w:ascii="Times New Roman" w:hAnsi="Times New Roman" w:cs="Times New Roman"/>
          <w:sz w:val="28"/>
          <w:szCs w:val="28"/>
        </w:rPr>
        <w:t xml:space="preserve"> в целях балансирования производства-потребления электроэнергии. Импорт электроэнергии из РФ за отчетный период в объеме 96,5 млн. </w:t>
      </w:r>
      <w:proofErr w:type="spellStart"/>
      <w:r w:rsidRPr="008311B2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8311B2">
        <w:rPr>
          <w:rFonts w:ascii="Times New Roman" w:hAnsi="Times New Roman" w:cs="Times New Roman"/>
          <w:sz w:val="28"/>
          <w:szCs w:val="28"/>
        </w:rPr>
        <w:t xml:space="preserve"> осуществлялся в целях балансирования производства-потребления электроэнергии.</w:t>
      </w:r>
    </w:p>
    <w:p w:rsidR="006C42DB" w:rsidRPr="008311B2" w:rsidRDefault="006C42DB" w:rsidP="00CB60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 w:rsidRPr="008311B2">
        <w:rPr>
          <w:rFonts w:ascii="Times New Roman" w:hAnsi="Times New Roman" w:cs="Times New Roman"/>
          <w:sz w:val="24"/>
        </w:rPr>
        <w:t>м</w:t>
      </w:r>
      <w:proofErr w:type="gramEnd"/>
      <w:r w:rsidRPr="008311B2">
        <w:rPr>
          <w:rFonts w:ascii="Times New Roman" w:hAnsi="Times New Roman" w:cs="Times New Roman"/>
          <w:sz w:val="24"/>
        </w:rPr>
        <w:t xml:space="preserve">лн. </w:t>
      </w:r>
      <w:proofErr w:type="spellStart"/>
      <w:r w:rsidRPr="008311B2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A11161" w:rsidRPr="008311B2" w:rsidTr="006C42DB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8311B2" w:rsidRDefault="00A11161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11161" w:rsidRPr="008311B2" w:rsidRDefault="000134A2" w:rsidP="00023FF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январь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161" w:rsidRPr="008311B2" w:rsidRDefault="000134A2" w:rsidP="00023FFD">
            <w:pPr>
              <w:spacing w:after="0" w:line="240" w:lineRule="auto"/>
              <w:ind w:left="-119"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январь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1161" w:rsidRPr="008311B2" w:rsidRDefault="00B17273" w:rsidP="006B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8</w:t>
            </w:r>
            <w:proofErr w:type="spellStart"/>
            <w:r w:rsidR="00A11161"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</w:p>
        </w:tc>
      </w:tr>
      <w:tr w:rsidR="006B1F89" w:rsidRPr="008311B2" w:rsidTr="006C42DB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89" w:rsidRPr="008311B2" w:rsidRDefault="006B1F89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F89" w:rsidRPr="008311B2" w:rsidRDefault="006B1F89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F89" w:rsidRPr="008311B2" w:rsidRDefault="006B1F89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F89" w:rsidRPr="008311B2" w:rsidRDefault="006B1F89" w:rsidP="00CB6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</w:t>
            </w:r>
            <w:proofErr w:type="spellStart"/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F89" w:rsidRPr="008311B2" w:rsidRDefault="006B1F89" w:rsidP="006B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0134A2" w:rsidRPr="008311B2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4A2" w:rsidRPr="008311B2" w:rsidRDefault="000134A2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605,8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-508,1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-83,9%</w:t>
            </w:r>
          </w:p>
        </w:tc>
      </w:tr>
      <w:tr w:rsidR="000134A2" w:rsidRPr="008311B2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4A2" w:rsidRPr="008311B2" w:rsidRDefault="000134A2" w:rsidP="00AE6952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605,4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-508,1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4A2" w:rsidRPr="008311B2" w:rsidRDefault="000134A2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-83,9%</w:t>
            </w:r>
          </w:p>
        </w:tc>
      </w:tr>
      <w:tr w:rsidR="006432D5" w:rsidRPr="008311B2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D5" w:rsidRPr="008311B2" w:rsidRDefault="006432D5" w:rsidP="00AE6952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D5" w:rsidRPr="008311B2" w:rsidRDefault="006432D5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D5" w:rsidRPr="008311B2" w:rsidRDefault="006432D5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D5" w:rsidRPr="008311B2" w:rsidRDefault="006432D5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D5" w:rsidRPr="008311B2" w:rsidRDefault="006432D5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0,9%</w:t>
            </w:r>
          </w:p>
        </w:tc>
      </w:tr>
      <w:tr w:rsidR="006432D5" w:rsidRPr="008311B2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32D5" w:rsidRPr="008311B2" w:rsidRDefault="006432D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432D5" w:rsidRPr="008311B2" w:rsidRDefault="006432D5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116,1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432D5" w:rsidRPr="008311B2" w:rsidRDefault="006432D5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2D5" w:rsidRPr="008311B2" w:rsidRDefault="006432D5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2D5" w:rsidRPr="008311B2" w:rsidRDefault="006432D5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2,5%</w:t>
            </w:r>
          </w:p>
        </w:tc>
      </w:tr>
      <w:tr w:rsidR="006432D5" w:rsidRPr="008311B2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D5" w:rsidRPr="008311B2" w:rsidRDefault="006432D5" w:rsidP="0011642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России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D5" w:rsidRPr="008311B2" w:rsidRDefault="006432D5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116,1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D5" w:rsidRPr="008311B2" w:rsidRDefault="006432D5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D5" w:rsidRPr="008311B2" w:rsidRDefault="006432D5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D5" w:rsidRPr="008311B2" w:rsidRDefault="006432D5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2,5%</w:t>
            </w:r>
          </w:p>
        </w:tc>
      </w:tr>
      <w:tr w:rsidR="006432D5" w:rsidRPr="008311B2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D5" w:rsidRPr="008311B2" w:rsidRDefault="006432D5" w:rsidP="0011642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D5" w:rsidRPr="008311B2" w:rsidRDefault="006432D5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D5" w:rsidRPr="008311B2" w:rsidRDefault="006432D5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D5" w:rsidRPr="008311B2" w:rsidRDefault="006432D5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D5" w:rsidRPr="008311B2" w:rsidRDefault="006432D5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2D5" w:rsidRPr="008311B2" w:rsidTr="006C42DB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32D5" w:rsidRPr="008311B2" w:rsidRDefault="006432D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Сальдо-</w:t>
            </w:r>
            <w:proofErr w:type="spellStart"/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переток</w:t>
            </w:r>
            <w:proofErr w:type="spellEnd"/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дефицит, </w:t>
            </w:r>
            <w:proofErr w:type="gramStart"/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«-</w:t>
            </w:r>
            <w:proofErr w:type="gramEnd"/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избыток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432D5" w:rsidRPr="008311B2" w:rsidRDefault="006432D5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-489,8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432D5" w:rsidRPr="008311B2" w:rsidRDefault="006432D5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2D5" w:rsidRPr="008311B2" w:rsidRDefault="006432D5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2D5" w:rsidRPr="008311B2" w:rsidRDefault="006432D5" w:rsidP="0047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1B2">
              <w:rPr>
                <w:rFonts w:ascii="Times New Roman" w:hAnsi="Times New Roman" w:cs="Times New Roman"/>
                <w:b/>
              </w:rPr>
              <w:t>-104,3%</w:t>
            </w:r>
          </w:p>
        </w:tc>
      </w:tr>
    </w:tbl>
    <w:p w:rsidR="006B1F89" w:rsidRPr="008311B2" w:rsidRDefault="006B1F89" w:rsidP="006B1F89"/>
    <w:p w:rsidR="008647BB" w:rsidRPr="008311B2" w:rsidRDefault="00B94F51" w:rsidP="0011642D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</w:rPr>
      </w:pPr>
      <w:bookmarkStart w:id="32" w:name="_Toc2345662"/>
      <w:r w:rsidRPr="008311B2">
        <w:rPr>
          <w:rFonts w:ascii="Times New Roman" w:hAnsi="Times New Roman" w:cs="Times New Roman"/>
          <w:b/>
        </w:rPr>
        <w:t>РАЗДЕЛ II</w:t>
      </w:r>
      <w:bookmarkEnd w:id="32"/>
    </w:p>
    <w:p w:rsidR="00387115" w:rsidRPr="008311B2" w:rsidRDefault="00387115" w:rsidP="00583EA4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</w:rPr>
      </w:pPr>
      <w:bookmarkStart w:id="33" w:name="_Toc2345663"/>
      <w:r w:rsidRPr="008311B2">
        <w:rPr>
          <w:rFonts w:ascii="Times New Roman" w:hAnsi="Times New Roman" w:cs="Times New Roman"/>
          <w:b/>
        </w:rPr>
        <w:t>Статус формировани</w:t>
      </w:r>
      <w:r w:rsidR="005070DF" w:rsidRPr="008311B2">
        <w:rPr>
          <w:rFonts w:ascii="Times New Roman" w:hAnsi="Times New Roman" w:cs="Times New Roman"/>
          <w:b/>
        </w:rPr>
        <w:t>я</w:t>
      </w:r>
      <w:r w:rsidRPr="008311B2">
        <w:rPr>
          <w:rFonts w:ascii="Times New Roman" w:hAnsi="Times New Roman" w:cs="Times New Roman"/>
          <w:b/>
        </w:rPr>
        <w:t xml:space="preserve"> Общего электроэнергетического рынка Евразийского экономического союза</w:t>
      </w:r>
      <w:bookmarkEnd w:id="33"/>
    </w:p>
    <w:p w:rsidR="00C82DFF" w:rsidRPr="008311B2" w:rsidRDefault="00C82DFF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432D5" w:rsidRPr="008311B2" w:rsidRDefault="006432D5" w:rsidP="00643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11B2">
        <w:rPr>
          <w:rFonts w:ascii="Times New Roman" w:hAnsi="Times New Roman" w:cs="Times New Roman"/>
          <w:sz w:val="28"/>
        </w:rPr>
        <w:lastRenderedPageBreak/>
        <w:t>С июля 2018г. по июль 2019г. планируется заключение международного договора в рамках ЕАЭС о формировании ОЭР и не позднее 1 июля 2019 года вступление в силу.</w:t>
      </w:r>
    </w:p>
    <w:p w:rsidR="006432D5" w:rsidRPr="008311B2" w:rsidRDefault="006432D5" w:rsidP="00643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11B2">
        <w:rPr>
          <w:rFonts w:ascii="Times New Roman" w:hAnsi="Times New Roman" w:cs="Times New Roman"/>
          <w:sz w:val="28"/>
        </w:rPr>
        <w:t xml:space="preserve">На заседаниях Подкомитета по формированию ОЭР ЕАЭС Консультативного комитета по электроэнергетике при Коллегии ЕЭК проводится работа по разработке и согласованию странами-участницами ЕАЭС правил функционирования ОЭР ЕАЭС. </w:t>
      </w:r>
    </w:p>
    <w:p w:rsidR="006432D5" w:rsidRPr="008311B2" w:rsidRDefault="006432D5" w:rsidP="00643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11B2">
        <w:rPr>
          <w:rFonts w:ascii="Times New Roman" w:hAnsi="Times New Roman" w:cs="Times New Roman"/>
          <w:sz w:val="28"/>
        </w:rPr>
        <w:t xml:space="preserve">18.01.2019г. проведено совещание уполномоченных представителей государств-членов ЕАЭС по вопросу согласования проекта Протокола по внесению в Договор о ЕАЭС. На данный момент имеются ряд спорных вопросов в части формулировок норм. </w:t>
      </w:r>
    </w:p>
    <w:p w:rsidR="006C3EF7" w:rsidRPr="008311B2" w:rsidRDefault="006C3EF7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432D5" w:rsidRPr="008311B2" w:rsidRDefault="006432D5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87115" w:rsidRPr="008311B2" w:rsidRDefault="00387115" w:rsidP="00583EA4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34" w:name="_Toc2345664"/>
      <w:r w:rsidRPr="008311B2">
        <w:rPr>
          <w:rFonts w:ascii="Times New Roman" w:hAnsi="Times New Roman" w:cs="Times New Roman"/>
          <w:b/>
        </w:rPr>
        <w:t xml:space="preserve">Статус формирования </w:t>
      </w:r>
      <w:r w:rsidR="005070DF" w:rsidRPr="008311B2">
        <w:rPr>
          <w:rFonts w:ascii="Times New Roman" w:hAnsi="Times New Roman" w:cs="Times New Roman"/>
          <w:b/>
        </w:rPr>
        <w:t>Э</w:t>
      </w:r>
      <w:r w:rsidRPr="008311B2">
        <w:rPr>
          <w:rFonts w:ascii="Times New Roman" w:hAnsi="Times New Roman" w:cs="Times New Roman"/>
          <w:b/>
        </w:rPr>
        <w:t>лектроэнергетического рынка СНГ</w:t>
      </w:r>
      <w:bookmarkEnd w:id="34"/>
    </w:p>
    <w:p w:rsidR="00387115" w:rsidRPr="008311B2" w:rsidRDefault="00387115" w:rsidP="00CB606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7078E" w:rsidRPr="008311B2" w:rsidRDefault="006B1F89" w:rsidP="00CB6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311B2">
        <w:rPr>
          <w:rFonts w:ascii="Times New Roman" w:hAnsi="Times New Roman" w:cs="Times New Roman"/>
          <w:sz w:val="28"/>
        </w:rPr>
        <w:t>С 1992 года проведено 53 заседания</w:t>
      </w:r>
      <w:r w:rsidR="0007078E" w:rsidRPr="008311B2">
        <w:rPr>
          <w:rFonts w:ascii="Times New Roman" w:hAnsi="Times New Roman" w:cs="Times New Roman"/>
          <w:sz w:val="28"/>
        </w:rPr>
        <w:t xml:space="preserve"> Электроэнергетического Совета Содружества Независимых Государств (далее – ЭЭС СНГ). </w:t>
      </w:r>
    </w:p>
    <w:p w:rsidR="00387115" w:rsidRPr="008311B2" w:rsidRDefault="0007078E" w:rsidP="00CB6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311B2">
        <w:rPr>
          <w:rFonts w:ascii="Times New Roman" w:hAnsi="Times New Roman" w:cs="Times New Roman"/>
          <w:sz w:val="28"/>
        </w:rPr>
        <w:t>Решением ЭЭС СНГ (Протокол №50 от 21.10.2016г.) утвержден Сводный план-график формирования общего электроэнергетического рынка государств-участников СНГ</w:t>
      </w:r>
      <w:r w:rsidR="00387115" w:rsidRPr="008311B2">
        <w:rPr>
          <w:rFonts w:ascii="Times New Roman" w:hAnsi="Times New Roman" w:cs="Times New Roman"/>
          <w:sz w:val="28"/>
        </w:rPr>
        <w:t>.</w:t>
      </w:r>
    </w:p>
    <w:p w:rsidR="006C3EF7" w:rsidRPr="008311B2" w:rsidRDefault="006C3EF7" w:rsidP="00CB6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6C3EF7" w:rsidRPr="008311B2" w:rsidTr="006C3EF7">
        <w:trPr>
          <w:trHeight w:val="845"/>
        </w:trPr>
        <w:tc>
          <w:tcPr>
            <w:tcW w:w="217" w:type="pct"/>
            <w:vAlign w:val="center"/>
          </w:tcPr>
          <w:p w:rsidR="006C3EF7" w:rsidRPr="008311B2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6C3EF7" w:rsidRPr="008311B2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</w:tcPr>
          <w:p w:rsidR="006C3EF7" w:rsidRPr="008311B2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6" w:type="pct"/>
            <w:vAlign w:val="center"/>
          </w:tcPr>
          <w:p w:rsidR="006C3EF7" w:rsidRPr="008311B2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статус</w:t>
            </w:r>
          </w:p>
        </w:tc>
      </w:tr>
      <w:tr w:rsidR="006C3EF7" w:rsidRPr="008311B2" w:rsidTr="006C3EF7">
        <w:trPr>
          <w:trHeight w:val="1560"/>
        </w:trPr>
        <w:tc>
          <w:tcPr>
            <w:tcW w:w="217" w:type="pct"/>
          </w:tcPr>
          <w:p w:rsidR="006C3EF7" w:rsidRPr="008311B2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6C3EF7" w:rsidRPr="008311B2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согласно разделу </w:t>
            </w:r>
            <w:r w:rsidRPr="00831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. Плана мероприятий по сотрудничеству между ЕЭК и ЭЭС СНГ, утвержденного 10 июня 2016 года.</w:t>
            </w:r>
          </w:p>
        </w:tc>
        <w:tc>
          <w:tcPr>
            <w:tcW w:w="806" w:type="pct"/>
          </w:tcPr>
          <w:p w:rsidR="006C3EF7" w:rsidRPr="008311B2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446" w:type="pct"/>
          </w:tcPr>
          <w:p w:rsidR="006C3EF7" w:rsidRPr="008311B2" w:rsidRDefault="006C3EF7" w:rsidP="006C3EF7">
            <w:pPr>
              <w:pStyle w:val="ae"/>
              <w:jc w:val="both"/>
              <w:rPr>
                <w:sz w:val="24"/>
                <w:szCs w:val="24"/>
              </w:rPr>
            </w:pPr>
            <w:r w:rsidRPr="008311B2">
              <w:rPr>
                <w:sz w:val="24"/>
                <w:szCs w:val="24"/>
              </w:rPr>
              <w:t>Обеспечивается постоянное участие представителей ЕЭК на заседаниях ЭЭС СНГ, представителей ИК ЭЭС СНГ – на заседаниях по формированию ОЭР ЕАЭС.</w:t>
            </w:r>
          </w:p>
          <w:p w:rsidR="006C3EF7" w:rsidRPr="008311B2" w:rsidRDefault="006C3EF7" w:rsidP="006C3EF7">
            <w:pPr>
              <w:pStyle w:val="ae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C3EF7" w:rsidRPr="008311B2" w:rsidTr="006C3EF7">
        <w:trPr>
          <w:trHeight w:val="560"/>
        </w:trPr>
        <w:tc>
          <w:tcPr>
            <w:tcW w:w="217" w:type="pct"/>
          </w:tcPr>
          <w:p w:rsidR="006C3EF7" w:rsidRPr="008311B2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6C3EF7" w:rsidRPr="008311B2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Порядка урегулирования отклонений от согласованных значений межгосударственных </w:t>
            </w:r>
            <w:proofErr w:type="spellStart"/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8311B2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</w:t>
            </w:r>
          </w:p>
        </w:tc>
        <w:tc>
          <w:tcPr>
            <w:tcW w:w="806" w:type="pct"/>
          </w:tcPr>
          <w:p w:rsidR="006C3EF7" w:rsidRPr="008311B2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446" w:type="pct"/>
          </w:tcPr>
          <w:p w:rsidR="006C3EF7" w:rsidRPr="008311B2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разработке Порядка урегулирования отклонений от согласованных значений межгосударственных </w:t>
            </w:r>
            <w:proofErr w:type="spellStart"/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8311B2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принято на 45-м заседании ЭЭС СНГ. Проект Порядка рассматривался на 29-м заседании Рабочей группы «Формирование общего электроэнергетического рынка стран СНГ» 15 сентября 2016 года в г. Москва (РФ). В соответствии с Решением 47-го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</w:t>
            </w:r>
            <w:proofErr w:type="spellStart"/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8311B2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 и урегулировании величин отклонений от согласованных значений межгосударственных </w:t>
            </w:r>
            <w:proofErr w:type="spellStart"/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8311B2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 Работа продолжается.</w:t>
            </w:r>
          </w:p>
        </w:tc>
      </w:tr>
      <w:tr w:rsidR="006C3EF7" w:rsidRPr="008311B2" w:rsidTr="006C3EF7">
        <w:trPr>
          <w:trHeight w:val="2088"/>
        </w:trPr>
        <w:tc>
          <w:tcPr>
            <w:tcW w:w="217" w:type="pct"/>
          </w:tcPr>
          <w:p w:rsidR="006C3EF7" w:rsidRPr="008311B2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1" w:type="pct"/>
          </w:tcPr>
          <w:p w:rsidR="006C3EF7" w:rsidRPr="008311B2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проекта Порядка распределения пропускной способности межгосударственных сечений/сечений экспорта-импорта</w:t>
            </w:r>
            <w:proofErr w:type="gramEnd"/>
            <w:r w:rsidRPr="008311B2"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экспортно-импортной деятельности.</w:t>
            </w:r>
          </w:p>
        </w:tc>
        <w:tc>
          <w:tcPr>
            <w:tcW w:w="806" w:type="pct"/>
          </w:tcPr>
          <w:p w:rsidR="006C3EF7" w:rsidRPr="008311B2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8311B2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50-го заседания ЭЭС СНГ утверждены Методические рекомендации по метрологическому обеспечению измерительных комплексов учета электрической энергии </w:t>
            </w:r>
            <w:proofErr w:type="gramStart"/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311B2">
              <w:rPr>
                <w:rFonts w:ascii="Times New Roman" w:hAnsi="Times New Roman" w:cs="Times New Roman"/>
                <w:sz w:val="24"/>
                <w:szCs w:val="24"/>
              </w:rPr>
              <w:t xml:space="preserve"> межгосударственных</w:t>
            </w:r>
          </w:p>
          <w:p w:rsidR="006C3EF7" w:rsidRPr="008311B2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линиях</w:t>
            </w:r>
            <w:proofErr w:type="gramEnd"/>
            <w:r w:rsidRPr="008311B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электропередачи.</w:t>
            </w:r>
          </w:p>
          <w:p w:rsidR="006C3EF7" w:rsidRPr="008311B2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 График проведения мониторинга применения в производственной деятельности энергосистем государств – участников СНГ нормативных технических документов области метрологии электрических измерений и учета электроэнергии.</w:t>
            </w:r>
          </w:p>
        </w:tc>
      </w:tr>
      <w:tr w:rsidR="006C3EF7" w:rsidRPr="008311B2" w:rsidTr="006C3EF7">
        <w:trPr>
          <w:trHeight w:val="1410"/>
        </w:trPr>
        <w:tc>
          <w:tcPr>
            <w:tcW w:w="217" w:type="pct"/>
          </w:tcPr>
          <w:p w:rsidR="006C3EF7" w:rsidRPr="008311B2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6C3EF7" w:rsidRPr="008311B2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компенсации затрат, связанных с осуществлением транзита/передачи/перемещения электроэнергии через энергосистемы государств-участников СНГ.</w:t>
            </w:r>
          </w:p>
          <w:p w:rsidR="006C3EF7" w:rsidRPr="008311B2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F7" w:rsidRPr="008311B2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6C3EF7" w:rsidRPr="008311B2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8311B2" w:rsidRDefault="006C3EF7" w:rsidP="006C3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Унифицированный формат макета обмена данными по учёту межгосударственных </w:t>
            </w:r>
            <w:proofErr w:type="spellStart"/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8311B2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электроэнергии, разработанный Рабочей группой по метрологическому обеспечению электроэнергетической отрасли Содружества Независимых Государств, утвержден решением 33-го заседания ЭЭС СНГ и рекомендован органам управления электроэнергетикой государств – участников СНГ для использования при организации учета межгосударственных </w:t>
            </w:r>
            <w:proofErr w:type="spellStart"/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8311B2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и обмене данными по межгосударственным </w:t>
            </w:r>
            <w:proofErr w:type="spellStart"/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перетокам</w:t>
            </w:r>
            <w:proofErr w:type="spellEnd"/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F7" w:rsidRPr="008311B2" w:rsidTr="006C3EF7">
        <w:trPr>
          <w:trHeight w:val="2404"/>
        </w:trPr>
        <w:tc>
          <w:tcPr>
            <w:tcW w:w="217" w:type="pct"/>
          </w:tcPr>
          <w:p w:rsidR="006C3EF7" w:rsidRPr="008311B2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6C3EF7" w:rsidRPr="008311B2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национального законодательства в области электроэнергетики, разработка и принятие национальных нормативных правовых документов, необходимых для формирования и функционирования ОЭР СНГ. </w:t>
            </w:r>
          </w:p>
        </w:tc>
        <w:tc>
          <w:tcPr>
            <w:tcW w:w="806" w:type="pct"/>
          </w:tcPr>
          <w:p w:rsidR="006C3EF7" w:rsidRPr="008311B2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2020-2025 гг.</w:t>
            </w:r>
          </w:p>
        </w:tc>
        <w:tc>
          <w:tcPr>
            <w:tcW w:w="2446" w:type="pct"/>
          </w:tcPr>
          <w:p w:rsidR="006C3EF7" w:rsidRPr="008311B2" w:rsidRDefault="006C3EF7" w:rsidP="006C3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Решением 51-го заседания ЭЭС СНГ утверждены Концептуальные подходы технического регулирования и стандартизации в области электроэнергетики. Так же утверждено Положение о Рабочей группе «Обновление и гармонизация нормативно-технической базы регулирования электроэнергетики». Решением 51-го заседания ЭЭС СНГ утверждено План работы данной Рабочей группы.</w:t>
            </w:r>
          </w:p>
        </w:tc>
      </w:tr>
    </w:tbl>
    <w:p w:rsidR="008928B2" w:rsidRPr="008311B2" w:rsidRDefault="008928B2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</w:p>
    <w:p w:rsidR="003B36BC" w:rsidRPr="008311B2" w:rsidRDefault="001D295E" w:rsidP="00583EA4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8311B2">
        <w:rPr>
          <w:rFonts w:ascii="Times New Roman" w:hAnsi="Times New Roman" w:cs="Times New Roman"/>
          <w:b/>
        </w:rPr>
        <w:t xml:space="preserve"> </w:t>
      </w:r>
      <w:bookmarkStart w:id="35" w:name="_Toc2345665"/>
      <w:r w:rsidR="00A32670" w:rsidRPr="008311B2">
        <w:rPr>
          <w:rFonts w:ascii="Times New Roman" w:hAnsi="Times New Roman" w:cs="Times New Roman"/>
          <w:b/>
        </w:rPr>
        <w:t xml:space="preserve">Статус реализации проекта </w:t>
      </w:r>
      <w:r w:rsidR="00A11C70" w:rsidRPr="008311B2">
        <w:rPr>
          <w:rFonts w:ascii="Times New Roman" w:hAnsi="Times New Roman" w:cs="Times New Roman"/>
          <w:b/>
        </w:rPr>
        <w:t>CASA-1000</w:t>
      </w:r>
      <w:bookmarkEnd w:id="35"/>
    </w:p>
    <w:p w:rsidR="00C82DFF" w:rsidRPr="008311B2" w:rsidRDefault="00C82DFF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  <w:lang w:val="en-US"/>
        </w:rPr>
      </w:pPr>
    </w:p>
    <w:p w:rsidR="006C42DB" w:rsidRPr="008311B2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</w:rPr>
      </w:pPr>
      <w:r w:rsidRPr="008311B2">
        <w:rPr>
          <w:rStyle w:val="body-c-c0"/>
          <w:i/>
          <w:color w:val="000000"/>
          <w:sz w:val="28"/>
        </w:rPr>
        <w:t>Описание проекта</w:t>
      </w:r>
    </w:p>
    <w:p w:rsidR="006C42DB" w:rsidRPr="008311B2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8311B2">
        <w:rPr>
          <w:rStyle w:val="body-c-c0"/>
          <w:color w:val="000000"/>
          <w:sz w:val="28"/>
        </w:rPr>
        <w:t>Проект CASA-1000 является первым шагом на пути к созданию регионального рынка электроэнергии Центральной и Южной Азии (CASAREM), используя значительные энергетические ресурсы Центральной Азии, чтобы способствовать снижению дефицита энергии в Южной Азии на взаимовыгодной основе.</w:t>
      </w:r>
    </w:p>
    <w:p w:rsidR="006C42DB" w:rsidRPr="008311B2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8311B2">
        <w:rPr>
          <w:rStyle w:val="body-c-c0"/>
          <w:color w:val="000000"/>
          <w:sz w:val="28"/>
        </w:rPr>
        <w:t xml:space="preserve">Начать поставки электроэнергии по проекту CASA-1000 планируется в 2021 году. Предполагается, что пропускная способность ЛЭП составит порядка 6 млрд. </w:t>
      </w:r>
      <w:proofErr w:type="spellStart"/>
      <w:r w:rsidRPr="008311B2">
        <w:rPr>
          <w:rStyle w:val="body-c-c0"/>
          <w:color w:val="000000"/>
          <w:sz w:val="28"/>
        </w:rPr>
        <w:t>кВтч</w:t>
      </w:r>
      <w:proofErr w:type="spellEnd"/>
      <w:r w:rsidRPr="008311B2">
        <w:rPr>
          <w:rStyle w:val="body-c-c0"/>
          <w:color w:val="000000"/>
          <w:sz w:val="28"/>
        </w:rPr>
        <w:t xml:space="preserve"> в год.</w:t>
      </w:r>
    </w:p>
    <w:p w:rsidR="006C42DB" w:rsidRPr="008311B2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8311B2">
        <w:rPr>
          <w:bCs/>
          <w:sz w:val="28"/>
        </w:rPr>
        <w:t>Процесс финансирования проекта управляется Всемирным банком.</w:t>
      </w:r>
    </w:p>
    <w:p w:rsidR="006C42DB" w:rsidRPr="008311B2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8311B2">
        <w:rPr>
          <w:rStyle w:val="body-c-c0"/>
          <w:color w:val="000000"/>
          <w:sz w:val="28"/>
        </w:rPr>
        <w:t xml:space="preserve">Проект разделен на два основных пакета: </w:t>
      </w:r>
    </w:p>
    <w:p w:rsidR="006C42DB" w:rsidRPr="008311B2" w:rsidRDefault="006C42DB" w:rsidP="00CB6062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8311B2">
        <w:rPr>
          <w:rStyle w:val="body-c-c0"/>
          <w:color w:val="000000"/>
          <w:sz w:val="28"/>
          <w:szCs w:val="28"/>
        </w:rPr>
        <w:lastRenderedPageBreak/>
        <w:t>строительство линий электропередачи в Кыргызстане, Таджикистане, Афганистане</w:t>
      </w:r>
      <w:r w:rsidRPr="008311B2" w:rsidDel="00473F4C">
        <w:rPr>
          <w:rStyle w:val="body-c-c0"/>
          <w:color w:val="000000"/>
          <w:sz w:val="28"/>
          <w:szCs w:val="28"/>
        </w:rPr>
        <w:t xml:space="preserve"> </w:t>
      </w:r>
      <w:r w:rsidRPr="008311B2">
        <w:rPr>
          <w:rStyle w:val="body-c-c0"/>
          <w:color w:val="000000"/>
          <w:sz w:val="28"/>
          <w:szCs w:val="28"/>
        </w:rPr>
        <w:t>и Пакистане;</w:t>
      </w:r>
    </w:p>
    <w:p w:rsidR="006C42DB" w:rsidRPr="008311B2" w:rsidRDefault="006C42DB" w:rsidP="00CB6062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8311B2">
        <w:rPr>
          <w:rStyle w:val="body-c-c0"/>
          <w:color w:val="000000"/>
          <w:sz w:val="28"/>
          <w:szCs w:val="28"/>
        </w:rPr>
        <w:t xml:space="preserve">строительство </w:t>
      </w:r>
      <w:proofErr w:type="gramStart"/>
      <w:r w:rsidRPr="008311B2">
        <w:rPr>
          <w:rStyle w:val="body-c-c0"/>
          <w:color w:val="000000"/>
          <w:sz w:val="28"/>
          <w:szCs w:val="28"/>
        </w:rPr>
        <w:t>двух-терминальных</w:t>
      </w:r>
      <w:proofErr w:type="gramEnd"/>
      <w:r w:rsidRPr="008311B2">
        <w:rPr>
          <w:rStyle w:val="body-c-c0"/>
          <w:color w:val="000000"/>
          <w:sz w:val="28"/>
          <w:szCs w:val="28"/>
        </w:rPr>
        <w:t xml:space="preserve"> преобразовательных подстанций постоянного тока высокого напряжения (ПТВН) в Пакистане и Таджикистане.</w:t>
      </w:r>
    </w:p>
    <w:p w:rsidR="006C42DB" w:rsidRPr="008311B2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8311B2">
        <w:rPr>
          <w:rStyle w:val="body-c-c0"/>
          <w:color w:val="000000"/>
          <w:sz w:val="28"/>
        </w:rPr>
        <w:t xml:space="preserve">Тендерные процедуры по первому пакету завершены, ведется работа по определению победителя тендера на </w:t>
      </w:r>
      <w:r w:rsidRPr="008311B2">
        <w:rPr>
          <w:rStyle w:val="body-c-c0"/>
          <w:color w:val="000000"/>
          <w:sz w:val="28"/>
          <w:szCs w:val="28"/>
        </w:rPr>
        <w:t xml:space="preserve">поставку и установку линий </w:t>
      </w:r>
      <w:proofErr w:type="gramStart"/>
      <w:r w:rsidRPr="008311B2">
        <w:rPr>
          <w:rStyle w:val="body-c-c0"/>
          <w:color w:val="000000"/>
          <w:sz w:val="28"/>
          <w:szCs w:val="28"/>
        </w:rPr>
        <w:t>электропередачи</w:t>
      </w:r>
      <w:proofErr w:type="gramEnd"/>
      <w:r w:rsidRPr="008311B2">
        <w:rPr>
          <w:rStyle w:val="body-c-c0"/>
          <w:color w:val="000000"/>
          <w:sz w:val="28"/>
          <w:szCs w:val="28"/>
        </w:rPr>
        <w:t xml:space="preserve"> и расширение соответствующих ячеек в Таджикистане и Кыргызстане. </w:t>
      </w:r>
    </w:p>
    <w:p w:rsidR="00410BC9" w:rsidRPr="008311B2" w:rsidRDefault="006C42DB" w:rsidP="006C3EF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11B2">
        <w:rPr>
          <w:rStyle w:val="body-c-c0"/>
          <w:sz w:val="28"/>
          <w:szCs w:val="28"/>
        </w:rPr>
        <w:t>Срок строительства после подписания контракта – 4</w:t>
      </w:r>
      <w:r w:rsidR="006C3EF7" w:rsidRPr="008311B2">
        <w:rPr>
          <w:rStyle w:val="body-c-c0"/>
          <w:sz w:val="28"/>
          <w:szCs w:val="28"/>
        </w:rPr>
        <w:t>2 месяца (2021г).</w:t>
      </w:r>
    </w:p>
    <w:p w:rsidR="00410BC9" w:rsidRPr="008311B2" w:rsidRDefault="00410BC9" w:rsidP="00CB606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410BC9" w:rsidRPr="008311B2" w:rsidRDefault="00410BC9" w:rsidP="00CB606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0A3B02" w:rsidRPr="008311B2" w:rsidRDefault="000A3B02" w:rsidP="00620733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</w:rPr>
      </w:pPr>
      <w:bookmarkStart w:id="36" w:name="_Toc525902070"/>
      <w:bookmarkStart w:id="37" w:name="_Toc2345666"/>
      <w:r w:rsidRPr="008311B2">
        <w:rPr>
          <w:rFonts w:ascii="Times New Roman" w:hAnsi="Times New Roman" w:cs="Times New Roman"/>
          <w:b/>
        </w:rPr>
        <w:t>Обзор СМИ в странах СНГ</w:t>
      </w:r>
      <w:bookmarkEnd w:id="36"/>
      <w:bookmarkEnd w:id="37"/>
    </w:p>
    <w:p w:rsidR="00620733" w:rsidRPr="00DF2006" w:rsidRDefault="000A3B02" w:rsidP="00DF2006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11B2">
        <w:rPr>
          <w:rFonts w:ascii="Times New Roman" w:hAnsi="Times New Roman" w:cs="Times New Roman"/>
          <w:i/>
          <w:sz w:val="24"/>
          <w:szCs w:val="24"/>
        </w:rPr>
        <w:t>(по информации с сайта Ис</w:t>
      </w:r>
      <w:r w:rsidR="00DF2006">
        <w:rPr>
          <w:rFonts w:ascii="Times New Roman" w:hAnsi="Times New Roman" w:cs="Times New Roman"/>
          <w:i/>
          <w:sz w:val="24"/>
          <w:szCs w:val="24"/>
        </w:rPr>
        <w:t>полнительного комитета ЭЭС СНГ)</w:t>
      </w:r>
    </w:p>
    <w:p w:rsidR="008311B2" w:rsidRPr="008311B2" w:rsidRDefault="008311B2" w:rsidP="008311B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1B2">
        <w:rPr>
          <w:rFonts w:ascii="Times New Roman" w:hAnsi="Times New Roman" w:cs="Times New Roman"/>
          <w:b/>
          <w:bCs/>
          <w:sz w:val="28"/>
          <w:szCs w:val="28"/>
        </w:rPr>
        <w:t>Таджикистан</w:t>
      </w:r>
    </w:p>
    <w:p w:rsidR="008311B2" w:rsidRPr="008311B2" w:rsidRDefault="008311B2" w:rsidP="0083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hAnsi="Times New Roman" w:cs="Times New Roman"/>
          <w:b/>
          <w:bCs/>
          <w:sz w:val="28"/>
          <w:szCs w:val="28"/>
        </w:rPr>
        <w:t xml:space="preserve">Разделение ОАХК «Барки </w:t>
      </w:r>
      <w:proofErr w:type="spellStart"/>
      <w:r w:rsidRPr="008311B2">
        <w:rPr>
          <w:rFonts w:ascii="Times New Roman" w:hAnsi="Times New Roman" w:cs="Times New Roman"/>
          <w:b/>
          <w:bCs/>
          <w:sz w:val="28"/>
          <w:szCs w:val="28"/>
        </w:rPr>
        <w:t>точик</w:t>
      </w:r>
      <w:proofErr w:type="spellEnd"/>
      <w:r w:rsidRPr="008311B2">
        <w:rPr>
          <w:rFonts w:ascii="Times New Roman" w:hAnsi="Times New Roman" w:cs="Times New Roman"/>
          <w:b/>
          <w:bCs/>
          <w:sz w:val="28"/>
          <w:szCs w:val="28"/>
        </w:rPr>
        <w:t xml:space="preserve">» на три самостоятельные компании планируется завершить в течение этого года </w:t>
      </w:r>
      <w:r w:rsidRPr="008311B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831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30.01.2019г)</w:t>
      </w:r>
    </w:p>
    <w:p w:rsidR="008311B2" w:rsidRPr="008311B2" w:rsidRDefault="008311B2" w:rsidP="0083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индивидуального плана реструктуризации продолжается разделение «Барки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точик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три самостоятельные компании – генерирующая, передающая и распределяющая, – сообщил министр энергетики и водных ресурсов Республики Таджикистан У.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Усмонзода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подчеркнул, что процесс реструктуризации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энергохолдинга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заключительной стадии, и завершится уже в этом году.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Отметим, что процесс реструктуризации в рамках реформирования энергетической отрасли «Барки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точик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начался еще в 2012 году.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Усмонзода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финансовое положение «Барки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точик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улучшается за счет наращивания производства электроэнергии.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отметил, что в прошлом году было произведено рекордный за всю историю Таджикистана объем электроэнергии – 19,8 </w:t>
      </w:r>
      <w:proofErr w:type="gram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первый агрегат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Рогунской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 за последние 45 дней прошлого года произвел более 90 </w:t>
      </w:r>
      <w:proofErr w:type="gram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подчеркнул, что свыше 2,4 </w:t>
      </w:r>
      <w:proofErr w:type="gram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электроэнергии в прошлом году было экспортировано в соседние страны. Это почти в два раза больше по сравнению с показателем 2017 года.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отметил, что «Барки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точик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2018 году за счет увеличения производства и реализации электроэнергии удалось собрать средства на 500 млн.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по сравнению с 2017 годом.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Асозода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уточнил, что доход «Барки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gram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продажи электроэнергии в прошлом году составил свыше 2,1 млрд.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1B2" w:rsidRDefault="008311B2" w:rsidP="0083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006" w:rsidRDefault="00DF2006" w:rsidP="0083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006" w:rsidRDefault="00DF2006" w:rsidP="0083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006" w:rsidRDefault="00DF2006" w:rsidP="0083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006" w:rsidRDefault="00DF2006" w:rsidP="0083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006" w:rsidRPr="008311B2" w:rsidRDefault="00DF2006" w:rsidP="0083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B2" w:rsidRPr="008311B2" w:rsidRDefault="008311B2" w:rsidP="008311B2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1B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8311B2" w:rsidRPr="008311B2" w:rsidRDefault="008311B2" w:rsidP="0083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Премьер-министр России Дмитрий Медведев подписал постановление о масштабной модернизации тепловых электростанций </w:t>
      </w:r>
      <w:r w:rsidRPr="008311B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831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30.01.2019г)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Премьер-министр России Д. Медведев подписал постановление о масштабной модернизации тепловых электростанций (ТЭС), соответствующий документ опубликован на сайте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кабмина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модернизации генерирующих объектов в 2022–2031 годах планируется модернизировать около 39 ГВт установленной мощности генерирующих объектов.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Добавляется, что изменения предусматривают переход к конкурентным отборам мощности на шесть лет (сейчас четыре года) и поэтапную индексацию ценовых параметров конкурентного отбора мощности в 2022–2024 годах.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постановлением утверждены правила определения величин предельных (максимальных и минимальных) капитальных затрат на реализацию таких проектов модернизации и правила индексации величин типовых капитальных затрат на эти проекты.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министра энергетики А.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Новака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 позволяет в течение десяти лет привлечь 1,9 триллиона рублей частных инвестиций и суммарно позволит модернизировать 41 ГВт мощностей, а первый отбор проектов будет проводиться в апреле-мае.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Новак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отмечал, что проекты для участия в программе будут отбираться на конкурсной основе. Критерием станет цена электроэнергии, достигаемая в результате модернизации.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311B2">
        <w:rPr>
          <w:rFonts w:ascii="Times New Roman" w:hAnsi="Times New Roman" w:cs="Times New Roman"/>
          <w:b/>
          <w:bCs/>
          <w:sz w:val="28"/>
          <w:szCs w:val="28"/>
        </w:rPr>
        <w:t>Кабмин</w:t>
      </w:r>
      <w:proofErr w:type="spellEnd"/>
      <w:r w:rsidRPr="008311B2">
        <w:rPr>
          <w:rFonts w:ascii="Times New Roman" w:hAnsi="Times New Roman" w:cs="Times New Roman"/>
          <w:b/>
          <w:bCs/>
          <w:sz w:val="28"/>
          <w:szCs w:val="28"/>
        </w:rPr>
        <w:t xml:space="preserve"> РФ 24 января рассмотрит программу модернизации в электроэнергетике на 2022-2031 </w:t>
      </w:r>
      <w:proofErr w:type="spellStart"/>
      <w:proofErr w:type="gramStart"/>
      <w:r w:rsidRPr="008311B2">
        <w:rPr>
          <w:rFonts w:ascii="Times New Roman" w:hAnsi="Times New Roman" w:cs="Times New Roman"/>
          <w:b/>
          <w:bCs/>
          <w:sz w:val="28"/>
          <w:szCs w:val="28"/>
        </w:rPr>
        <w:t>гг</w:t>
      </w:r>
      <w:proofErr w:type="spellEnd"/>
      <w:proofErr w:type="gramEnd"/>
      <w:r w:rsidRPr="008311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11B2">
        <w:rPr>
          <w:rFonts w:ascii="Times New Roman" w:hAnsi="Times New Roman" w:cs="Times New Roman"/>
          <w:i/>
          <w:sz w:val="28"/>
          <w:szCs w:val="28"/>
        </w:rPr>
        <w:t>(24.01.2019г)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РФ рассмотрел программу модернизации генерирующих объектов в 2022-2031 годах. 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в период 2022-2031 годов планируется модернизировать около 39 ГВт мощности генерирующих объектов. Основные параметры программы содержатся во внесенном Минэнерго проекте постановления правительства «О проведении </w:t>
      </w:r>
      <w:proofErr w:type="gram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отборов проектов модернизации генерирующих объектов тепловых электростанций</w:t>
      </w:r>
      <w:proofErr w:type="gram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Минэнерго подготовило масштабную программу модернизации ТЭС, которая оценивается в 1,5 триллиона рублей. Проекты, попавшие в нее по итогам конкурса, получат гарантированную окупаемость за счет повышенных платежей потребителей за мощность. Срок окупаемости — 15 лет. Первые отборы проектов модернизации планировалось провести в 2018 году сразу на три года: 2022-2024.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1B2">
        <w:rPr>
          <w:rFonts w:ascii="Times New Roman" w:hAnsi="Times New Roman" w:cs="Times New Roman"/>
          <w:b/>
          <w:bCs/>
          <w:sz w:val="28"/>
          <w:szCs w:val="28"/>
        </w:rPr>
        <w:t xml:space="preserve">Выработка электроэнергии в России в 2018 г. выросла на 1,7% </w:t>
      </w:r>
      <w:r w:rsidRPr="008311B2">
        <w:rPr>
          <w:rFonts w:ascii="Times New Roman" w:hAnsi="Times New Roman" w:cs="Times New Roman"/>
          <w:i/>
          <w:sz w:val="28"/>
          <w:szCs w:val="28"/>
        </w:rPr>
        <w:t>(22.01.2019г)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электроэнергии в России в 2018 году увеличилась на 1,7% по сравнению с показателем предыдущего года и составила 1,091 трлн.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следует из материалов Центрального диспетчерского управления ТЭК (ЦДУ ТЭК).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потребления электроэнергии составил 1,075 трлн.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1,6% выше показателя 2017 года. Экспорт электроэнергии по итогам года составил 15,7 млрд.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1B2" w:rsidRPr="008311B2" w:rsidRDefault="008311B2" w:rsidP="008311B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11B2" w:rsidRPr="008311B2" w:rsidRDefault="008311B2" w:rsidP="008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1B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РФ и ЕК обсудили сохранение экспорта российской электроэнергии в Прибалтику с 2025 г</w:t>
      </w:r>
      <w:r w:rsidRPr="008311B2">
        <w:rPr>
          <w:rFonts w:ascii="Times New Roman" w:hAnsi="Times New Roman" w:cs="Times New Roman"/>
          <w:i/>
          <w:sz w:val="28"/>
          <w:szCs w:val="28"/>
        </w:rPr>
        <w:t xml:space="preserve"> (22.01.2019г)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и Еврокомиссия (ЕК) обсудили сохранение экспорта российской электроэнергии в страны Прибалтики после перехода их на синхронную работу с энергосистемой Европы вместо энергосистемы РФ с 2025 года, сообщил министр энергетики России А.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Новак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2018 года страны Балтии, Польша и Еврокомиссия подписали в Брюсселе политическое соглашение о синхронизации электросетей трех стран Балтии с сетями континентальной Европы. До 2025 года страны Балтии должны будут окончательно выйти из 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энергокольца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БРЭЛЛ (Белоруссия, Россия, Эстония, Латвия, Литва). 14 ноября председатель правления оператора эстонской электросети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Elering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Таави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Вескимяги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сообщал, что выход Эстонии, Латвии и Литвы из российской энергосистемы протестируют летом 2019 года.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связь энергосистемы Калининградской области с остальной частью России осуществляется через электрические сети Белоруссии, Эстонии, Латвии и Литвы.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Энергонезависимость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 будут обеспечивать четыре новые электростанции суммарной мощностью около 1 ГВт. </w:t>
      </w:r>
    </w:p>
    <w:p w:rsidR="008311B2" w:rsidRPr="008311B2" w:rsidRDefault="008311B2" w:rsidP="00831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1B2" w:rsidRPr="008311B2" w:rsidRDefault="008311B2" w:rsidP="008311B2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1B2">
        <w:rPr>
          <w:rFonts w:ascii="Times New Roman" w:hAnsi="Times New Roman" w:cs="Times New Roman"/>
          <w:b/>
          <w:bCs/>
          <w:sz w:val="28"/>
          <w:szCs w:val="28"/>
        </w:rPr>
        <w:t>Узбекистан</w:t>
      </w:r>
    </w:p>
    <w:p w:rsidR="008311B2" w:rsidRPr="008311B2" w:rsidRDefault="008311B2" w:rsidP="008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1B2">
        <w:rPr>
          <w:rFonts w:ascii="Times New Roman" w:hAnsi="Times New Roman" w:cs="Times New Roman"/>
          <w:b/>
          <w:bCs/>
          <w:sz w:val="28"/>
          <w:szCs w:val="28"/>
        </w:rPr>
        <w:t xml:space="preserve">Специалисты определяют место возведения </w:t>
      </w:r>
      <w:proofErr w:type="gramStart"/>
      <w:r w:rsidRPr="008311B2">
        <w:rPr>
          <w:rFonts w:ascii="Times New Roman" w:hAnsi="Times New Roman" w:cs="Times New Roman"/>
          <w:b/>
          <w:bCs/>
          <w:sz w:val="28"/>
          <w:szCs w:val="28"/>
        </w:rPr>
        <w:t>совместных</w:t>
      </w:r>
      <w:proofErr w:type="gramEnd"/>
      <w:r w:rsidRPr="008311B2">
        <w:rPr>
          <w:rFonts w:ascii="Times New Roman" w:hAnsi="Times New Roman" w:cs="Times New Roman"/>
          <w:b/>
          <w:bCs/>
          <w:sz w:val="28"/>
          <w:szCs w:val="28"/>
        </w:rPr>
        <w:t xml:space="preserve"> таджикско-узбекских ГЭС на реке Зарафшан </w:t>
      </w:r>
      <w:r w:rsidRPr="008311B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8311B2">
        <w:rPr>
          <w:rFonts w:ascii="Times New Roman" w:hAnsi="Times New Roman" w:cs="Times New Roman"/>
          <w:i/>
          <w:sz w:val="28"/>
          <w:szCs w:val="28"/>
        </w:rPr>
        <w:t>29.01.2019г)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таджикско-узбекская рабочая группа занимается определением места возведения двух ГЭС на реке Зарафшан, о совместном строительстве которых президенты Таджикистана и Узбекистана Э.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Рахмон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Ш.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Мирзиёев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договорились в прошлом году.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решения технических вопросов, будут рассматриваться  финансово-экономические вопросы, а далее начнутся работы по проектированию.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поручению глав двух государств, должны быть построены две ГЭС, совокупной мощностью 320 МВт. </w:t>
      </w:r>
    </w:p>
    <w:p w:rsidR="008311B2" w:rsidRPr="008311B2" w:rsidRDefault="008311B2" w:rsidP="008311B2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311B2" w:rsidRPr="008311B2" w:rsidRDefault="008311B2" w:rsidP="008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1B2">
        <w:rPr>
          <w:rFonts w:ascii="Times New Roman" w:hAnsi="Times New Roman" w:cs="Times New Roman"/>
          <w:b/>
          <w:bCs/>
          <w:sz w:val="28"/>
          <w:szCs w:val="28"/>
        </w:rPr>
        <w:t xml:space="preserve">Узбекистан совместно с немецкой </w:t>
      </w:r>
      <w:proofErr w:type="spellStart"/>
      <w:r w:rsidRPr="008311B2">
        <w:rPr>
          <w:rFonts w:ascii="Times New Roman" w:hAnsi="Times New Roman" w:cs="Times New Roman"/>
          <w:b/>
          <w:bCs/>
          <w:sz w:val="28"/>
          <w:szCs w:val="28"/>
        </w:rPr>
        <w:t>Siemens</w:t>
      </w:r>
      <w:proofErr w:type="spellEnd"/>
      <w:r w:rsidRPr="008311B2">
        <w:rPr>
          <w:rFonts w:ascii="Times New Roman" w:hAnsi="Times New Roman" w:cs="Times New Roman"/>
          <w:b/>
          <w:bCs/>
          <w:sz w:val="28"/>
          <w:szCs w:val="28"/>
        </w:rPr>
        <w:t xml:space="preserve"> реализует новые проекты в сфере энергетики </w:t>
      </w:r>
      <w:r w:rsidRPr="008311B2">
        <w:rPr>
          <w:rFonts w:ascii="Times New Roman" w:hAnsi="Times New Roman" w:cs="Times New Roman"/>
          <w:i/>
          <w:sz w:val="28"/>
          <w:szCs w:val="28"/>
        </w:rPr>
        <w:t>(21.01.2019г)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Немецкая компания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Siemens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подписала ряд стратегических соглашений о партнерстве с узбекскими компаниями в реализации проектов в энергетических и промышленных секторах, в частности, заключен меморандум о модернизации объектов генерации с АО «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Узбекэнерго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Документ подразумевает сотрудничество по модернизации Сырдарьинской ТЭС и Ново-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Ангренской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ТЭС. Концерн намерен предложить решения, которые помогут значительно увеличить КПД этих электростанций, а именно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репауэринг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(преобразование паросиловой установки в блок парогазовой установки) на базе современной газовой турбины 8000H совместно с действующей паровой турбиной К-300.</w:t>
      </w:r>
    </w:p>
    <w:p w:rsidR="008311B2" w:rsidRPr="008311B2" w:rsidRDefault="008311B2" w:rsidP="00DF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Siemens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АО «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Чирчикский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Трансформаторный Завод» заключили контракт на поставку высоковольтных вводов для трансформаторов напряжением 110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proofErr w:type="spellEnd"/>
    </w:p>
    <w:p w:rsidR="008311B2" w:rsidRPr="008311B2" w:rsidRDefault="008311B2" w:rsidP="008311B2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1B2">
        <w:rPr>
          <w:rFonts w:ascii="Times New Roman" w:hAnsi="Times New Roman" w:cs="Times New Roman"/>
          <w:b/>
          <w:bCs/>
          <w:sz w:val="28"/>
          <w:szCs w:val="28"/>
        </w:rPr>
        <w:t>Беларусь</w:t>
      </w:r>
    </w:p>
    <w:p w:rsidR="008311B2" w:rsidRPr="008311B2" w:rsidRDefault="008311B2" w:rsidP="008311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1B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Утвержден перечень инвестиционных проектов по строительству пиково-резервных </w:t>
      </w:r>
      <w:proofErr w:type="spellStart"/>
      <w:r w:rsidRPr="008311B2">
        <w:rPr>
          <w:rFonts w:ascii="Times New Roman" w:hAnsi="Times New Roman" w:cs="Times New Roman"/>
          <w:b/>
          <w:bCs/>
          <w:sz w:val="28"/>
          <w:szCs w:val="28"/>
        </w:rPr>
        <w:t>энергоисточников</w:t>
      </w:r>
      <w:proofErr w:type="spellEnd"/>
      <w:r w:rsidRPr="008311B2">
        <w:rPr>
          <w:rFonts w:ascii="Times New Roman" w:hAnsi="Times New Roman" w:cs="Times New Roman"/>
          <w:b/>
          <w:bCs/>
          <w:sz w:val="28"/>
          <w:szCs w:val="28"/>
        </w:rPr>
        <w:t xml:space="preserve"> и установке </w:t>
      </w:r>
      <w:proofErr w:type="spellStart"/>
      <w:r w:rsidRPr="008311B2">
        <w:rPr>
          <w:rFonts w:ascii="Times New Roman" w:hAnsi="Times New Roman" w:cs="Times New Roman"/>
          <w:b/>
          <w:bCs/>
          <w:sz w:val="28"/>
          <w:szCs w:val="28"/>
        </w:rPr>
        <w:t>электрокотлов</w:t>
      </w:r>
      <w:proofErr w:type="spellEnd"/>
      <w:r w:rsidRPr="008311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11B2">
        <w:rPr>
          <w:rFonts w:ascii="Times New Roman" w:hAnsi="Times New Roman" w:cs="Times New Roman"/>
          <w:i/>
          <w:sz w:val="28"/>
          <w:szCs w:val="28"/>
        </w:rPr>
        <w:t>(28.01.2019г)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18 января 2019 г. принято </w:t>
      </w:r>
      <w:hyperlink r:id="rId13" w:history="1">
        <w:r w:rsidRPr="008311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Совета Министров Республики Беларусь № 32 «Об утверждении Перечня инвестиционных проектов по строительству пиково-резервных </w:t>
        </w:r>
        <w:proofErr w:type="spellStart"/>
        <w:r w:rsidRPr="008311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энергоисточников</w:t>
        </w:r>
        <w:proofErr w:type="spellEnd"/>
        <w:r w:rsidRPr="008311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и установке </w:t>
        </w:r>
        <w:proofErr w:type="spellStart"/>
        <w:r w:rsidRPr="008311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электрокотлов</w:t>
        </w:r>
        <w:proofErr w:type="spellEnd"/>
        <w:r w:rsidRPr="008311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разработанное в соответствии с пунктом 1 Указа Президента Республики Беларусь от 22 декабря 2018 г. № 493 «О некоторых мерах по повышению надежности белорусской энергосистемы».</w:t>
      </w:r>
    </w:p>
    <w:p w:rsidR="008311B2" w:rsidRPr="008311B2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утверждается перечень инвестиционных проектов по строительству пиково-резервных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энергоисточников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тепловых электрических станциях организаций, входящих в состав ГПО «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Белэнерго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 установке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электрокотлов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планируемых к реализации на тепловых электрических станциях, мини-ТЭЦ, котельных организаций, входящих в состав ГПО «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Белэнерго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на котельных организаций жилищно-коммунального хозяйства.</w:t>
      </w:r>
    </w:p>
    <w:p w:rsidR="008311B2" w:rsidRPr="0031783E" w:rsidRDefault="008311B2" w:rsidP="0083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перечне определены заказчики по строительству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энергоисточников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установке </w:t>
      </w:r>
      <w:proofErr w:type="spellStart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электрокотлов</w:t>
      </w:r>
      <w:proofErr w:type="spellEnd"/>
      <w:r w:rsidRPr="008311B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генеральные проектные и подрядные организации, а также организации, которые планируется  привлекать для выполнения отдельных видов проектных, отдельных строительных, монтажных, пусконаладочных и иных работ.</w:t>
      </w:r>
    </w:p>
    <w:p w:rsidR="008311B2" w:rsidRPr="0031783E" w:rsidRDefault="008311B2" w:rsidP="008311B2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311B2" w:rsidRPr="0031783E" w:rsidRDefault="008311B2" w:rsidP="00831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1B2" w:rsidRPr="0031783E" w:rsidRDefault="008311B2" w:rsidP="008311B2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11B2" w:rsidRPr="0031783E" w:rsidRDefault="008311B2" w:rsidP="008311B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311B2" w:rsidRPr="0031783E" w:rsidRDefault="008311B2" w:rsidP="008311B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4313" w:rsidRPr="00BC7CB8" w:rsidRDefault="00E04313" w:rsidP="004C72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04313" w:rsidRPr="00BC7CB8" w:rsidSect="000C3143">
      <w:headerReference w:type="default" r:id="rId14"/>
      <w:footerReference w:type="default" r:id="rId15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31E" w:rsidRDefault="0068431E" w:rsidP="00AD7754">
      <w:pPr>
        <w:spacing w:after="0" w:line="240" w:lineRule="auto"/>
      </w:pPr>
      <w:r>
        <w:separator/>
      </w:r>
    </w:p>
  </w:endnote>
  <w:endnote w:type="continuationSeparator" w:id="0">
    <w:p w:rsidR="0068431E" w:rsidRDefault="0068431E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249336"/>
      <w:docPartObj>
        <w:docPartGallery w:val="Page Numbers (Bottom of Page)"/>
        <w:docPartUnique/>
      </w:docPartObj>
    </w:sdtPr>
    <w:sdtEndPr/>
    <w:sdtContent>
      <w:p w:rsidR="0068431E" w:rsidRDefault="0068431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BB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8431E" w:rsidRDefault="006843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31E" w:rsidRDefault="0068431E" w:rsidP="00AD7754">
      <w:pPr>
        <w:spacing w:after="0" w:line="240" w:lineRule="auto"/>
      </w:pPr>
      <w:r>
        <w:separator/>
      </w:r>
    </w:p>
  </w:footnote>
  <w:footnote w:type="continuationSeparator" w:id="0">
    <w:p w:rsidR="0068431E" w:rsidRDefault="0068431E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68431E" w:rsidTr="009437D6">
      <w:tc>
        <w:tcPr>
          <w:tcW w:w="2235" w:type="dxa"/>
        </w:tcPr>
        <w:p w:rsidR="0068431E" w:rsidRDefault="0068431E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68431E" w:rsidRDefault="0068431E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68431E" w:rsidRDefault="0068431E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:rsidR="0068431E" w:rsidRPr="009437D6" w:rsidRDefault="0068431E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389"/>
    <w:multiLevelType w:val="hybridMultilevel"/>
    <w:tmpl w:val="51EC4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94330"/>
    <w:multiLevelType w:val="hybridMultilevel"/>
    <w:tmpl w:val="B6C2E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7A4230"/>
    <w:multiLevelType w:val="hybridMultilevel"/>
    <w:tmpl w:val="2A789FCC"/>
    <w:lvl w:ilvl="0" w:tplc="B2CCDD2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D33444"/>
    <w:multiLevelType w:val="hybridMultilevel"/>
    <w:tmpl w:val="AAEA3E3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907C5"/>
    <w:multiLevelType w:val="hybridMultilevel"/>
    <w:tmpl w:val="8A58B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4F57BD1"/>
    <w:multiLevelType w:val="hybridMultilevel"/>
    <w:tmpl w:val="9120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04561"/>
    <w:multiLevelType w:val="hybridMultilevel"/>
    <w:tmpl w:val="D52C8F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>
    <w:nsid w:val="56873976"/>
    <w:multiLevelType w:val="hybridMultilevel"/>
    <w:tmpl w:val="23328A0A"/>
    <w:lvl w:ilvl="0" w:tplc="6DCCC1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625714F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46DC9"/>
    <w:multiLevelType w:val="hybridMultilevel"/>
    <w:tmpl w:val="060A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172F0"/>
    <w:multiLevelType w:val="hybridMultilevel"/>
    <w:tmpl w:val="5002EFE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12"/>
  </w:num>
  <w:num w:numId="4">
    <w:abstractNumId w:val="22"/>
  </w:num>
  <w:num w:numId="5">
    <w:abstractNumId w:val="1"/>
  </w:num>
  <w:num w:numId="6">
    <w:abstractNumId w:val="34"/>
  </w:num>
  <w:num w:numId="7">
    <w:abstractNumId w:val="3"/>
  </w:num>
  <w:num w:numId="8">
    <w:abstractNumId w:val="13"/>
  </w:num>
  <w:num w:numId="9">
    <w:abstractNumId w:val="10"/>
  </w:num>
  <w:num w:numId="10">
    <w:abstractNumId w:val="37"/>
  </w:num>
  <w:num w:numId="11">
    <w:abstractNumId w:val="28"/>
  </w:num>
  <w:num w:numId="12">
    <w:abstractNumId w:val="20"/>
  </w:num>
  <w:num w:numId="13">
    <w:abstractNumId w:val="9"/>
  </w:num>
  <w:num w:numId="14">
    <w:abstractNumId w:val="14"/>
  </w:num>
  <w:num w:numId="15">
    <w:abstractNumId w:val="36"/>
  </w:num>
  <w:num w:numId="16">
    <w:abstractNumId w:val="24"/>
  </w:num>
  <w:num w:numId="17">
    <w:abstractNumId w:val="38"/>
  </w:num>
  <w:num w:numId="18">
    <w:abstractNumId w:val="5"/>
  </w:num>
  <w:num w:numId="19">
    <w:abstractNumId w:val="35"/>
  </w:num>
  <w:num w:numId="20">
    <w:abstractNumId w:val="4"/>
  </w:num>
  <w:num w:numId="21">
    <w:abstractNumId w:val="8"/>
  </w:num>
  <w:num w:numId="22">
    <w:abstractNumId w:val="7"/>
  </w:num>
  <w:num w:numId="23">
    <w:abstractNumId w:val="2"/>
  </w:num>
  <w:num w:numId="24">
    <w:abstractNumId w:val="17"/>
  </w:num>
  <w:num w:numId="25">
    <w:abstractNumId w:val="27"/>
  </w:num>
  <w:num w:numId="26">
    <w:abstractNumId w:val="16"/>
  </w:num>
  <w:num w:numId="27">
    <w:abstractNumId w:val="19"/>
  </w:num>
  <w:num w:numId="28">
    <w:abstractNumId w:val="6"/>
  </w:num>
  <w:num w:numId="29">
    <w:abstractNumId w:val="18"/>
  </w:num>
  <w:num w:numId="30">
    <w:abstractNumId w:val="25"/>
  </w:num>
  <w:num w:numId="31">
    <w:abstractNumId w:val="23"/>
  </w:num>
  <w:num w:numId="32">
    <w:abstractNumId w:val="33"/>
  </w:num>
  <w:num w:numId="33">
    <w:abstractNumId w:val="26"/>
  </w:num>
  <w:num w:numId="34">
    <w:abstractNumId w:val="31"/>
  </w:num>
  <w:num w:numId="35">
    <w:abstractNumId w:val="32"/>
  </w:num>
  <w:num w:numId="36">
    <w:abstractNumId w:val="21"/>
  </w:num>
  <w:num w:numId="37">
    <w:abstractNumId w:val="11"/>
  </w:num>
  <w:num w:numId="38">
    <w:abstractNumId w:val="1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131F1"/>
    <w:rsid w:val="000134A2"/>
    <w:rsid w:val="00014143"/>
    <w:rsid w:val="00023FFD"/>
    <w:rsid w:val="00025494"/>
    <w:rsid w:val="00034147"/>
    <w:rsid w:val="0003643D"/>
    <w:rsid w:val="00042141"/>
    <w:rsid w:val="00060B33"/>
    <w:rsid w:val="000620C6"/>
    <w:rsid w:val="00064894"/>
    <w:rsid w:val="0007078E"/>
    <w:rsid w:val="00071A95"/>
    <w:rsid w:val="00071C66"/>
    <w:rsid w:val="00076A8C"/>
    <w:rsid w:val="0008404C"/>
    <w:rsid w:val="00090E98"/>
    <w:rsid w:val="000A1F7A"/>
    <w:rsid w:val="000A2B7B"/>
    <w:rsid w:val="000A3B02"/>
    <w:rsid w:val="000A5314"/>
    <w:rsid w:val="000C3143"/>
    <w:rsid w:val="000D0261"/>
    <w:rsid w:val="000D031A"/>
    <w:rsid w:val="000D0548"/>
    <w:rsid w:val="000D07D5"/>
    <w:rsid w:val="000D1B96"/>
    <w:rsid w:val="000D31BF"/>
    <w:rsid w:val="000D5340"/>
    <w:rsid w:val="000F203E"/>
    <w:rsid w:val="000F31A3"/>
    <w:rsid w:val="000F6A36"/>
    <w:rsid w:val="000F6D27"/>
    <w:rsid w:val="000F7637"/>
    <w:rsid w:val="00101A0F"/>
    <w:rsid w:val="00112428"/>
    <w:rsid w:val="0011642D"/>
    <w:rsid w:val="00117137"/>
    <w:rsid w:val="00120BDE"/>
    <w:rsid w:val="0012176C"/>
    <w:rsid w:val="0012324F"/>
    <w:rsid w:val="00125238"/>
    <w:rsid w:val="00127A62"/>
    <w:rsid w:val="001447DB"/>
    <w:rsid w:val="00146C10"/>
    <w:rsid w:val="00147887"/>
    <w:rsid w:val="00156A4A"/>
    <w:rsid w:val="001621B0"/>
    <w:rsid w:val="0017220E"/>
    <w:rsid w:val="00176FB5"/>
    <w:rsid w:val="001803A7"/>
    <w:rsid w:val="00183A10"/>
    <w:rsid w:val="001841F0"/>
    <w:rsid w:val="00184E53"/>
    <w:rsid w:val="00186C38"/>
    <w:rsid w:val="00190C91"/>
    <w:rsid w:val="00191D55"/>
    <w:rsid w:val="001963D6"/>
    <w:rsid w:val="001A0120"/>
    <w:rsid w:val="001A2030"/>
    <w:rsid w:val="001A4A89"/>
    <w:rsid w:val="001A60DC"/>
    <w:rsid w:val="001B0D6D"/>
    <w:rsid w:val="001B24C6"/>
    <w:rsid w:val="001B2D4A"/>
    <w:rsid w:val="001C6B2D"/>
    <w:rsid w:val="001D295E"/>
    <w:rsid w:val="001D39F6"/>
    <w:rsid w:val="001D50B2"/>
    <w:rsid w:val="001E3127"/>
    <w:rsid w:val="001E69C3"/>
    <w:rsid w:val="001F20CE"/>
    <w:rsid w:val="001F2459"/>
    <w:rsid w:val="001F404F"/>
    <w:rsid w:val="00210D30"/>
    <w:rsid w:val="00213A8D"/>
    <w:rsid w:val="00217D54"/>
    <w:rsid w:val="00224B90"/>
    <w:rsid w:val="00225BA9"/>
    <w:rsid w:val="00225ECE"/>
    <w:rsid w:val="002300AE"/>
    <w:rsid w:val="00230F0E"/>
    <w:rsid w:val="002334B5"/>
    <w:rsid w:val="00234CEB"/>
    <w:rsid w:val="00235BF2"/>
    <w:rsid w:val="00237930"/>
    <w:rsid w:val="00242B5A"/>
    <w:rsid w:val="00247170"/>
    <w:rsid w:val="00250A8C"/>
    <w:rsid w:val="00256A29"/>
    <w:rsid w:val="002601C2"/>
    <w:rsid w:val="002602A8"/>
    <w:rsid w:val="00264833"/>
    <w:rsid w:val="00266D27"/>
    <w:rsid w:val="002676A7"/>
    <w:rsid w:val="00273897"/>
    <w:rsid w:val="00273C4D"/>
    <w:rsid w:val="00282C14"/>
    <w:rsid w:val="00284A27"/>
    <w:rsid w:val="002B2269"/>
    <w:rsid w:val="002C14BF"/>
    <w:rsid w:val="002C5519"/>
    <w:rsid w:val="002D2E71"/>
    <w:rsid w:val="002D4807"/>
    <w:rsid w:val="002E17D6"/>
    <w:rsid w:val="002E3ABD"/>
    <w:rsid w:val="002F0073"/>
    <w:rsid w:val="002F18C0"/>
    <w:rsid w:val="002F20CC"/>
    <w:rsid w:val="003021BF"/>
    <w:rsid w:val="00302337"/>
    <w:rsid w:val="00302DA3"/>
    <w:rsid w:val="00306B17"/>
    <w:rsid w:val="0031274F"/>
    <w:rsid w:val="00312A1E"/>
    <w:rsid w:val="00313749"/>
    <w:rsid w:val="00330E75"/>
    <w:rsid w:val="003363B0"/>
    <w:rsid w:val="00337BAB"/>
    <w:rsid w:val="00340588"/>
    <w:rsid w:val="003417C6"/>
    <w:rsid w:val="00343B5A"/>
    <w:rsid w:val="003507C0"/>
    <w:rsid w:val="00350BC9"/>
    <w:rsid w:val="003527BF"/>
    <w:rsid w:val="0035461D"/>
    <w:rsid w:val="003625A7"/>
    <w:rsid w:val="00377FA9"/>
    <w:rsid w:val="003801ED"/>
    <w:rsid w:val="00387115"/>
    <w:rsid w:val="0039177D"/>
    <w:rsid w:val="00395E64"/>
    <w:rsid w:val="003A0A61"/>
    <w:rsid w:val="003A616A"/>
    <w:rsid w:val="003B36BC"/>
    <w:rsid w:val="003B57C9"/>
    <w:rsid w:val="003C5EFF"/>
    <w:rsid w:val="003D60D6"/>
    <w:rsid w:val="003D6235"/>
    <w:rsid w:val="003E3F8D"/>
    <w:rsid w:val="003E6BEE"/>
    <w:rsid w:val="003E6E0E"/>
    <w:rsid w:val="003E6EE2"/>
    <w:rsid w:val="003F5B49"/>
    <w:rsid w:val="004030E3"/>
    <w:rsid w:val="00410BC9"/>
    <w:rsid w:val="00411C12"/>
    <w:rsid w:val="00412299"/>
    <w:rsid w:val="00415359"/>
    <w:rsid w:val="004173C9"/>
    <w:rsid w:val="00422191"/>
    <w:rsid w:val="00424764"/>
    <w:rsid w:val="00425634"/>
    <w:rsid w:val="00426FF1"/>
    <w:rsid w:val="00432D46"/>
    <w:rsid w:val="00440E1C"/>
    <w:rsid w:val="0044104A"/>
    <w:rsid w:val="00441B04"/>
    <w:rsid w:val="00443749"/>
    <w:rsid w:val="00444D23"/>
    <w:rsid w:val="00445130"/>
    <w:rsid w:val="00452FF3"/>
    <w:rsid w:val="00457F45"/>
    <w:rsid w:val="00465C07"/>
    <w:rsid w:val="00476D7B"/>
    <w:rsid w:val="00485E7B"/>
    <w:rsid w:val="00493051"/>
    <w:rsid w:val="00495B86"/>
    <w:rsid w:val="004A3193"/>
    <w:rsid w:val="004A417C"/>
    <w:rsid w:val="004A4775"/>
    <w:rsid w:val="004A47DD"/>
    <w:rsid w:val="004B2582"/>
    <w:rsid w:val="004B30B9"/>
    <w:rsid w:val="004C65DE"/>
    <w:rsid w:val="004C686A"/>
    <w:rsid w:val="004C720B"/>
    <w:rsid w:val="004D543B"/>
    <w:rsid w:val="004D745C"/>
    <w:rsid w:val="004E7604"/>
    <w:rsid w:val="00503EEF"/>
    <w:rsid w:val="005070DF"/>
    <w:rsid w:val="00512F59"/>
    <w:rsid w:val="00513436"/>
    <w:rsid w:val="00520A3C"/>
    <w:rsid w:val="00523770"/>
    <w:rsid w:val="00524E43"/>
    <w:rsid w:val="00530BF1"/>
    <w:rsid w:val="00531D9B"/>
    <w:rsid w:val="00533342"/>
    <w:rsid w:val="00535451"/>
    <w:rsid w:val="00535564"/>
    <w:rsid w:val="0053588D"/>
    <w:rsid w:val="00536553"/>
    <w:rsid w:val="00541D3A"/>
    <w:rsid w:val="00545712"/>
    <w:rsid w:val="00547746"/>
    <w:rsid w:val="00551B8C"/>
    <w:rsid w:val="00553846"/>
    <w:rsid w:val="00562751"/>
    <w:rsid w:val="005642B7"/>
    <w:rsid w:val="00566EF6"/>
    <w:rsid w:val="00570DEE"/>
    <w:rsid w:val="0058001C"/>
    <w:rsid w:val="00580569"/>
    <w:rsid w:val="00582144"/>
    <w:rsid w:val="00583E36"/>
    <w:rsid w:val="00583EA4"/>
    <w:rsid w:val="00584463"/>
    <w:rsid w:val="00595C63"/>
    <w:rsid w:val="00596C30"/>
    <w:rsid w:val="005A0CC5"/>
    <w:rsid w:val="005A313C"/>
    <w:rsid w:val="005A5AF2"/>
    <w:rsid w:val="005A6246"/>
    <w:rsid w:val="005A6918"/>
    <w:rsid w:val="005A74D3"/>
    <w:rsid w:val="005B162F"/>
    <w:rsid w:val="005B42C7"/>
    <w:rsid w:val="005B5EA7"/>
    <w:rsid w:val="005B61CF"/>
    <w:rsid w:val="005C5322"/>
    <w:rsid w:val="005D3780"/>
    <w:rsid w:val="005D3AAA"/>
    <w:rsid w:val="005E65ED"/>
    <w:rsid w:val="005E794F"/>
    <w:rsid w:val="005F04DD"/>
    <w:rsid w:val="005F127E"/>
    <w:rsid w:val="005F6A67"/>
    <w:rsid w:val="00600B80"/>
    <w:rsid w:val="00615B56"/>
    <w:rsid w:val="00620733"/>
    <w:rsid w:val="00623E43"/>
    <w:rsid w:val="00633669"/>
    <w:rsid w:val="006423D3"/>
    <w:rsid w:val="00642DF4"/>
    <w:rsid w:val="006432D5"/>
    <w:rsid w:val="00647D9C"/>
    <w:rsid w:val="00651958"/>
    <w:rsid w:val="00653FA4"/>
    <w:rsid w:val="00655247"/>
    <w:rsid w:val="00656669"/>
    <w:rsid w:val="00657A19"/>
    <w:rsid w:val="00660E5E"/>
    <w:rsid w:val="006636EE"/>
    <w:rsid w:val="00663F96"/>
    <w:rsid w:val="00672A7E"/>
    <w:rsid w:val="006808D0"/>
    <w:rsid w:val="00681D7C"/>
    <w:rsid w:val="00682876"/>
    <w:rsid w:val="0068431E"/>
    <w:rsid w:val="00684AE4"/>
    <w:rsid w:val="00684BAE"/>
    <w:rsid w:val="0068656F"/>
    <w:rsid w:val="00691F19"/>
    <w:rsid w:val="006A0785"/>
    <w:rsid w:val="006A3A88"/>
    <w:rsid w:val="006A4A69"/>
    <w:rsid w:val="006A740E"/>
    <w:rsid w:val="006B060A"/>
    <w:rsid w:val="006B0CEA"/>
    <w:rsid w:val="006B1320"/>
    <w:rsid w:val="006B1F89"/>
    <w:rsid w:val="006B21A4"/>
    <w:rsid w:val="006B3D7E"/>
    <w:rsid w:val="006B75FC"/>
    <w:rsid w:val="006C362D"/>
    <w:rsid w:val="006C3EF7"/>
    <w:rsid w:val="006C42DB"/>
    <w:rsid w:val="006C5CBD"/>
    <w:rsid w:val="006C5FE5"/>
    <w:rsid w:val="006C6971"/>
    <w:rsid w:val="006C754D"/>
    <w:rsid w:val="006D732A"/>
    <w:rsid w:val="006E404D"/>
    <w:rsid w:val="006E7478"/>
    <w:rsid w:val="006F09F2"/>
    <w:rsid w:val="007103C4"/>
    <w:rsid w:val="00710722"/>
    <w:rsid w:val="00711626"/>
    <w:rsid w:val="00715ADF"/>
    <w:rsid w:val="00720B2F"/>
    <w:rsid w:val="00727DC1"/>
    <w:rsid w:val="0074078A"/>
    <w:rsid w:val="00744BC8"/>
    <w:rsid w:val="00752A24"/>
    <w:rsid w:val="00755B12"/>
    <w:rsid w:val="007561AF"/>
    <w:rsid w:val="00757076"/>
    <w:rsid w:val="00760300"/>
    <w:rsid w:val="00766E93"/>
    <w:rsid w:val="00770E28"/>
    <w:rsid w:val="00772A2E"/>
    <w:rsid w:val="0077427E"/>
    <w:rsid w:val="00775202"/>
    <w:rsid w:val="0077564E"/>
    <w:rsid w:val="00782C7F"/>
    <w:rsid w:val="00783C18"/>
    <w:rsid w:val="00786D0D"/>
    <w:rsid w:val="00794953"/>
    <w:rsid w:val="007A0FD1"/>
    <w:rsid w:val="007A552A"/>
    <w:rsid w:val="007B3161"/>
    <w:rsid w:val="007B4407"/>
    <w:rsid w:val="007B4D1F"/>
    <w:rsid w:val="007B7A62"/>
    <w:rsid w:val="007C2CF3"/>
    <w:rsid w:val="007C3A8C"/>
    <w:rsid w:val="007D00DC"/>
    <w:rsid w:val="007D0A51"/>
    <w:rsid w:val="007D3273"/>
    <w:rsid w:val="007D3297"/>
    <w:rsid w:val="007D32F2"/>
    <w:rsid w:val="007D7437"/>
    <w:rsid w:val="007E2BB4"/>
    <w:rsid w:val="007F3F0C"/>
    <w:rsid w:val="008006A8"/>
    <w:rsid w:val="00800D87"/>
    <w:rsid w:val="0080409E"/>
    <w:rsid w:val="008078AD"/>
    <w:rsid w:val="00810136"/>
    <w:rsid w:val="008169EA"/>
    <w:rsid w:val="0082580F"/>
    <w:rsid w:val="008311B2"/>
    <w:rsid w:val="0083128A"/>
    <w:rsid w:val="00832F64"/>
    <w:rsid w:val="00836632"/>
    <w:rsid w:val="008373DC"/>
    <w:rsid w:val="00843727"/>
    <w:rsid w:val="008456D7"/>
    <w:rsid w:val="00851E30"/>
    <w:rsid w:val="00854D8B"/>
    <w:rsid w:val="008647BB"/>
    <w:rsid w:val="00874172"/>
    <w:rsid w:val="00875F55"/>
    <w:rsid w:val="008822CA"/>
    <w:rsid w:val="008865ED"/>
    <w:rsid w:val="0088696D"/>
    <w:rsid w:val="008928B2"/>
    <w:rsid w:val="00896D65"/>
    <w:rsid w:val="008A27D4"/>
    <w:rsid w:val="008A555C"/>
    <w:rsid w:val="008B01C4"/>
    <w:rsid w:val="008B2E50"/>
    <w:rsid w:val="008B372E"/>
    <w:rsid w:val="008C25DE"/>
    <w:rsid w:val="008C27FD"/>
    <w:rsid w:val="008D1FF5"/>
    <w:rsid w:val="008D1FF8"/>
    <w:rsid w:val="008E6C08"/>
    <w:rsid w:val="008F0834"/>
    <w:rsid w:val="008F33E4"/>
    <w:rsid w:val="008F5437"/>
    <w:rsid w:val="008F6ECD"/>
    <w:rsid w:val="009025E2"/>
    <w:rsid w:val="009125D1"/>
    <w:rsid w:val="009165DF"/>
    <w:rsid w:val="00932394"/>
    <w:rsid w:val="00936844"/>
    <w:rsid w:val="00937577"/>
    <w:rsid w:val="0093791F"/>
    <w:rsid w:val="00942D73"/>
    <w:rsid w:val="009437D6"/>
    <w:rsid w:val="00945A0E"/>
    <w:rsid w:val="00946B06"/>
    <w:rsid w:val="00952342"/>
    <w:rsid w:val="0095487B"/>
    <w:rsid w:val="009609AE"/>
    <w:rsid w:val="00965639"/>
    <w:rsid w:val="00965771"/>
    <w:rsid w:val="00970497"/>
    <w:rsid w:val="00973314"/>
    <w:rsid w:val="00973D74"/>
    <w:rsid w:val="0097499E"/>
    <w:rsid w:val="00981D05"/>
    <w:rsid w:val="00983160"/>
    <w:rsid w:val="00984FBA"/>
    <w:rsid w:val="00985408"/>
    <w:rsid w:val="0099334E"/>
    <w:rsid w:val="0099370B"/>
    <w:rsid w:val="0099385A"/>
    <w:rsid w:val="00995E50"/>
    <w:rsid w:val="00997037"/>
    <w:rsid w:val="009A2788"/>
    <w:rsid w:val="009A4DE5"/>
    <w:rsid w:val="009B48C4"/>
    <w:rsid w:val="009B7719"/>
    <w:rsid w:val="009C0DC5"/>
    <w:rsid w:val="009C2F09"/>
    <w:rsid w:val="009C3F4D"/>
    <w:rsid w:val="009D1D15"/>
    <w:rsid w:val="009D7423"/>
    <w:rsid w:val="009E302E"/>
    <w:rsid w:val="00A001EE"/>
    <w:rsid w:val="00A0438E"/>
    <w:rsid w:val="00A067AB"/>
    <w:rsid w:val="00A11161"/>
    <w:rsid w:val="00A11C70"/>
    <w:rsid w:val="00A1434F"/>
    <w:rsid w:val="00A15D30"/>
    <w:rsid w:val="00A208FB"/>
    <w:rsid w:val="00A23008"/>
    <w:rsid w:val="00A23548"/>
    <w:rsid w:val="00A32670"/>
    <w:rsid w:val="00A350F6"/>
    <w:rsid w:val="00A42AA0"/>
    <w:rsid w:val="00A43411"/>
    <w:rsid w:val="00A4551D"/>
    <w:rsid w:val="00A5325B"/>
    <w:rsid w:val="00A53DE3"/>
    <w:rsid w:val="00A566CD"/>
    <w:rsid w:val="00A578A6"/>
    <w:rsid w:val="00A6371A"/>
    <w:rsid w:val="00A702C3"/>
    <w:rsid w:val="00A71A7F"/>
    <w:rsid w:val="00A721DF"/>
    <w:rsid w:val="00A74738"/>
    <w:rsid w:val="00A765E9"/>
    <w:rsid w:val="00A7686C"/>
    <w:rsid w:val="00A81B78"/>
    <w:rsid w:val="00A82A95"/>
    <w:rsid w:val="00A865C5"/>
    <w:rsid w:val="00A87EE1"/>
    <w:rsid w:val="00A90F00"/>
    <w:rsid w:val="00AA3132"/>
    <w:rsid w:val="00AA36F9"/>
    <w:rsid w:val="00AA46C2"/>
    <w:rsid w:val="00AB1804"/>
    <w:rsid w:val="00AB4278"/>
    <w:rsid w:val="00AB44A6"/>
    <w:rsid w:val="00AB5E40"/>
    <w:rsid w:val="00AD04EF"/>
    <w:rsid w:val="00AD1830"/>
    <w:rsid w:val="00AD38CB"/>
    <w:rsid w:val="00AD7754"/>
    <w:rsid w:val="00AE458B"/>
    <w:rsid w:val="00AE6952"/>
    <w:rsid w:val="00AF4346"/>
    <w:rsid w:val="00B005A3"/>
    <w:rsid w:val="00B01F44"/>
    <w:rsid w:val="00B025A4"/>
    <w:rsid w:val="00B0282E"/>
    <w:rsid w:val="00B116AC"/>
    <w:rsid w:val="00B17273"/>
    <w:rsid w:val="00B17590"/>
    <w:rsid w:val="00B179B3"/>
    <w:rsid w:val="00B205A6"/>
    <w:rsid w:val="00B205B5"/>
    <w:rsid w:val="00B32A03"/>
    <w:rsid w:val="00B34E61"/>
    <w:rsid w:val="00B403B9"/>
    <w:rsid w:val="00B45097"/>
    <w:rsid w:val="00B45A4E"/>
    <w:rsid w:val="00B635EC"/>
    <w:rsid w:val="00B63905"/>
    <w:rsid w:val="00B65932"/>
    <w:rsid w:val="00B67098"/>
    <w:rsid w:val="00B75B84"/>
    <w:rsid w:val="00B80BA8"/>
    <w:rsid w:val="00B82649"/>
    <w:rsid w:val="00B84D5D"/>
    <w:rsid w:val="00B91314"/>
    <w:rsid w:val="00B9424F"/>
    <w:rsid w:val="00B94447"/>
    <w:rsid w:val="00B947C6"/>
    <w:rsid w:val="00B94F51"/>
    <w:rsid w:val="00BB7CE0"/>
    <w:rsid w:val="00BC0615"/>
    <w:rsid w:val="00BC6332"/>
    <w:rsid w:val="00BC79FE"/>
    <w:rsid w:val="00BC7CB8"/>
    <w:rsid w:val="00BD35CB"/>
    <w:rsid w:val="00BD4E75"/>
    <w:rsid w:val="00BD6322"/>
    <w:rsid w:val="00BD7F80"/>
    <w:rsid w:val="00BE1470"/>
    <w:rsid w:val="00BE2DD3"/>
    <w:rsid w:val="00BE7C0C"/>
    <w:rsid w:val="00BF5438"/>
    <w:rsid w:val="00C13942"/>
    <w:rsid w:val="00C14154"/>
    <w:rsid w:val="00C213EF"/>
    <w:rsid w:val="00C23008"/>
    <w:rsid w:val="00C25C15"/>
    <w:rsid w:val="00C27884"/>
    <w:rsid w:val="00C32F0E"/>
    <w:rsid w:val="00C40ACC"/>
    <w:rsid w:val="00C44CE6"/>
    <w:rsid w:val="00C45BFF"/>
    <w:rsid w:val="00C46649"/>
    <w:rsid w:val="00C509B9"/>
    <w:rsid w:val="00C5315E"/>
    <w:rsid w:val="00C533E2"/>
    <w:rsid w:val="00C53DCA"/>
    <w:rsid w:val="00C6011E"/>
    <w:rsid w:val="00C60BCB"/>
    <w:rsid w:val="00C621A4"/>
    <w:rsid w:val="00C6484B"/>
    <w:rsid w:val="00C66430"/>
    <w:rsid w:val="00C71038"/>
    <w:rsid w:val="00C71BA7"/>
    <w:rsid w:val="00C724F9"/>
    <w:rsid w:val="00C73307"/>
    <w:rsid w:val="00C734AC"/>
    <w:rsid w:val="00C76938"/>
    <w:rsid w:val="00C82DFF"/>
    <w:rsid w:val="00C94D54"/>
    <w:rsid w:val="00CA08DE"/>
    <w:rsid w:val="00CB44CF"/>
    <w:rsid w:val="00CB6062"/>
    <w:rsid w:val="00CB6A6A"/>
    <w:rsid w:val="00CC207E"/>
    <w:rsid w:val="00CC4053"/>
    <w:rsid w:val="00CC5613"/>
    <w:rsid w:val="00CD0299"/>
    <w:rsid w:val="00CD0D01"/>
    <w:rsid w:val="00CD3C45"/>
    <w:rsid w:val="00CD400E"/>
    <w:rsid w:val="00CD5BA5"/>
    <w:rsid w:val="00CD69C7"/>
    <w:rsid w:val="00CE11BD"/>
    <w:rsid w:val="00CF64DA"/>
    <w:rsid w:val="00CF6711"/>
    <w:rsid w:val="00D04771"/>
    <w:rsid w:val="00D11B1F"/>
    <w:rsid w:val="00D11B94"/>
    <w:rsid w:val="00D16459"/>
    <w:rsid w:val="00D36832"/>
    <w:rsid w:val="00D479CD"/>
    <w:rsid w:val="00D53102"/>
    <w:rsid w:val="00D53D13"/>
    <w:rsid w:val="00D64058"/>
    <w:rsid w:val="00D72919"/>
    <w:rsid w:val="00D86896"/>
    <w:rsid w:val="00D86DB7"/>
    <w:rsid w:val="00D97169"/>
    <w:rsid w:val="00DA063C"/>
    <w:rsid w:val="00DA40B8"/>
    <w:rsid w:val="00DA5067"/>
    <w:rsid w:val="00DA5171"/>
    <w:rsid w:val="00DA574F"/>
    <w:rsid w:val="00DA67ED"/>
    <w:rsid w:val="00DC00C7"/>
    <w:rsid w:val="00DC2F6A"/>
    <w:rsid w:val="00DC4A50"/>
    <w:rsid w:val="00DD3735"/>
    <w:rsid w:val="00DD3C0A"/>
    <w:rsid w:val="00DE38E8"/>
    <w:rsid w:val="00DE5FA7"/>
    <w:rsid w:val="00DE70E9"/>
    <w:rsid w:val="00DE7728"/>
    <w:rsid w:val="00DE7774"/>
    <w:rsid w:val="00DF2006"/>
    <w:rsid w:val="00DF2830"/>
    <w:rsid w:val="00E0381D"/>
    <w:rsid w:val="00E04313"/>
    <w:rsid w:val="00E05E5A"/>
    <w:rsid w:val="00E07EA5"/>
    <w:rsid w:val="00E103E9"/>
    <w:rsid w:val="00E137CD"/>
    <w:rsid w:val="00E23745"/>
    <w:rsid w:val="00E238D5"/>
    <w:rsid w:val="00E23C2C"/>
    <w:rsid w:val="00E3596D"/>
    <w:rsid w:val="00E46EE4"/>
    <w:rsid w:val="00E56657"/>
    <w:rsid w:val="00E60398"/>
    <w:rsid w:val="00E628B9"/>
    <w:rsid w:val="00E62D3B"/>
    <w:rsid w:val="00E62F32"/>
    <w:rsid w:val="00E63E04"/>
    <w:rsid w:val="00E80479"/>
    <w:rsid w:val="00E833A0"/>
    <w:rsid w:val="00E8501C"/>
    <w:rsid w:val="00E85B28"/>
    <w:rsid w:val="00E908AC"/>
    <w:rsid w:val="00E92568"/>
    <w:rsid w:val="00E93F44"/>
    <w:rsid w:val="00E94C6C"/>
    <w:rsid w:val="00E94E24"/>
    <w:rsid w:val="00EA0A45"/>
    <w:rsid w:val="00EA14EF"/>
    <w:rsid w:val="00EA42D3"/>
    <w:rsid w:val="00EA4D25"/>
    <w:rsid w:val="00EA5B26"/>
    <w:rsid w:val="00EA7B25"/>
    <w:rsid w:val="00EB42C5"/>
    <w:rsid w:val="00EB483A"/>
    <w:rsid w:val="00EC511C"/>
    <w:rsid w:val="00EC5F06"/>
    <w:rsid w:val="00ED2209"/>
    <w:rsid w:val="00ED525F"/>
    <w:rsid w:val="00EE206B"/>
    <w:rsid w:val="00EE50EE"/>
    <w:rsid w:val="00EF0726"/>
    <w:rsid w:val="00EF0936"/>
    <w:rsid w:val="00EF23FD"/>
    <w:rsid w:val="00F01E7E"/>
    <w:rsid w:val="00F048E2"/>
    <w:rsid w:val="00F12C00"/>
    <w:rsid w:val="00F216EC"/>
    <w:rsid w:val="00F30EB2"/>
    <w:rsid w:val="00F31222"/>
    <w:rsid w:val="00F32001"/>
    <w:rsid w:val="00F32F09"/>
    <w:rsid w:val="00F347D2"/>
    <w:rsid w:val="00F353A4"/>
    <w:rsid w:val="00F41DEF"/>
    <w:rsid w:val="00F46E95"/>
    <w:rsid w:val="00F46EA5"/>
    <w:rsid w:val="00F47C61"/>
    <w:rsid w:val="00F47E69"/>
    <w:rsid w:val="00F540DB"/>
    <w:rsid w:val="00F60D35"/>
    <w:rsid w:val="00F6106B"/>
    <w:rsid w:val="00F6638F"/>
    <w:rsid w:val="00F668BD"/>
    <w:rsid w:val="00F72337"/>
    <w:rsid w:val="00F75F96"/>
    <w:rsid w:val="00F84946"/>
    <w:rsid w:val="00F8551E"/>
    <w:rsid w:val="00F90BF8"/>
    <w:rsid w:val="00F93F0A"/>
    <w:rsid w:val="00F94157"/>
    <w:rsid w:val="00FA1537"/>
    <w:rsid w:val="00FA5170"/>
    <w:rsid w:val="00FA5186"/>
    <w:rsid w:val="00FA5B61"/>
    <w:rsid w:val="00FB6356"/>
    <w:rsid w:val="00FD0E52"/>
    <w:rsid w:val="00FD596B"/>
    <w:rsid w:val="00FD6F9F"/>
    <w:rsid w:val="00FD7683"/>
    <w:rsid w:val="00FE49ED"/>
    <w:rsid w:val="00FE6EB2"/>
    <w:rsid w:val="00FF0448"/>
    <w:rsid w:val="00FF0DB3"/>
    <w:rsid w:val="00FF25F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inenergo.gov.by/wp-content/uploads/32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t.gov.k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52057-9089-4AA5-AF5E-CBC7C419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18</Pages>
  <Words>5142</Words>
  <Characters>29314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Забирова Дидара</cp:lastModifiedBy>
  <cp:revision>43</cp:revision>
  <cp:lastPrinted>2018-09-04T08:39:00Z</cp:lastPrinted>
  <dcterms:created xsi:type="dcterms:W3CDTF">2018-09-04T11:04:00Z</dcterms:created>
  <dcterms:modified xsi:type="dcterms:W3CDTF">2019-03-05T11:42:00Z</dcterms:modified>
</cp:coreProperties>
</file>