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BC7CB8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583E36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АНАЛИЗ РЫНКА ЭЛЕКТРОЭНЕРГИИ КАЗАХСТАНА</w:t>
      </w:r>
    </w:p>
    <w:p w:rsidR="000C3143" w:rsidRPr="00CB6062" w:rsidRDefault="006A4A69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ЯНВАРЬ</w:t>
      </w:r>
      <w:r w:rsidR="00CC4053" w:rsidRPr="00CB6062">
        <w:rPr>
          <w:rFonts w:ascii="Times New Roman" w:hAnsi="Times New Roman" w:cs="Times New Roman"/>
          <w:b/>
          <w:sz w:val="28"/>
        </w:rPr>
        <w:t>-</w:t>
      </w:r>
      <w:r w:rsidR="00C5315E">
        <w:rPr>
          <w:rFonts w:ascii="Times New Roman" w:hAnsi="Times New Roman" w:cs="Times New Roman"/>
          <w:b/>
          <w:sz w:val="28"/>
        </w:rPr>
        <w:t>ИЮЛЬ</w:t>
      </w:r>
      <w:r w:rsidRPr="00CB6062">
        <w:rPr>
          <w:rFonts w:ascii="Times New Roman" w:hAnsi="Times New Roman" w:cs="Times New Roman"/>
          <w:b/>
          <w:sz w:val="28"/>
        </w:rPr>
        <w:t xml:space="preserve"> </w:t>
      </w:r>
      <w:r w:rsidR="000C3143" w:rsidRPr="00CB6062">
        <w:rPr>
          <w:rFonts w:ascii="Times New Roman" w:hAnsi="Times New Roman" w:cs="Times New Roman"/>
          <w:b/>
          <w:sz w:val="28"/>
        </w:rPr>
        <w:t>201</w:t>
      </w:r>
      <w:r w:rsidRPr="00CB6062">
        <w:rPr>
          <w:rFonts w:ascii="Times New Roman" w:hAnsi="Times New Roman" w:cs="Times New Roman"/>
          <w:b/>
          <w:sz w:val="28"/>
        </w:rPr>
        <w:t>8</w:t>
      </w:r>
      <w:r w:rsidR="000C3143" w:rsidRPr="00CB6062">
        <w:rPr>
          <w:rFonts w:ascii="Times New Roman" w:hAnsi="Times New Roman" w:cs="Times New Roman"/>
          <w:b/>
          <w:sz w:val="28"/>
        </w:rPr>
        <w:t xml:space="preserve"> ГОДА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CB6062" w:rsidRDefault="0079495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Ию</w:t>
      </w:r>
      <w:r w:rsidR="00DA574F">
        <w:rPr>
          <w:rFonts w:ascii="Times New Roman" w:hAnsi="Times New Roman" w:cs="Times New Roman"/>
          <w:b/>
          <w:sz w:val="28"/>
        </w:rPr>
        <w:t>л</w:t>
      </w:r>
      <w:r w:rsidRPr="00CB6062">
        <w:rPr>
          <w:rFonts w:ascii="Times New Roman" w:hAnsi="Times New Roman" w:cs="Times New Roman"/>
          <w:b/>
          <w:sz w:val="28"/>
        </w:rPr>
        <w:t>ь</w:t>
      </w:r>
      <w:r w:rsidR="00C6011E" w:rsidRPr="00CB6062">
        <w:rPr>
          <w:rFonts w:ascii="Times New Roman" w:hAnsi="Times New Roman" w:cs="Times New Roman"/>
          <w:b/>
          <w:sz w:val="28"/>
        </w:rPr>
        <w:t>, 2018</w:t>
      </w:r>
      <w:r w:rsidR="000C3143" w:rsidRPr="00CB6062">
        <w:rPr>
          <w:rFonts w:ascii="Times New Roman" w:hAnsi="Times New Roman" w:cs="Times New Roman"/>
          <w:b/>
          <w:sz w:val="28"/>
        </w:rPr>
        <w:t>г.</w:t>
      </w:r>
    </w:p>
    <w:p w:rsidR="000C3143" w:rsidRPr="00CB6062" w:rsidRDefault="000C3143" w:rsidP="00CB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CB6062" w:rsidRDefault="00545712" w:rsidP="00CB6062">
          <w:pPr>
            <w:pStyle w:val="afb"/>
            <w:spacing w:before="0"/>
            <w:rPr>
              <w:rFonts w:ascii="Times New Roman" w:hAnsi="Times New Roman" w:cs="Times New Roman"/>
            </w:rPr>
          </w:pPr>
          <w:r w:rsidRPr="00CB6062">
            <w:rPr>
              <w:rFonts w:ascii="Times New Roman" w:hAnsi="Times New Roman" w:cs="Times New Roman"/>
            </w:rPr>
            <w:t>Оглавление</w:t>
          </w:r>
        </w:p>
        <w:p w:rsidR="00A001EE" w:rsidRDefault="0056275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r w:rsidRPr="00CB6062">
            <w:fldChar w:fldCharType="begin"/>
          </w:r>
          <w:r w:rsidR="00545712" w:rsidRPr="00CB6062">
            <w:instrText xml:space="preserve"> TOC \o "1-3" \h \z \u </w:instrText>
          </w:r>
          <w:r w:rsidRPr="00CB6062">
            <w:fldChar w:fldCharType="separate"/>
          </w:r>
          <w:hyperlink w:anchor="_Toc523843606" w:history="1">
            <w:r w:rsidR="00A001EE" w:rsidRPr="00A217A7">
              <w:rPr>
                <w:rStyle w:val="aa"/>
                <w:b/>
              </w:rPr>
              <w:t xml:space="preserve">РАЗДЕЛ </w:t>
            </w:r>
            <w:r w:rsidR="00A001EE" w:rsidRPr="00A217A7">
              <w:rPr>
                <w:rStyle w:val="aa"/>
                <w:b/>
                <w:lang w:val="en-US"/>
              </w:rPr>
              <w:t>I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_Toc523843606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3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07" w:history="1">
            <w:r w:rsidR="00A001EE" w:rsidRPr="00A217A7">
              <w:rPr>
                <w:rStyle w:val="aa"/>
                <w:b/>
              </w:rPr>
              <w:t>1.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Производство электрической энергии в ЕЭС Казахстана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_Toc523843607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3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08" w:history="1">
            <w:r w:rsidR="00A001EE" w:rsidRPr="00A217A7">
              <w:rPr>
                <w:rStyle w:val="aa"/>
                <w:i/>
              </w:rPr>
              <w:t>Производство электроэнергии по областям РК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_Toc523843608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3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09" w:history="1">
            <w:r w:rsidR="00A001EE" w:rsidRPr="00A217A7">
              <w:rPr>
                <w:rStyle w:val="aa"/>
                <w:i/>
              </w:rPr>
              <w:t>Производство электроэнергии связанной генерацией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_Toc523843609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4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0" w:history="1">
            <w:r w:rsidR="00A001EE" w:rsidRPr="00A217A7">
              <w:rPr>
                <w:rStyle w:val="aa"/>
                <w:i/>
              </w:rPr>
              <w:t>Поставка собственным/сторонним потребителям связанной генерации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_Toc523843610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6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1" w:history="1">
            <w:r w:rsidR="00A001EE" w:rsidRPr="00A217A7">
              <w:rPr>
                <w:rStyle w:val="aa"/>
                <w:b/>
              </w:rPr>
              <w:t>2.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Потребление электрической энергии в ЕЭС Казахстана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_Toc523843611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9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2" w:history="1">
            <w:r w:rsidR="00A001EE" w:rsidRPr="00A217A7">
              <w:rPr>
                <w:rStyle w:val="aa"/>
                <w:i/>
              </w:rPr>
              <w:t>Потребление электрической энергии по зонам и областям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_Toc523843612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9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3" w:history="1">
            <w:r w:rsidR="00A001EE" w:rsidRPr="00A217A7">
              <w:rPr>
                <w:rStyle w:val="aa"/>
                <w:i/>
              </w:rPr>
              <w:t>Итоги работы промышленности за 7 месяцев 2018 года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_Toc523843613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10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4" w:history="1">
            <w:r w:rsidR="00A001EE" w:rsidRPr="00A217A7">
              <w:rPr>
                <w:rStyle w:val="aa"/>
                <w:i/>
              </w:rPr>
              <w:t>Электропотребление крупными потребителями Казахстана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_Toc523843614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11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5" w:history="1">
            <w:r w:rsidR="00A001EE" w:rsidRPr="00A217A7">
              <w:rPr>
                <w:rStyle w:val="aa"/>
                <w:i/>
              </w:rPr>
              <w:t>Электропотребление потребителями связанной генерации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_Toc523843615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12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6" w:history="1">
            <w:r w:rsidR="00A001EE" w:rsidRPr="00A217A7">
              <w:rPr>
                <w:rStyle w:val="aa"/>
                <w:b/>
              </w:rPr>
              <w:t>3.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Уголь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_Toc523843616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13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7" w:history="1">
            <w:r w:rsidR="00A001EE" w:rsidRPr="00A217A7">
              <w:rPr>
                <w:rStyle w:val="aa"/>
                <w:i/>
              </w:rPr>
              <w:t>Добыча энергетического угля в Казахстане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_Toc523843617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13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8" w:history="1">
            <w:r w:rsidR="00A001EE" w:rsidRPr="00A217A7">
              <w:rPr>
                <w:rStyle w:val="aa"/>
                <w:i/>
              </w:rPr>
              <w:t>Добыча угля АО «Самрук-Энерго»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_Toc523843618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13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19" w:history="1">
            <w:r w:rsidR="00A001EE" w:rsidRPr="00A217A7">
              <w:rPr>
                <w:rStyle w:val="aa"/>
                <w:i/>
              </w:rPr>
              <w:t>Реализация угля АО «Самрук-Энерго»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_Toc523843619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13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0" w:history="1">
            <w:r w:rsidR="00A001EE" w:rsidRPr="00A217A7">
              <w:rPr>
                <w:rStyle w:val="aa"/>
                <w:b/>
              </w:rPr>
              <w:t>4.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Возобновляемые источники энергии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_Toc523843620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14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1" w:history="1">
            <w:r w:rsidR="00A001EE" w:rsidRPr="00A217A7">
              <w:rPr>
                <w:rStyle w:val="aa"/>
                <w:b/>
              </w:rPr>
              <w:t>5.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Централизованные торги электроэнергией АО «КОРЭМ»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_Toc523843621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16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2" w:history="1">
            <w:r w:rsidR="00A001EE" w:rsidRPr="00A217A7">
              <w:rPr>
                <w:rStyle w:val="aa"/>
                <w:i/>
              </w:rPr>
              <w:t>Общие итоги торгов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_Toc523843622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16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3" w:history="1">
            <w:r w:rsidR="00A001EE" w:rsidRPr="00A217A7">
              <w:rPr>
                <w:rStyle w:val="aa"/>
                <w:i/>
              </w:rPr>
              <w:t>Итоги спот-торгов в режиме «за день вперед»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_Toc523843623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17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4" w:history="1">
            <w:r w:rsidR="00A001EE" w:rsidRPr="00A217A7">
              <w:rPr>
                <w:rStyle w:val="aa"/>
                <w:i/>
              </w:rPr>
              <w:t>Итоги спот-торгов «в течение операционных суток»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_Toc523843624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18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5" w:history="1">
            <w:r w:rsidR="00A001EE" w:rsidRPr="00A217A7">
              <w:rPr>
                <w:rStyle w:val="aa"/>
                <w:i/>
              </w:rPr>
              <w:t>Итоги торгов на средне- и долгосрочный период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_Toc523843625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18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6" w:history="1">
            <w:r w:rsidR="00A001EE" w:rsidRPr="00A217A7">
              <w:rPr>
                <w:rStyle w:val="aa"/>
                <w:b/>
              </w:rPr>
              <w:t>1.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Экспорт-импорт электрической энергии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_Toc523843626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18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7" w:history="1">
            <w:r w:rsidR="00A001EE" w:rsidRPr="00A217A7">
              <w:rPr>
                <w:rStyle w:val="aa"/>
                <w:b/>
              </w:rPr>
              <w:t>РАЗДЕЛ II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_Toc523843627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19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8" w:history="1">
            <w:r w:rsidR="00A001EE" w:rsidRPr="00A217A7">
              <w:rPr>
                <w:rStyle w:val="aa"/>
                <w:b/>
              </w:rPr>
              <w:t>2.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Обзор законодательства РК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_Toc523843628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19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29" w:history="1">
            <w:r w:rsidR="00A001EE" w:rsidRPr="00A217A7">
              <w:rPr>
                <w:rStyle w:val="aa"/>
                <w:b/>
              </w:rPr>
              <w:t>3.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Статус формирования Общего электроэнергетического рынка Евразийского экономического союза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_Toc523843629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21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30" w:history="1">
            <w:r w:rsidR="00A001EE" w:rsidRPr="00A217A7">
              <w:rPr>
                <w:rStyle w:val="aa"/>
                <w:b/>
              </w:rPr>
              <w:t>4.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Статус формирования Электроэнергетического рынка СНГ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_Toc523843630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24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31" w:history="1">
            <w:r w:rsidR="00A001EE" w:rsidRPr="00A217A7">
              <w:rPr>
                <w:rStyle w:val="aa"/>
                <w:b/>
              </w:rPr>
              <w:t>5.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Статус реализации проекта CASA-1000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_Toc523843631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25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32" w:history="1">
            <w:r w:rsidR="00A001EE" w:rsidRPr="00A217A7">
              <w:rPr>
                <w:rStyle w:val="aa"/>
                <w:b/>
              </w:rPr>
              <w:t>6.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Новости в сфере электроэнергетики РК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_Toc523843632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27</w:t>
            </w:r>
            <w:r w:rsidR="00A001EE">
              <w:rPr>
                <w:webHidden/>
              </w:rPr>
              <w:fldChar w:fldCharType="end"/>
            </w:r>
          </w:hyperlink>
        </w:p>
        <w:p w:rsidR="00A001EE" w:rsidRDefault="000D0261">
          <w:pPr>
            <w:pStyle w:val="11"/>
            <w:rPr>
              <w:rFonts w:asciiTheme="minorHAnsi" w:hAnsiTheme="minorHAnsi" w:cstheme="minorBidi"/>
              <w:sz w:val="22"/>
              <w:szCs w:val="22"/>
              <w:lang w:eastAsia="ru-RU"/>
            </w:rPr>
          </w:pPr>
          <w:hyperlink w:anchor="_Toc523843633" w:history="1">
            <w:r w:rsidR="00A001EE" w:rsidRPr="00A217A7">
              <w:rPr>
                <w:rStyle w:val="aa"/>
                <w:b/>
              </w:rPr>
              <w:t>7.</w:t>
            </w:r>
            <w:r w:rsidR="00A001EE">
              <w:rPr>
                <w:rFonts w:asciiTheme="minorHAnsi" w:hAnsiTheme="minorHAnsi" w:cstheme="minorBidi"/>
                <w:sz w:val="22"/>
                <w:szCs w:val="22"/>
                <w:lang w:eastAsia="ru-RU"/>
              </w:rPr>
              <w:tab/>
            </w:r>
            <w:r w:rsidR="00A001EE" w:rsidRPr="00A217A7">
              <w:rPr>
                <w:rStyle w:val="aa"/>
                <w:b/>
              </w:rPr>
              <w:t>Обзор СМИ в странах СНГ</w:t>
            </w:r>
            <w:r w:rsidR="00A001EE">
              <w:rPr>
                <w:webHidden/>
              </w:rPr>
              <w:tab/>
            </w:r>
            <w:r w:rsidR="00A001EE">
              <w:rPr>
                <w:webHidden/>
              </w:rPr>
              <w:fldChar w:fldCharType="begin"/>
            </w:r>
            <w:r w:rsidR="00A001EE">
              <w:rPr>
                <w:webHidden/>
              </w:rPr>
              <w:instrText xml:space="preserve"> PAGEREF _Toc523843633 \h </w:instrText>
            </w:r>
            <w:r w:rsidR="00A001EE">
              <w:rPr>
                <w:webHidden/>
              </w:rPr>
            </w:r>
            <w:r w:rsidR="00A001EE">
              <w:rPr>
                <w:webHidden/>
              </w:rPr>
              <w:fldChar w:fldCharType="separate"/>
            </w:r>
            <w:r w:rsidR="00A001EE">
              <w:rPr>
                <w:webHidden/>
              </w:rPr>
              <w:t>27</w:t>
            </w:r>
            <w:r w:rsidR="00A001EE">
              <w:rPr>
                <w:webHidden/>
              </w:rPr>
              <w:fldChar w:fldCharType="end"/>
            </w:r>
          </w:hyperlink>
        </w:p>
        <w:p w:rsidR="00545712" w:rsidRPr="00CB6062" w:rsidRDefault="00562751" w:rsidP="00CB6062">
          <w:pPr>
            <w:spacing w:after="0"/>
            <w:rPr>
              <w:rFonts w:ascii="Times New Roman" w:hAnsi="Times New Roman" w:cs="Times New Roman"/>
            </w:rPr>
          </w:pPr>
          <w:r w:rsidRPr="00CB6062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CB6062" w:rsidRDefault="00995E50" w:rsidP="00CB6062">
      <w:pPr>
        <w:pStyle w:val="11"/>
        <w:spacing w:before="0"/>
        <w:rPr>
          <w:lang w:val="en-US"/>
        </w:rPr>
      </w:pPr>
    </w:p>
    <w:p w:rsidR="001D295E" w:rsidRPr="00CB6062" w:rsidRDefault="001D295E" w:rsidP="00CB6062">
      <w:pPr>
        <w:spacing w:after="0" w:line="240" w:lineRule="auto"/>
        <w:rPr>
          <w:lang w:val="en-US"/>
        </w:rPr>
      </w:pPr>
    </w:p>
    <w:p w:rsidR="00F47C61" w:rsidRPr="00CB6062" w:rsidRDefault="00F47C61" w:rsidP="00CB6062">
      <w:pPr>
        <w:spacing w:after="0" w:line="240" w:lineRule="auto"/>
        <w:rPr>
          <w:lang w:val="en-US"/>
        </w:rPr>
      </w:pPr>
    </w:p>
    <w:p w:rsidR="00F47C61" w:rsidRPr="00CB6062" w:rsidRDefault="00F47C61" w:rsidP="00CB6062">
      <w:pPr>
        <w:spacing w:after="0" w:line="240" w:lineRule="auto"/>
        <w:rPr>
          <w:lang w:val="en-US"/>
        </w:rPr>
      </w:pPr>
    </w:p>
    <w:p w:rsidR="00633669" w:rsidRPr="00CB6062" w:rsidRDefault="00633669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CB6062" w:rsidP="00CB6062">
      <w:pPr>
        <w:spacing w:after="0" w:line="240" w:lineRule="auto"/>
        <w:rPr>
          <w:lang w:val="en-US"/>
        </w:rPr>
      </w:pPr>
    </w:p>
    <w:p w:rsidR="00CB6062" w:rsidRPr="00CB6062" w:rsidRDefault="00B94F51" w:rsidP="00CB6062">
      <w:pPr>
        <w:pStyle w:val="1"/>
        <w:spacing w:before="0" w:line="240" w:lineRule="auto"/>
        <w:rPr>
          <w:rFonts w:ascii="Times New Roman" w:hAnsi="Times New Roman" w:cs="Times New Roman"/>
          <w:b/>
          <w:lang w:val="en-US"/>
        </w:rPr>
      </w:pPr>
      <w:bookmarkStart w:id="0" w:name="_Toc523843606"/>
      <w:r w:rsidRPr="00CB6062">
        <w:rPr>
          <w:rFonts w:ascii="Times New Roman" w:hAnsi="Times New Roman" w:cs="Times New Roman"/>
          <w:b/>
        </w:rPr>
        <w:lastRenderedPageBreak/>
        <w:t xml:space="preserve">РАЗДЕЛ </w:t>
      </w:r>
      <w:r w:rsidR="00CB6062" w:rsidRPr="00CB6062">
        <w:rPr>
          <w:rFonts w:ascii="Times New Roman" w:hAnsi="Times New Roman" w:cs="Times New Roman"/>
          <w:b/>
          <w:lang w:val="en-US"/>
        </w:rPr>
        <w:t>I</w:t>
      </w:r>
      <w:bookmarkEnd w:id="0"/>
    </w:p>
    <w:p w:rsidR="00682876" w:rsidRPr="00CB606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" w:name="_Toc523843607"/>
      <w:r w:rsidRPr="00CB6062">
        <w:rPr>
          <w:rFonts w:ascii="Times New Roman" w:hAnsi="Times New Roman" w:cs="Times New Roman"/>
          <w:b/>
        </w:rPr>
        <w:t>Производство электрической энергии в ЕЭС Казахстана</w:t>
      </w:r>
      <w:bookmarkEnd w:id="1"/>
    </w:p>
    <w:p w:rsidR="00F31222" w:rsidRPr="00CB6062" w:rsidRDefault="00F31222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BE2DD3" w:rsidRPr="00CB6062" w:rsidRDefault="00312A1E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По данным Системного оператора э</w:t>
      </w:r>
      <w:r w:rsidR="00BE2DD3" w:rsidRPr="00CB6062">
        <w:rPr>
          <w:rFonts w:ascii="Times New Roman" w:hAnsi="Times New Roman" w:cs="Times New Roman"/>
          <w:sz w:val="28"/>
        </w:rPr>
        <w:t xml:space="preserve">лектростанциями РК </w:t>
      </w:r>
      <w:r w:rsidR="006423D3" w:rsidRPr="00CB6062">
        <w:rPr>
          <w:rFonts w:ascii="Times New Roman" w:hAnsi="Times New Roman" w:cs="Times New Roman"/>
          <w:sz w:val="28"/>
        </w:rPr>
        <w:t>в</w:t>
      </w:r>
      <w:r w:rsidR="00BE2DD3" w:rsidRPr="00CB6062">
        <w:rPr>
          <w:rFonts w:ascii="Times New Roman" w:hAnsi="Times New Roman" w:cs="Times New Roman"/>
          <w:sz w:val="28"/>
        </w:rPr>
        <w:t xml:space="preserve"> </w:t>
      </w:r>
      <w:r w:rsidR="00AD38CB" w:rsidRPr="00CB6062">
        <w:rPr>
          <w:rFonts w:ascii="Times New Roman" w:hAnsi="Times New Roman" w:cs="Times New Roman"/>
          <w:sz w:val="28"/>
        </w:rPr>
        <w:t>январе</w:t>
      </w:r>
      <w:r w:rsidR="00CC4053" w:rsidRPr="00CB6062">
        <w:rPr>
          <w:rFonts w:ascii="Times New Roman" w:hAnsi="Times New Roman" w:cs="Times New Roman"/>
          <w:sz w:val="28"/>
        </w:rPr>
        <w:t>-</w:t>
      </w:r>
      <w:r w:rsidR="00D16459" w:rsidRPr="00CB6062">
        <w:rPr>
          <w:rFonts w:ascii="Times New Roman" w:hAnsi="Times New Roman" w:cs="Times New Roman"/>
          <w:sz w:val="28"/>
        </w:rPr>
        <w:t>июле</w:t>
      </w:r>
      <w:r w:rsidR="00AD38CB" w:rsidRPr="00CB6062">
        <w:rPr>
          <w:rFonts w:ascii="Times New Roman" w:hAnsi="Times New Roman" w:cs="Times New Roman"/>
          <w:sz w:val="28"/>
        </w:rPr>
        <w:t xml:space="preserve"> </w:t>
      </w:r>
      <w:r w:rsidR="00BE2DD3" w:rsidRPr="00CB6062">
        <w:rPr>
          <w:rFonts w:ascii="Times New Roman" w:hAnsi="Times New Roman" w:cs="Times New Roman"/>
          <w:sz w:val="28"/>
        </w:rPr>
        <w:t>201</w:t>
      </w:r>
      <w:r w:rsidR="00AD38CB" w:rsidRPr="00CB6062">
        <w:rPr>
          <w:rFonts w:ascii="Times New Roman" w:hAnsi="Times New Roman" w:cs="Times New Roman"/>
          <w:sz w:val="28"/>
        </w:rPr>
        <w:t>8</w:t>
      </w:r>
      <w:r w:rsidR="00BE2DD3" w:rsidRPr="00CB6062">
        <w:rPr>
          <w:rFonts w:ascii="Times New Roman" w:hAnsi="Times New Roman" w:cs="Times New Roman"/>
          <w:sz w:val="28"/>
        </w:rPr>
        <w:t xml:space="preserve"> год</w:t>
      </w:r>
      <w:r w:rsidR="00AD38CB" w:rsidRPr="00CB6062">
        <w:rPr>
          <w:rFonts w:ascii="Times New Roman" w:hAnsi="Times New Roman" w:cs="Times New Roman"/>
          <w:sz w:val="28"/>
        </w:rPr>
        <w:t>а</w:t>
      </w:r>
      <w:r w:rsidR="00BE2DD3" w:rsidRPr="00CB6062">
        <w:rPr>
          <w:rFonts w:ascii="Times New Roman" w:hAnsi="Times New Roman" w:cs="Times New Roman"/>
          <w:sz w:val="28"/>
        </w:rPr>
        <w:t xml:space="preserve"> было выработано </w:t>
      </w:r>
      <w:r w:rsidR="00D16459" w:rsidRPr="00CB6062">
        <w:rPr>
          <w:rFonts w:ascii="Times New Roman" w:hAnsi="Times New Roman" w:cs="Times New Roman"/>
          <w:sz w:val="28"/>
        </w:rPr>
        <w:t>63 242,3</w:t>
      </w:r>
      <w:r w:rsidR="006423D3" w:rsidRPr="00CB6062">
        <w:rPr>
          <w:rFonts w:ascii="Times New Roman" w:hAnsi="Times New Roman" w:cs="Times New Roman"/>
          <w:b/>
          <w:sz w:val="28"/>
        </w:rPr>
        <w:t xml:space="preserve"> </w:t>
      </w:r>
      <w:r w:rsidR="00BE2DD3" w:rsidRPr="00CB6062">
        <w:rPr>
          <w:rFonts w:ascii="Times New Roman" w:hAnsi="Times New Roman" w:cs="Times New Roman"/>
          <w:sz w:val="28"/>
        </w:rPr>
        <w:t>мл</w:t>
      </w:r>
      <w:r w:rsidR="006808D0" w:rsidRPr="00CB6062">
        <w:rPr>
          <w:rFonts w:ascii="Times New Roman" w:hAnsi="Times New Roman" w:cs="Times New Roman"/>
          <w:sz w:val="28"/>
        </w:rPr>
        <w:t>н</w:t>
      </w:r>
      <w:r w:rsidR="00BE2DD3" w:rsidRPr="00CB6062">
        <w:rPr>
          <w:rFonts w:ascii="Times New Roman" w:hAnsi="Times New Roman" w:cs="Times New Roman"/>
          <w:sz w:val="28"/>
        </w:rPr>
        <w:t xml:space="preserve">. кВтч электроэнергии, что на </w:t>
      </w:r>
      <w:r w:rsidR="00AE458B" w:rsidRPr="00CB6062">
        <w:rPr>
          <w:rFonts w:ascii="Times New Roman" w:hAnsi="Times New Roman" w:cs="Times New Roman"/>
          <w:sz w:val="28"/>
        </w:rPr>
        <w:t>7,4</w:t>
      </w:r>
      <w:r w:rsidR="00BE2DD3" w:rsidRPr="00CB6062">
        <w:rPr>
          <w:rFonts w:ascii="Times New Roman" w:hAnsi="Times New Roman" w:cs="Times New Roman"/>
          <w:sz w:val="28"/>
        </w:rPr>
        <w:t>% больше аналогичного периода 201</w:t>
      </w:r>
      <w:r w:rsidR="00AD38CB" w:rsidRPr="00CB6062">
        <w:rPr>
          <w:rFonts w:ascii="Times New Roman" w:hAnsi="Times New Roman" w:cs="Times New Roman"/>
          <w:sz w:val="28"/>
        </w:rPr>
        <w:t>7</w:t>
      </w:r>
      <w:r w:rsidR="00BE2DD3" w:rsidRPr="00CB6062">
        <w:rPr>
          <w:rFonts w:ascii="Times New Roman" w:hAnsi="Times New Roman" w:cs="Times New Roman"/>
          <w:sz w:val="28"/>
        </w:rPr>
        <w:t xml:space="preserve"> года. </w:t>
      </w:r>
      <w:r w:rsidR="0053588D" w:rsidRPr="00CB6062">
        <w:rPr>
          <w:rFonts w:ascii="Times New Roman" w:hAnsi="Times New Roman" w:cs="Times New Roman"/>
          <w:sz w:val="28"/>
        </w:rPr>
        <w:t>Р</w:t>
      </w:r>
      <w:r w:rsidR="00BE2DD3" w:rsidRPr="00CB6062">
        <w:rPr>
          <w:rFonts w:ascii="Times New Roman" w:hAnsi="Times New Roman" w:cs="Times New Roman"/>
          <w:sz w:val="28"/>
        </w:rPr>
        <w:t xml:space="preserve">ост выработки </w:t>
      </w:r>
      <w:r w:rsidR="00AD38CB" w:rsidRPr="00CB6062">
        <w:rPr>
          <w:rFonts w:ascii="Times New Roman" w:hAnsi="Times New Roman" w:cs="Times New Roman"/>
          <w:sz w:val="28"/>
        </w:rPr>
        <w:t>наблюдался во</w:t>
      </w:r>
      <w:r w:rsidR="00BE2DD3" w:rsidRPr="00CB6062">
        <w:rPr>
          <w:rFonts w:ascii="Times New Roman" w:hAnsi="Times New Roman" w:cs="Times New Roman"/>
          <w:sz w:val="28"/>
        </w:rPr>
        <w:t xml:space="preserve"> </w:t>
      </w:r>
      <w:r w:rsidR="00AD38CB" w:rsidRPr="00CB6062">
        <w:rPr>
          <w:rFonts w:ascii="Times New Roman" w:hAnsi="Times New Roman" w:cs="Times New Roman"/>
          <w:sz w:val="28"/>
        </w:rPr>
        <w:t xml:space="preserve">всех зонах ЕЭС Казахстана: </w:t>
      </w:r>
      <w:r w:rsidR="00BE2DD3" w:rsidRPr="00CB6062">
        <w:rPr>
          <w:rFonts w:ascii="Times New Roman" w:hAnsi="Times New Roman" w:cs="Times New Roman"/>
          <w:sz w:val="28"/>
        </w:rPr>
        <w:t>Северной</w:t>
      </w:r>
      <w:r w:rsidR="00AD38CB" w:rsidRPr="00CB6062">
        <w:rPr>
          <w:rFonts w:ascii="Times New Roman" w:hAnsi="Times New Roman" w:cs="Times New Roman"/>
          <w:sz w:val="28"/>
        </w:rPr>
        <w:t>, Южной и</w:t>
      </w:r>
      <w:r w:rsidR="00BE2DD3" w:rsidRPr="00CB6062">
        <w:rPr>
          <w:rFonts w:ascii="Times New Roman" w:hAnsi="Times New Roman" w:cs="Times New Roman"/>
          <w:sz w:val="28"/>
        </w:rPr>
        <w:t xml:space="preserve"> Западной.</w:t>
      </w:r>
    </w:p>
    <w:p w:rsidR="001447DB" w:rsidRPr="00CB6062" w:rsidRDefault="001447DB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</w:t>
      </w:r>
      <w:r w:rsidR="00582144" w:rsidRPr="00CB6062">
        <w:rPr>
          <w:rFonts w:ascii="Times New Roman" w:hAnsi="Times New Roman" w:cs="Times New Roman"/>
          <w:i/>
          <w:sz w:val="24"/>
        </w:rPr>
        <w:t>н</w:t>
      </w:r>
      <w:r w:rsidRPr="00CB6062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50" w:type="dxa"/>
        <w:tblLook w:val="04A0" w:firstRow="1" w:lastRow="0" w:firstColumn="1" w:lastColumn="0" w:noHBand="0" w:noVBand="1"/>
      </w:tblPr>
      <w:tblGrid>
        <w:gridCol w:w="2036"/>
        <w:gridCol w:w="2569"/>
        <w:gridCol w:w="1693"/>
        <w:gridCol w:w="1748"/>
        <w:gridCol w:w="1904"/>
      </w:tblGrid>
      <w:tr w:rsidR="008D1FF5" w:rsidRPr="00CB6062" w:rsidTr="008D1FF5">
        <w:trPr>
          <w:trHeight w:val="60"/>
        </w:trPr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D16459"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8D1FF5" w:rsidRPr="00CB6062" w:rsidTr="008D1FF5">
        <w:trPr>
          <w:trHeight w:val="319"/>
        </w:trPr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CB6062" w:rsidRDefault="008D1FF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CB6062" w:rsidRDefault="008D1FF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CB6062" w:rsidRDefault="008D1FF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58864,2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63242,3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</w:t>
            </w:r>
            <w:r w:rsidR="00D16459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46571,7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51116,6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9,8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4826,2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5341,5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10,7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7221,6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6485,4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-10,2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190,5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18,0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D16459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36,7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45285,3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48791,2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</w:t>
            </w:r>
            <w:r w:rsidR="00FD7683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38514,7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42515,7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10,4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1757,2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1739,2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-1,0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4908,2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4438,5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-9,6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FD7683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-7,0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6488,0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6639,2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2,3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3975,4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4267,1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7,3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6636EE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6636EE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2313,4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2046,9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-1</w:t>
            </w:r>
            <w:r w:rsidR="006636EE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6636EE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48,8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E7728" w:rsidRPr="00CB6062" w:rsidTr="000F6A36">
        <w:trPr>
          <w:trHeight w:val="319"/>
        </w:trPr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7728" w:rsidRPr="00CB6062" w:rsidRDefault="00DE7728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DE7728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7728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34,1</w:t>
            </w:r>
            <w:r w:rsidR="00DE7728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636EE" w:rsidRPr="00CB6062" w:rsidTr="00770E28">
        <w:trPr>
          <w:trHeight w:val="319"/>
        </w:trPr>
        <w:tc>
          <w:tcPr>
            <w:tcW w:w="20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636EE" w:rsidRPr="00CB6062" w:rsidRDefault="006636E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7090,9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7811,9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10,2%</w:t>
            </w:r>
          </w:p>
        </w:tc>
      </w:tr>
      <w:tr w:rsidR="006636EE" w:rsidRPr="00CB6062" w:rsidTr="006636EE">
        <w:trPr>
          <w:trHeight w:val="319"/>
        </w:trPr>
        <w:tc>
          <w:tcPr>
            <w:tcW w:w="20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36EE" w:rsidRPr="00CB6062" w:rsidRDefault="006636E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4081,6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4333,8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6,2%</w:t>
            </w:r>
          </w:p>
        </w:tc>
      </w:tr>
      <w:tr w:rsidR="006636EE" w:rsidRPr="00CB6062" w:rsidTr="006636EE">
        <w:trPr>
          <w:trHeight w:val="319"/>
        </w:trPr>
        <w:tc>
          <w:tcPr>
            <w:tcW w:w="203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6636EE" w:rsidRPr="00CB6062" w:rsidRDefault="006636E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3009,3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3476,7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36EE" w:rsidRPr="00CB6062" w:rsidRDefault="00AE458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15,5</w:t>
            </w:r>
            <w:r w:rsidR="006636EE"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6636EE" w:rsidRPr="00CB6062" w:rsidTr="006636EE">
        <w:trPr>
          <w:trHeight w:val="319"/>
        </w:trPr>
        <w:tc>
          <w:tcPr>
            <w:tcW w:w="2036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636EE" w:rsidRPr="00CB6062" w:rsidRDefault="006636E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36EE" w:rsidRPr="00CB6062" w:rsidRDefault="006636EE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CB6062" w:rsidRPr="00CB6062" w:rsidRDefault="00CB6062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682876" w:rsidRPr="00CB6062" w:rsidRDefault="00682876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523843608"/>
      <w:r w:rsidRPr="00CB6062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CB6062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2"/>
    </w:p>
    <w:p w:rsidR="003B36BC" w:rsidRPr="00CB6062" w:rsidRDefault="00EC511C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</w:t>
      </w:r>
      <w:r w:rsidR="00147887" w:rsidRPr="00CB6062">
        <w:rPr>
          <w:rFonts w:ascii="Times New Roman" w:hAnsi="Times New Roman" w:cs="Times New Roman"/>
          <w:sz w:val="28"/>
        </w:rPr>
        <w:t xml:space="preserve"> </w:t>
      </w:r>
      <w:r w:rsidR="00AD38CB" w:rsidRPr="00CB6062">
        <w:rPr>
          <w:rFonts w:ascii="Times New Roman" w:hAnsi="Times New Roman" w:cs="Times New Roman"/>
          <w:sz w:val="28"/>
        </w:rPr>
        <w:t>январе</w:t>
      </w:r>
      <w:r w:rsidR="00CC4053" w:rsidRPr="00CB6062">
        <w:rPr>
          <w:rFonts w:ascii="Times New Roman" w:hAnsi="Times New Roman" w:cs="Times New Roman"/>
          <w:sz w:val="28"/>
        </w:rPr>
        <w:t>-</w:t>
      </w:r>
      <w:r w:rsidR="00AE458B" w:rsidRPr="00CB6062">
        <w:rPr>
          <w:rFonts w:ascii="Times New Roman" w:hAnsi="Times New Roman" w:cs="Times New Roman"/>
          <w:sz w:val="28"/>
        </w:rPr>
        <w:t>июле</w:t>
      </w:r>
      <w:r w:rsidR="00AD38CB" w:rsidRPr="00CB6062">
        <w:rPr>
          <w:rFonts w:ascii="Times New Roman" w:hAnsi="Times New Roman" w:cs="Times New Roman"/>
          <w:sz w:val="28"/>
        </w:rPr>
        <w:t xml:space="preserve"> 2018</w:t>
      </w:r>
      <w:r w:rsidR="00147887" w:rsidRPr="00CB6062">
        <w:rPr>
          <w:rFonts w:ascii="Times New Roman" w:hAnsi="Times New Roman" w:cs="Times New Roman"/>
          <w:sz w:val="28"/>
        </w:rPr>
        <w:t xml:space="preserve"> год</w:t>
      </w:r>
      <w:r w:rsidR="00AD38CB" w:rsidRPr="00CB6062">
        <w:rPr>
          <w:rFonts w:ascii="Times New Roman" w:hAnsi="Times New Roman" w:cs="Times New Roman"/>
          <w:sz w:val="28"/>
        </w:rPr>
        <w:t>а</w:t>
      </w:r>
      <w:r w:rsidR="00147887" w:rsidRPr="00CB6062">
        <w:rPr>
          <w:rFonts w:ascii="Times New Roman" w:hAnsi="Times New Roman" w:cs="Times New Roman"/>
          <w:sz w:val="28"/>
        </w:rPr>
        <w:t xml:space="preserve"> </w:t>
      </w:r>
      <w:r w:rsidR="00AD38CB" w:rsidRPr="00CB6062">
        <w:rPr>
          <w:rFonts w:ascii="Times New Roman" w:hAnsi="Times New Roman" w:cs="Times New Roman"/>
          <w:sz w:val="28"/>
        </w:rPr>
        <w:t xml:space="preserve">по сравнению с аналогичным периодом 2017 года </w:t>
      </w:r>
      <w:r w:rsidR="00147887" w:rsidRPr="00CB6062">
        <w:rPr>
          <w:rFonts w:ascii="Times New Roman" w:hAnsi="Times New Roman" w:cs="Times New Roman"/>
          <w:sz w:val="28"/>
        </w:rPr>
        <w:t xml:space="preserve">производство электроэнергии </w:t>
      </w:r>
      <w:r w:rsidR="008373DC" w:rsidRPr="00CB6062">
        <w:rPr>
          <w:rFonts w:ascii="Times New Roman" w:hAnsi="Times New Roman" w:cs="Times New Roman"/>
          <w:sz w:val="28"/>
        </w:rPr>
        <w:t xml:space="preserve">значительно </w:t>
      </w:r>
      <w:r w:rsidR="00147887" w:rsidRPr="00CB6062">
        <w:rPr>
          <w:rFonts w:ascii="Times New Roman" w:hAnsi="Times New Roman" w:cs="Times New Roman"/>
          <w:sz w:val="28"/>
        </w:rPr>
        <w:t>увеличилось</w:t>
      </w:r>
      <w:r w:rsidR="008373DC" w:rsidRPr="00CB6062">
        <w:rPr>
          <w:rFonts w:ascii="Times New Roman" w:hAnsi="Times New Roman" w:cs="Times New Roman"/>
          <w:sz w:val="28"/>
        </w:rPr>
        <w:t xml:space="preserve"> (рост </w:t>
      </w:r>
      <w:r w:rsidR="00AD38CB" w:rsidRPr="00CB6062">
        <w:rPr>
          <w:rFonts w:ascii="Times New Roman" w:hAnsi="Times New Roman" w:cs="Times New Roman"/>
          <w:sz w:val="28"/>
        </w:rPr>
        <w:t>20% и выше</w:t>
      </w:r>
      <w:r w:rsidR="008373DC" w:rsidRPr="00CB6062">
        <w:rPr>
          <w:rFonts w:ascii="Times New Roman" w:hAnsi="Times New Roman" w:cs="Times New Roman"/>
          <w:sz w:val="28"/>
        </w:rPr>
        <w:t>)</w:t>
      </w:r>
      <w:r w:rsidR="00147887" w:rsidRPr="00CB6062">
        <w:rPr>
          <w:rFonts w:ascii="Times New Roman" w:hAnsi="Times New Roman" w:cs="Times New Roman"/>
          <w:sz w:val="28"/>
        </w:rPr>
        <w:t xml:space="preserve"> в</w:t>
      </w:r>
      <w:r w:rsidR="00AD38CB" w:rsidRPr="00CB6062">
        <w:rPr>
          <w:rFonts w:ascii="Times New Roman" w:hAnsi="Times New Roman" w:cs="Times New Roman"/>
          <w:sz w:val="28"/>
        </w:rPr>
        <w:t xml:space="preserve"> </w:t>
      </w:r>
      <w:r w:rsidR="00306B17" w:rsidRPr="00CB6062">
        <w:rPr>
          <w:rFonts w:ascii="Times New Roman" w:hAnsi="Times New Roman" w:cs="Times New Roman"/>
          <w:sz w:val="28"/>
        </w:rPr>
        <w:t>Кызылординской</w:t>
      </w:r>
      <w:r w:rsidR="00AD38CB" w:rsidRPr="00CB6062">
        <w:rPr>
          <w:rFonts w:ascii="Times New Roman" w:hAnsi="Times New Roman" w:cs="Times New Roman"/>
          <w:sz w:val="28"/>
        </w:rPr>
        <w:t xml:space="preserve"> и Южно-Казахстанской </w:t>
      </w:r>
      <w:r w:rsidR="008373DC" w:rsidRPr="00CB6062">
        <w:rPr>
          <w:rFonts w:ascii="Times New Roman" w:hAnsi="Times New Roman" w:cs="Times New Roman"/>
          <w:sz w:val="28"/>
        </w:rPr>
        <w:t>областях.</w:t>
      </w:r>
      <w:r w:rsidR="00147887" w:rsidRPr="00CB6062">
        <w:rPr>
          <w:rFonts w:ascii="Times New Roman" w:hAnsi="Times New Roman" w:cs="Times New Roman"/>
          <w:sz w:val="28"/>
        </w:rPr>
        <w:t xml:space="preserve"> </w:t>
      </w:r>
      <w:r w:rsidR="00836632" w:rsidRPr="00CB6062">
        <w:rPr>
          <w:rFonts w:ascii="Times New Roman" w:hAnsi="Times New Roman" w:cs="Times New Roman"/>
          <w:sz w:val="28"/>
        </w:rPr>
        <w:t>В то же время, с</w:t>
      </w:r>
      <w:r w:rsidR="008373DC" w:rsidRPr="00CB6062">
        <w:rPr>
          <w:rFonts w:ascii="Times New Roman" w:hAnsi="Times New Roman" w:cs="Times New Roman"/>
          <w:sz w:val="28"/>
        </w:rPr>
        <w:t>нижение производства электроэнергии наблюдалось</w:t>
      </w:r>
      <w:r w:rsidR="00147887" w:rsidRPr="00CB6062">
        <w:rPr>
          <w:rFonts w:ascii="Times New Roman" w:hAnsi="Times New Roman" w:cs="Times New Roman"/>
          <w:sz w:val="28"/>
        </w:rPr>
        <w:t xml:space="preserve"> в </w:t>
      </w:r>
      <w:r w:rsidR="00DE7728" w:rsidRPr="00CB6062">
        <w:rPr>
          <w:rFonts w:ascii="Times New Roman" w:hAnsi="Times New Roman" w:cs="Times New Roman"/>
          <w:sz w:val="28"/>
        </w:rPr>
        <w:t xml:space="preserve">Алматинской, </w:t>
      </w:r>
      <w:r w:rsidR="00836632" w:rsidRPr="00CB6062">
        <w:rPr>
          <w:rFonts w:ascii="Times New Roman" w:hAnsi="Times New Roman" w:cs="Times New Roman"/>
          <w:sz w:val="28"/>
        </w:rPr>
        <w:t xml:space="preserve">Восточно-Казахстанской, </w:t>
      </w:r>
      <w:r w:rsidR="00CD69C7" w:rsidRPr="00CB6062">
        <w:rPr>
          <w:rFonts w:ascii="Times New Roman" w:hAnsi="Times New Roman" w:cs="Times New Roman"/>
          <w:sz w:val="28"/>
        </w:rPr>
        <w:t xml:space="preserve">Жамбылской, </w:t>
      </w:r>
      <w:r w:rsidR="00282C14" w:rsidRPr="00CB6062">
        <w:rPr>
          <w:rFonts w:ascii="Times New Roman" w:hAnsi="Times New Roman" w:cs="Times New Roman"/>
          <w:sz w:val="28"/>
        </w:rPr>
        <w:t xml:space="preserve">Карагандинской, </w:t>
      </w:r>
      <w:r w:rsidR="00836632" w:rsidRPr="00CB6062">
        <w:rPr>
          <w:rFonts w:ascii="Times New Roman" w:hAnsi="Times New Roman" w:cs="Times New Roman"/>
          <w:sz w:val="28"/>
        </w:rPr>
        <w:t>Костанайской и Северо-Казахстанской</w:t>
      </w:r>
      <w:r w:rsidR="005642B7" w:rsidRPr="00CB6062">
        <w:rPr>
          <w:rFonts w:ascii="Times New Roman" w:hAnsi="Times New Roman" w:cs="Times New Roman"/>
          <w:sz w:val="28"/>
        </w:rPr>
        <w:t xml:space="preserve"> областях. </w:t>
      </w:r>
    </w:p>
    <w:p w:rsidR="009B7719" w:rsidRPr="00CB6062" w:rsidRDefault="009B7719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</w:t>
      </w:r>
      <w:r w:rsidR="00582144" w:rsidRPr="00CB6062">
        <w:rPr>
          <w:rFonts w:ascii="Times New Roman" w:hAnsi="Times New Roman" w:cs="Times New Roman"/>
          <w:i/>
          <w:sz w:val="24"/>
        </w:rPr>
        <w:t>н</w:t>
      </w:r>
      <w:r w:rsidRPr="00CB6062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2" w:type="dxa"/>
        <w:tblLook w:val="04A0" w:firstRow="1" w:lastRow="0" w:firstColumn="1" w:lastColumn="0" w:noHBand="0" w:noVBand="1"/>
      </w:tblPr>
      <w:tblGrid>
        <w:gridCol w:w="1104"/>
        <w:gridCol w:w="3195"/>
        <w:gridCol w:w="1851"/>
        <w:gridCol w:w="1851"/>
        <w:gridCol w:w="1911"/>
      </w:tblGrid>
      <w:tr w:rsidR="008D1FF5" w:rsidRPr="00CB6062" w:rsidTr="008D1FF5">
        <w:trPr>
          <w:trHeight w:val="173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</w:t>
            </w:r>
            <w:r w:rsidR="00AE458B"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8D1FF5" w:rsidRPr="00CB6062" w:rsidTr="008D1FF5">
        <w:trPr>
          <w:trHeight w:val="60"/>
        </w:trPr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CB6062" w:rsidRDefault="008D1FF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CB6062" w:rsidRDefault="008D1FF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1FF5" w:rsidRPr="00CB6062" w:rsidRDefault="008D1FF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1FF5" w:rsidRPr="00CB6062" w:rsidRDefault="008D1FF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9C7" w:rsidRPr="00CB6062" w:rsidTr="000F6A36">
        <w:trPr>
          <w:trHeight w:val="97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2109,4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2223,3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4452,5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4376,3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6214,6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5843,6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-6,0%</w:t>
            </w:r>
          </w:p>
        </w:tc>
      </w:tr>
      <w:tr w:rsidR="00CD69C7" w:rsidRPr="00CB6062" w:rsidTr="000F6A36">
        <w:trPr>
          <w:trHeight w:val="122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-3,0%</w:t>
            </w:r>
          </w:p>
        </w:tc>
      </w:tr>
      <w:tr w:rsidR="00CD69C7" w:rsidRPr="00CB6062" w:rsidTr="000F6A36">
        <w:trPr>
          <w:trHeight w:val="7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1166,6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1302,4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8806,0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8703,6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-1,2%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678,6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-12,0%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3219,2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23054,5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27138,4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2033,9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-13,4%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Южно-Казахстанская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50,3%</w:t>
            </w:r>
          </w:p>
        </w:tc>
      </w:tr>
      <w:tr w:rsidR="00CD69C7" w:rsidRPr="00CB6062" w:rsidTr="000F6A36">
        <w:trPr>
          <w:trHeight w:val="60"/>
        </w:trPr>
        <w:tc>
          <w:tcPr>
            <w:tcW w:w="1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58 864,2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63 242,3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D69C7" w:rsidRPr="00CB6062" w:rsidRDefault="00CD69C7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7,4%</w:t>
            </w:r>
          </w:p>
        </w:tc>
      </w:tr>
    </w:tbl>
    <w:p w:rsidR="00CB6062" w:rsidRPr="00CB6062" w:rsidRDefault="00CB6062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D400E" w:rsidRPr="000B639E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36C33">
        <w:rPr>
          <w:rFonts w:ascii="Times New Roman" w:hAnsi="Times New Roman" w:cs="Times New Roman"/>
          <w:sz w:val="28"/>
        </w:rPr>
        <w:t xml:space="preserve">Объем производства электроэнергии </w:t>
      </w:r>
      <w:r>
        <w:rPr>
          <w:rFonts w:ascii="Times New Roman" w:hAnsi="Times New Roman" w:cs="Times New Roman"/>
          <w:sz w:val="28"/>
        </w:rPr>
        <w:t>энергопроизводящими организациями конкурентных организаций АО «Самрук-Энерго» з</w:t>
      </w:r>
      <w:r w:rsidRPr="00786D0D">
        <w:rPr>
          <w:rFonts w:ascii="Times New Roman" w:hAnsi="Times New Roman" w:cs="Times New Roman"/>
          <w:sz w:val="28"/>
        </w:rPr>
        <w:t xml:space="preserve">а </w:t>
      </w:r>
      <w:r>
        <w:rPr>
          <w:rFonts w:ascii="Times New Roman" w:hAnsi="Times New Roman" w:cs="Times New Roman"/>
          <w:sz w:val="28"/>
        </w:rPr>
        <w:t>семь</w:t>
      </w:r>
      <w:r w:rsidRPr="00786D0D">
        <w:rPr>
          <w:rFonts w:ascii="Times New Roman" w:hAnsi="Times New Roman" w:cs="Times New Roman"/>
          <w:sz w:val="28"/>
        </w:rPr>
        <w:t xml:space="preserve"> месяц</w:t>
      </w:r>
      <w:r>
        <w:rPr>
          <w:rFonts w:ascii="Times New Roman" w:hAnsi="Times New Roman" w:cs="Times New Roman"/>
          <w:sz w:val="28"/>
        </w:rPr>
        <w:t>ев</w:t>
      </w:r>
      <w:r w:rsidRPr="00786D0D">
        <w:rPr>
          <w:rFonts w:ascii="Times New Roman" w:hAnsi="Times New Roman" w:cs="Times New Roman"/>
          <w:sz w:val="28"/>
        </w:rPr>
        <w:t xml:space="preserve"> 2018 года составил </w:t>
      </w:r>
      <w:r>
        <w:rPr>
          <w:rFonts w:ascii="Times New Roman" w:hAnsi="Times New Roman" w:cs="Times New Roman"/>
          <w:sz w:val="28"/>
        </w:rPr>
        <w:t>30,6</w:t>
      </w:r>
      <w:r w:rsidRPr="00A07104">
        <w:rPr>
          <w:rFonts w:ascii="Times New Roman" w:hAnsi="Times New Roman" w:cs="Times New Roman"/>
          <w:sz w:val="28"/>
        </w:rPr>
        <w:t xml:space="preserve"> млрд. кВтч</w:t>
      </w:r>
      <w:r w:rsidRPr="00786D0D">
        <w:rPr>
          <w:rFonts w:ascii="Times New Roman" w:hAnsi="Times New Roman" w:cs="Times New Roman"/>
          <w:sz w:val="28"/>
        </w:rPr>
        <w:t xml:space="preserve">, что на </w:t>
      </w:r>
      <w:r>
        <w:rPr>
          <w:rFonts w:ascii="Times New Roman" w:hAnsi="Times New Roman" w:cs="Times New Roman"/>
          <w:sz w:val="28"/>
        </w:rPr>
        <w:t>0,45</w:t>
      </w:r>
      <w:r w:rsidRPr="00A07104">
        <w:rPr>
          <w:rFonts w:ascii="Times New Roman" w:hAnsi="Times New Roman" w:cs="Times New Roman"/>
          <w:sz w:val="28"/>
        </w:rPr>
        <w:t xml:space="preserve"> млрд.</w:t>
      </w:r>
      <w:r w:rsidRPr="00786D0D">
        <w:rPr>
          <w:rFonts w:ascii="Times New Roman" w:hAnsi="Times New Roman" w:cs="Times New Roman"/>
          <w:sz w:val="28"/>
        </w:rPr>
        <w:t xml:space="preserve"> кВтч </w:t>
      </w:r>
      <w:r>
        <w:rPr>
          <w:rFonts w:ascii="Times New Roman" w:hAnsi="Times New Roman" w:cs="Times New Roman"/>
          <w:sz w:val="28"/>
        </w:rPr>
        <w:t>меньше</w:t>
      </w:r>
      <w:r w:rsidRPr="00786D0D">
        <w:rPr>
          <w:rFonts w:ascii="Times New Roman" w:hAnsi="Times New Roman" w:cs="Times New Roman"/>
          <w:sz w:val="28"/>
        </w:rPr>
        <w:t xml:space="preserve"> по сравнению с аналогичным периодом 2017 года (</w:t>
      </w:r>
      <w:r>
        <w:rPr>
          <w:rFonts w:ascii="Times New Roman" w:hAnsi="Times New Roman" w:cs="Times New Roman"/>
          <w:sz w:val="28"/>
        </w:rPr>
        <w:t>31,1</w:t>
      </w:r>
      <w:r w:rsidRPr="00A07104">
        <w:rPr>
          <w:rFonts w:ascii="Times New Roman" w:hAnsi="Times New Roman" w:cs="Times New Roman"/>
          <w:sz w:val="28"/>
        </w:rPr>
        <w:t xml:space="preserve"> млрд. </w:t>
      </w:r>
      <w:r w:rsidRPr="00786D0D">
        <w:rPr>
          <w:rFonts w:ascii="Times New Roman" w:hAnsi="Times New Roman" w:cs="Times New Roman"/>
          <w:sz w:val="28"/>
        </w:rPr>
        <w:t>кВтч).</w:t>
      </w:r>
    </w:p>
    <w:p w:rsidR="004A4775" w:rsidRPr="00CB6062" w:rsidRDefault="004A4775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CD400E" w:rsidRPr="00CB6062" w:rsidTr="00CD400E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  <w:p w:rsidR="00CD400E" w:rsidRPr="00CB6062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июль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CD400E" w:rsidRPr="00CB6062" w:rsidTr="00CD400E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B6062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11 316,8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11 404,7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0,8%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3 930,8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3 658,8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-272,0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-6,9%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2 204,6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1 960,0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-244,6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-11,1%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1 479,4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1 431,5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-47,9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-3,2%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3 545,5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3 852,7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8,7%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4 370,8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4 018,8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-352,0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-8,1%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1 251,6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1 159,2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-92,4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-7,4%</w:t>
            </w:r>
          </w:p>
        </w:tc>
      </w:tr>
      <w:tr w:rsidR="00CD400E" w:rsidRPr="00CD400E" w:rsidTr="00CD400E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2963,2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3122,3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lang w:eastAsia="ru-RU"/>
              </w:rPr>
              <w:t>159,1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5,4%</w:t>
            </w:r>
          </w:p>
        </w:tc>
      </w:tr>
      <w:tr w:rsidR="00CD400E" w:rsidRPr="00CB6062" w:rsidTr="00CD400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31 062,7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30 608,0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-454,7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E" w:rsidRPr="00CD400E" w:rsidRDefault="00CD400E" w:rsidP="00CD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40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-1,5%</w:t>
            </w:r>
          </w:p>
        </w:tc>
      </w:tr>
    </w:tbl>
    <w:p w:rsidR="00CD400E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400E" w:rsidRPr="00BE71BF" w:rsidRDefault="00CD400E" w:rsidP="00CD4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B639E">
        <w:rPr>
          <w:rFonts w:ascii="Times New Roman" w:hAnsi="Times New Roman" w:cs="Times New Roman"/>
          <w:sz w:val="28"/>
        </w:rPr>
        <w:t>Объем производства электроэнергии энергопроизводящими организациями АО «Самрук-Энерго» в я</w:t>
      </w:r>
      <w:r>
        <w:rPr>
          <w:rFonts w:ascii="Times New Roman" w:hAnsi="Times New Roman" w:cs="Times New Roman"/>
          <w:sz w:val="28"/>
        </w:rPr>
        <w:t>нваре-ию</w:t>
      </w:r>
      <w:r w:rsidR="000D0261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е 2018 года составил 19,0 млрд. кВтч или прирост 24,9</w:t>
      </w:r>
      <w:r w:rsidRPr="000B639E">
        <w:rPr>
          <w:rFonts w:ascii="Times New Roman" w:hAnsi="Times New Roman" w:cs="Times New Roman"/>
          <w:sz w:val="28"/>
        </w:rPr>
        <w:t>% в сравнении с показателями аналогичного периода 2017 года.</w:t>
      </w:r>
    </w:p>
    <w:p w:rsidR="004A4775" w:rsidRPr="00CB6062" w:rsidRDefault="004A4775" w:rsidP="00CB6062">
      <w:pPr>
        <w:pStyle w:val="a3"/>
        <w:spacing w:after="0" w:line="240" w:lineRule="auto"/>
        <w:rPr>
          <w:rFonts w:ascii="Times New Roman" w:hAnsi="Times New Roman" w:cs="Times New Roman"/>
          <w:sz w:val="24"/>
        </w:rPr>
      </w:pP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CB6062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1"/>
        <w:gridCol w:w="3402"/>
        <w:gridCol w:w="992"/>
        <w:gridCol w:w="1134"/>
        <w:gridCol w:w="992"/>
        <w:gridCol w:w="992"/>
        <w:gridCol w:w="1134"/>
        <w:gridCol w:w="993"/>
      </w:tblGrid>
      <w:tr w:rsidR="004A4775" w:rsidRPr="00CB6062" w:rsidTr="006C42DB">
        <w:trPr>
          <w:trHeight w:val="31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2018г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2017/2018гг</w:t>
            </w:r>
          </w:p>
        </w:tc>
      </w:tr>
      <w:tr w:rsidR="004A4775" w:rsidRPr="00CB6062" w:rsidTr="006C42DB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 июль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янв.- 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A4775" w:rsidRPr="00CB6062" w:rsidTr="006C42D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15 222,4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3 784,6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24,9%</w:t>
            </w:r>
          </w:p>
        </w:tc>
      </w:tr>
      <w:tr w:rsidR="004A4775" w:rsidRPr="00CB6062" w:rsidTr="006C42D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«АлЭС»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3 411,4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3 371,6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-1,2%</w:t>
            </w:r>
          </w:p>
        </w:tc>
      </w:tr>
      <w:tr w:rsidR="004A4775" w:rsidRPr="00CB6062" w:rsidTr="006C42DB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«Экибастузская ГРЭС-1»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7 758,4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13,2%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11 607,4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3 849,1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49,6%</w:t>
            </w:r>
          </w:p>
        </w:tc>
      </w:tr>
      <w:tr w:rsidR="004A4775" w:rsidRPr="00CB6062" w:rsidTr="006C42D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«Экибастузская ГРЭС-2»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2 927,3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3 045,8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4,0%</w:t>
            </w:r>
          </w:p>
        </w:tc>
      </w:tr>
      <w:tr w:rsidR="004A4775" w:rsidRPr="00CB6062" w:rsidTr="006C42D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АО «Шардаринская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-6,8%</w:t>
            </w:r>
          </w:p>
        </w:tc>
      </w:tr>
      <w:tr w:rsidR="004A4775" w:rsidRPr="00CB6062" w:rsidTr="006C42D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АО «Мойнакская ГЭС»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-15,4%</w:t>
            </w:r>
          </w:p>
        </w:tc>
      </w:tr>
      <w:tr w:rsidR="004A4775" w:rsidRPr="00CB6062" w:rsidTr="006C42DB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1,9%</w:t>
            </w:r>
          </w:p>
        </w:tc>
      </w:tr>
      <w:tr w:rsidR="004A4775" w:rsidRPr="00CB6062" w:rsidTr="006C42DB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-7,3%</w:t>
            </w:r>
          </w:p>
        </w:tc>
      </w:tr>
    </w:tbl>
    <w:p w:rsidR="004A4775" w:rsidRPr="00CB6062" w:rsidRDefault="004A4775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4775" w:rsidRPr="00CB6062" w:rsidRDefault="004A4775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3" w:name="_Toc516129783"/>
      <w:bookmarkStart w:id="4" w:name="_Toc523843611"/>
      <w:r w:rsidRPr="00CB6062">
        <w:rPr>
          <w:rFonts w:ascii="Times New Roman" w:hAnsi="Times New Roman" w:cs="Times New Roman"/>
          <w:b/>
        </w:rPr>
        <w:lastRenderedPageBreak/>
        <w:t>Потребление электрической энергии в ЕЭС Казахстана</w:t>
      </w:r>
      <w:bookmarkEnd w:id="3"/>
      <w:bookmarkEnd w:id="4"/>
    </w:p>
    <w:p w:rsidR="004A4775" w:rsidRPr="00CB6062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4A4775" w:rsidRPr="00CB6062" w:rsidRDefault="004A4775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516129784"/>
      <w:bookmarkStart w:id="6" w:name="_Toc523843612"/>
      <w:r w:rsidRPr="00CB6062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5"/>
      <w:bookmarkEnd w:id="6"/>
    </w:p>
    <w:p w:rsidR="004A4775" w:rsidRPr="00CB6062" w:rsidRDefault="004A4775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По данным Системного оператора, в январе-июле 2018 года наблюдался рост в динамике потребления электрической энергии по всей республике в сравнении с показателями января-июле 2017 года. Так, в северной зоне республики потребление увеличилось на 5%, в западной зоне на 10% и в южной зоне на 8%. </w:t>
      </w:r>
    </w:p>
    <w:p w:rsidR="004A4775" w:rsidRPr="00CB6062" w:rsidRDefault="004A4775" w:rsidP="00CB606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en-US"/>
        </w:rPr>
      </w:pPr>
      <w:r w:rsidRPr="00CB6062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660"/>
        <w:gridCol w:w="1420"/>
        <w:gridCol w:w="1598"/>
        <w:gridCol w:w="1560"/>
      </w:tblGrid>
      <w:tr w:rsidR="004A4775" w:rsidRPr="00CB6062" w:rsidTr="006C42DB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янв.-июль</w:t>
            </w:r>
          </w:p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янв.-июль</w:t>
            </w:r>
          </w:p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2018г </w:t>
            </w:r>
          </w:p>
        </w:tc>
        <w:tc>
          <w:tcPr>
            <w:tcW w:w="1598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кВтч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660" w:type="dxa"/>
            <w:shd w:val="clear" w:color="auto" w:fill="17365D" w:themeFill="text2" w:themeFillShade="BF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56256,7</w:t>
            </w:r>
          </w:p>
        </w:tc>
        <w:tc>
          <w:tcPr>
            <w:tcW w:w="1420" w:type="dxa"/>
            <w:shd w:val="clear" w:color="auto" w:fill="17365D" w:themeFill="text2" w:themeFillShade="BF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59642,4</w:t>
            </w:r>
          </w:p>
        </w:tc>
        <w:tc>
          <w:tcPr>
            <w:tcW w:w="1598" w:type="dxa"/>
            <w:shd w:val="clear" w:color="auto" w:fill="17365D" w:themeFill="text2" w:themeFillShade="BF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3385,7</w:t>
            </w:r>
          </w:p>
        </w:tc>
        <w:tc>
          <w:tcPr>
            <w:tcW w:w="1560" w:type="dxa"/>
            <w:shd w:val="clear" w:color="auto" w:fill="17365D" w:themeFill="text2" w:themeFillShade="BF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37488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39218,1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1730,1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7151,1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7893,7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742,6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11617,6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12530,6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4A4775" w:rsidRPr="00CB6062" w:rsidTr="006C42DB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т.ч. по областям</w:t>
            </w:r>
          </w:p>
        </w:tc>
        <w:tc>
          <w:tcPr>
            <w:tcW w:w="1660" w:type="dxa"/>
            <w:shd w:val="clear" w:color="auto" w:fill="C6D9F1" w:themeFill="text2" w:themeFillTint="33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shd w:val="clear" w:color="auto" w:fill="C6D9F1" w:themeFill="text2" w:themeFillTint="33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8" w:type="dxa"/>
            <w:shd w:val="clear" w:color="auto" w:fill="C6D9F1" w:themeFill="text2" w:themeFillTint="33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4941,7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5195,9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9603,9</w:t>
            </w:r>
          </w:p>
        </w:tc>
        <w:tc>
          <w:tcPr>
            <w:tcW w:w="1420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10041,3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437,4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Акмолинская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4965,3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5274,5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999,2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1010,4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2716,0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2776,1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10845,7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11277,1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431,4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3173,8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3615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441,2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Мангистауская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2888,4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3097,9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209,5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3416,2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3642,8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226,6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1180,8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91,9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6016,5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6280,4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Южно-Казахстанская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2639,8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2814,7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1995,3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2449,8</w:t>
            </w:r>
          </w:p>
        </w:tc>
        <w:tc>
          <w:tcPr>
            <w:tcW w:w="1598" w:type="dxa"/>
            <w:shd w:val="clear" w:color="auto" w:fill="FFFFFF" w:themeFill="background1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23%</w:t>
            </w:r>
          </w:p>
        </w:tc>
      </w:tr>
      <w:tr w:rsidR="004A4775" w:rsidRPr="00CB6062" w:rsidTr="006C42D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4A4775" w:rsidRPr="00CB6062" w:rsidRDefault="004A4775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Кызылординская 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966,1</w:t>
            </w:r>
          </w:p>
        </w:tc>
        <w:tc>
          <w:tcPr>
            <w:tcW w:w="1420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985,6</w:t>
            </w:r>
          </w:p>
        </w:tc>
        <w:tc>
          <w:tcPr>
            <w:tcW w:w="1598" w:type="dxa"/>
            <w:shd w:val="clear" w:color="000000" w:fill="FFFFFF"/>
            <w:noWrap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4775" w:rsidRPr="00CB6062" w:rsidRDefault="004A4775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C6011E" w:rsidRPr="00CB6062" w:rsidRDefault="00C6011E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CB6062" w:rsidRDefault="005070DF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523843613"/>
      <w:r w:rsidRPr="00CB6062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>тог</w:t>
      </w:r>
      <w:r w:rsidRPr="00CB6062">
        <w:rPr>
          <w:rFonts w:ascii="Times New Roman" w:hAnsi="Times New Roman" w:cs="Times New Roman"/>
          <w:i/>
          <w:color w:val="auto"/>
          <w:sz w:val="28"/>
        </w:rPr>
        <w:t>и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ра</w:t>
      </w:r>
      <w:r w:rsidR="00BC7CB8" w:rsidRPr="00CB6062">
        <w:rPr>
          <w:rFonts w:ascii="Times New Roman" w:hAnsi="Times New Roman" w:cs="Times New Roman"/>
          <w:i/>
          <w:color w:val="auto"/>
          <w:sz w:val="28"/>
        </w:rPr>
        <w:t xml:space="preserve">боты промышленности </w:t>
      </w:r>
      <w:r w:rsidR="00125238" w:rsidRPr="00CB6062">
        <w:rPr>
          <w:rFonts w:ascii="Times New Roman" w:hAnsi="Times New Roman" w:cs="Times New Roman"/>
          <w:i/>
          <w:color w:val="auto"/>
          <w:sz w:val="28"/>
        </w:rPr>
        <w:t xml:space="preserve">за </w:t>
      </w:r>
      <w:r w:rsidR="00770E28" w:rsidRPr="00CB6062">
        <w:rPr>
          <w:rFonts w:ascii="Times New Roman" w:hAnsi="Times New Roman" w:cs="Times New Roman"/>
          <w:i/>
          <w:color w:val="auto"/>
          <w:sz w:val="28"/>
        </w:rPr>
        <w:t>7</w:t>
      </w:r>
      <w:r w:rsidR="00CC4053" w:rsidRPr="00CB6062">
        <w:rPr>
          <w:rFonts w:ascii="Times New Roman" w:hAnsi="Times New Roman" w:cs="Times New Roman"/>
          <w:i/>
          <w:color w:val="auto"/>
          <w:sz w:val="28"/>
        </w:rPr>
        <w:t xml:space="preserve"> месяц</w:t>
      </w:r>
      <w:r w:rsidR="00CC5613" w:rsidRPr="00CB6062">
        <w:rPr>
          <w:rFonts w:ascii="Times New Roman" w:hAnsi="Times New Roman" w:cs="Times New Roman"/>
          <w:i/>
          <w:color w:val="auto"/>
          <w:sz w:val="28"/>
        </w:rPr>
        <w:t>ев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201</w:t>
      </w:r>
      <w:r w:rsidR="007D00DC" w:rsidRPr="00CB6062">
        <w:rPr>
          <w:rFonts w:ascii="Times New Roman" w:hAnsi="Times New Roman" w:cs="Times New Roman"/>
          <w:i/>
          <w:color w:val="auto"/>
          <w:sz w:val="28"/>
        </w:rPr>
        <w:t>8</w:t>
      </w:r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года</w:t>
      </w:r>
      <w:bookmarkEnd w:id="7"/>
      <w:r w:rsidR="0058001C" w:rsidRPr="00CB6062">
        <w:rPr>
          <w:rFonts w:ascii="Times New Roman" w:hAnsi="Times New Roman" w:cs="Times New Roman"/>
          <w:i/>
          <w:color w:val="auto"/>
          <w:sz w:val="28"/>
        </w:rPr>
        <w:t xml:space="preserve"> </w:t>
      </w:r>
    </w:p>
    <w:p w:rsidR="00A5325B" w:rsidRPr="00CB6062" w:rsidRDefault="0058001C" w:rsidP="00CB6062">
      <w:pPr>
        <w:pStyle w:val="ab"/>
        <w:spacing w:before="0" w:beforeAutospacing="0" w:after="0" w:afterAutospacing="0"/>
        <w:jc w:val="center"/>
        <w:rPr>
          <w:rStyle w:val="ac"/>
          <w:b w:val="0"/>
          <w:bCs w:val="0"/>
          <w:i/>
          <w:szCs w:val="22"/>
        </w:rPr>
      </w:pPr>
      <w:r w:rsidRPr="00CB6062">
        <w:rPr>
          <w:i/>
          <w:szCs w:val="22"/>
        </w:rPr>
        <w:t>(э</w:t>
      </w:r>
      <w:r w:rsidR="00A5325B" w:rsidRPr="00CB6062">
        <w:rPr>
          <w:i/>
          <w:szCs w:val="22"/>
        </w:rPr>
        <w:t>кспресс-информация Комитета по статистике МНЭ РК</w:t>
      </w:r>
      <w:r w:rsidRPr="00CB6062">
        <w:rPr>
          <w:i/>
          <w:szCs w:val="22"/>
        </w:rPr>
        <w:t>)</w:t>
      </w:r>
    </w:p>
    <w:p w:rsidR="000620C6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 январе-июл</w:t>
      </w:r>
      <w:r w:rsidR="00DE7728" w:rsidRPr="00CB6062">
        <w:rPr>
          <w:rFonts w:ascii="Times New Roman" w:hAnsi="Times New Roman"/>
          <w:sz w:val="28"/>
          <w:szCs w:val="28"/>
        </w:rPr>
        <w:t>е 2018</w:t>
      </w:r>
      <w:r w:rsidRPr="00CB6062">
        <w:rPr>
          <w:rFonts w:ascii="Times New Roman" w:hAnsi="Times New Roman"/>
          <w:sz w:val="28"/>
          <w:szCs w:val="28"/>
        </w:rPr>
        <w:t xml:space="preserve"> года по сравнению с январем-июл</w:t>
      </w:r>
      <w:r w:rsidR="00DE7728" w:rsidRPr="00CB6062">
        <w:rPr>
          <w:rFonts w:ascii="Times New Roman" w:hAnsi="Times New Roman"/>
          <w:sz w:val="28"/>
          <w:szCs w:val="28"/>
        </w:rPr>
        <w:t>ем 2017 года индекс промышлен</w:t>
      </w:r>
      <w:r w:rsidRPr="00CB6062">
        <w:rPr>
          <w:rFonts w:ascii="Times New Roman" w:hAnsi="Times New Roman"/>
          <w:sz w:val="28"/>
          <w:szCs w:val="28"/>
        </w:rPr>
        <w:t>ного производства составил 105,1</w:t>
      </w:r>
      <w:r w:rsidR="00DE7728" w:rsidRPr="00CB6062">
        <w:rPr>
          <w:rFonts w:ascii="Times New Roman" w:hAnsi="Times New Roman"/>
          <w:sz w:val="28"/>
          <w:szCs w:val="28"/>
        </w:rPr>
        <w:t>%. Увеличение зафиксировано в 14 регионах республики. Снижение объемов производства наблюдалось в Кызылординской, Туркестанской и Западно-Казахстанской областях.</w:t>
      </w: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E6952" w:rsidRDefault="00AE6952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90F00" w:rsidRPr="00CB6062" w:rsidRDefault="00A90F00" w:rsidP="00CB606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B6062">
        <w:rPr>
          <w:rFonts w:ascii="Times New Roman" w:hAnsi="Times New Roman"/>
          <w:b/>
          <w:sz w:val="28"/>
          <w:szCs w:val="28"/>
        </w:rPr>
        <w:lastRenderedPageBreak/>
        <w:t>Изменение объемов промышленной продукции по регионам</w:t>
      </w:r>
    </w:p>
    <w:p w:rsidR="00A90F00" w:rsidRPr="00CB6062" w:rsidRDefault="00A90F00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CB6062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770E28" w:rsidRPr="00CB6062" w:rsidRDefault="00770E28" w:rsidP="00CB606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</w:p>
    <w:p w:rsidR="00770E28" w:rsidRPr="00CB6062" w:rsidRDefault="00A90F00" w:rsidP="00CB6062">
      <w:pPr>
        <w:pStyle w:val="OsnTxt"/>
        <w:spacing w:line="240" w:lineRule="auto"/>
        <w:ind w:right="-284"/>
        <w:rPr>
          <w:rFonts w:ascii="Calibri" w:hAnsi="Calibri" w:cs="Arial"/>
        </w:rPr>
      </w:pPr>
      <w:r w:rsidRPr="00CB6062">
        <w:rPr>
          <w:rFonts w:ascii="Times New Roman" w:hAnsi="Times New Roman"/>
          <w:sz w:val="28"/>
          <w:szCs w:val="28"/>
        </w:rPr>
        <w:t xml:space="preserve"> </w:t>
      </w:r>
      <w:r w:rsidR="00770E28" w:rsidRPr="00CB606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A1A7EB8" wp14:editId="757C4543">
            <wp:extent cx="5095240" cy="27997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240" cy="2799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0E28" w:rsidRPr="00CB6062">
        <w:rPr>
          <w:rFonts w:ascii="Calibri" w:hAnsi="Calibri" w:cs="Arial"/>
        </w:rPr>
        <w:t xml:space="preserve"> 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 xml:space="preserve">В Атырауской области из-за увеличения объемов добычи сырой нефти индекс промышленного </w:t>
      </w:r>
      <w:r w:rsidRPr="00CB6062">
        <w:rPr>
          <w:rFonts w:ascii="Times New Roman" w:hAnsi="Times New Roman"/>
          <w:sz w:val="28"/>
          <w:szCs w:val="28"/>
          <w:lang w:val="kk-KZ"/>
        </w:rPr>
        <w:t>производства</w:t>
      </w:r>
      <w:r w:rsidRPr="00CB6062">
        <w:rPr>
          <w:rFonts w:ascii="Times New Roman" w:hAnsi="Times New Roman"/>
          <w:sz w:val="28"/>
          <w:szCs w:val="28"/>
        </w:rPr>
        <w:t xml:space="preserve"> составил 112,</w:t>
      </w:r>
      <w:r w:rsidRPr="00CB6062">
        <w:rPr>
          <w:rFonts w:ascii="Times New Roman" w:hAnsi="Times New Roman"/>
          <w:sz w:val="28"/>
          <w:szCs w:val="28"/>
          <w:lang w:val="kk-KZ"/>
        </w:rPr>
        <w:t>5</w:t>
      </w:r>
      <w:r w:rsidRPr="00CB6062">
        <w:rPr>
          <w:rFonts w:ascii="Times New Roman" w:hAnsi="Times New Roman"/>
          <w:sz w:val="28"/>
          <w:szCs w:val="28"/>
        </w:rPr>
        <w:t>%.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 xml:space="preserve">В Костанайской области увеличилась 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добыча железорудных окатышей и концентратов, возросло производство муки, макаронов и легковых автомобилей </w:t>
      </w:r>
      <w:r w:rsidRPr="00CB6062">
        <w:rPr>
          <w:rFonts w:ascii="Times New Roman" w:hAnsi="Times New Roman"/>
          <w:sz w:val="28"/>
          <w:szCs w:val="28"/>
        </w:rPr>
        <w:t>(</w:t>
      </w:r>
      <w:r w:rsidRPr="00CB6062">
        <w:rPr>
          <w:rFonts w:ascii="Times New Roman" w:hAnsi="Times New Roman"/>
          <w:sz w:val="28"/>
          <w:szCs w:val="28"/>
          <w:lang w:val="kk-KZ"/>
        </w:rPr>
        <w:t>110,3</w:t>
      </w:r>
      <w:r w:rsidRPr="00CB6062">
        <w:rPr>
          <w:rFonts w:ascii="Times New Roman" w:hAnsi="Times New Roman"/>
          <w:sz w:val="28"/>
          <w:szCs w:val="28"/>
        </w:rPr>
        <w:t>%)</w:t>
      </w:r>
      <w:r w:rsidRPr="00CB6062">
        <w:rPr>
          <w:rFonts w:ascii="Times New Roman" w:hAnsi="Times New Roman"/>
          <w:sz w:val="28"/>
          <w:szCs w:val="28"/>
          <w:lang w:val="kk-KZ"/>
        </w:rPr>
        <w:t>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 Жамбылской области возросла добыча фосфатного сырья, увеличилось производство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>фосфора, фосфорных удобрений и портландцемента (1</w:t>
      </w:r>
      <w:r w:rsidRPr="00CB6062">
        <w:rPr>
          <w:rFonts w:ascii="Times New Roman" w:hAnsi="Times New Roman"/>
          <w:sz w:val="28"/>
          <w:szCs w:val="28"/>
          <w:lang w:val="kk-KZ"/>
        </w:rPr>
        <w:t>09,3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  <w:lang w:val="kk-KZ"/>
        </w:rPr>
        <w:t>В</w:t>
      </w:r>
      <w:r w:rsidR="000D02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Восточно-Казахстанской области возросла </w:t>
      </w:r>
      <w:r w:rsidRPr="00CB6062">
        <w:rPr>
          <w:rFonts w:ascii="Times New Roman" w:hAnsi="Times New Roman"/>
          <w:sz w:val="28"/>
          <w:szCs w:val="28"/>
        </w:rPr>
        <w:t xml:space="preserve">добыча 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медных </w:t>
      </w:r>
      <w:r w:rsidRPr="00CB6062">
        <w:rPr>
          <w:rFonts w:ascii="Times New Roman" w:hAnsi="Times New Roman"/>
          <w:sz w:val="28"/>
          <w:szCs w:val="28"/>
        </w:rPr>
        <w:t xml:space="preserve">руд и концентратов, </w:t>
      </w:r>
      <w:r w:rsidRPr="00CB6062">
        <w:rPr>
          <w:rFonts w:ascii="Times New Roman" w:hAnsi="Times New Roman"/>
          <w:sz w:val="28"/>
          <w:szCs w:val="28"/>
          <w:lang w:val="kk-KZ"/>
        </w:rPr>
        <w:t>увеличилось производство подсолнечного масла, аффинированного золота,  рафинированной меди</w:t>
      </w:r>
      <w:r w:rsidRPr="00CB6062">
        <w:rPr>
          <w:rFonts w:ascii="Times New Roman" w:hAnsi="Times New Roman"/>
          <w:sz w:val="28"/>
          <w:szCs w:val="28"/>
        </w:rPr>
        <w:t xml:space="preserve"> и легковых автомобилей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(107,9%).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CB6062">
        <w:rPr>
          <w:rFonts w:ascii="Times New Roman" w:hAnsi="Times New Roman"/>
          <w:sz w:val="28"/>
          <w:szCs w:val="28"/>
        </w:rPr>
        <w:t xml:space="preserve">Акмолинской области увеличилась добыча золотосодержащих руд, возросло производство муки, 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шариковых и роликовых подшипников </w:t>
      </w:r>
      <w:r w:rsidRPr="00CB6062">
        <w:rPr>
          <w:rFonts w:ascii="Times New Roman" w:hAnsi="Times New Roman"/>
          <w:sz w:val="28"/>
          <w:szCs w:val="28"/>
        </w:rPr>
        <w:t>(</w:t>
      </w:r>
      <w:r w:rsidRPr="00CB6062">
        <w:rPr>
          <w:rFonts w:ascii="Times New Roman" w:hAnsi="Times New Roman"/>
          <w:sz w:val="28"/>
          <w:szCs w:val="28"/>
          <w:lang w:val="kk-KZ"/>
        </w:rPr>
        <w:t>104,8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CB6062">
        <w:rPr>
          <w:rFonts w:ascii="Times New Roman" w:hAnsi="Times New Roman"/>
          <w:sz w:val="28"/>
          <w:szCs w:val="28"/>
        </w:rPr>
        <w:t xml:space="preserve">г.Алматы </w:t>
      </w:r>
      <w:r w:rsidRPr="00CB6062">
        <w:rPr>
          <w:rFonts w:ascii="Times New Roman" w:hAnsi="Times New Roman"/>
          <w:sz w:val="28"/>
          <w:szCs w:val="28"/>
          <w:lang w:val="kk-KZ"/>
        </w:rPr>
        <w:t>увеличилось</w:t>
      </w:r>
      <w:r w:rsidRPr="00CB6062">
        <w:rPr>
          <w:rFonts w:ascii="Times New Roman" w:hAnsi="Times New Roman"/>
          <w:sz w:val="28"/>
          <w:szCs w:val="28"/>
        </w:rPr>
        <w:t xml:space="preserve"> производство подсолнечного масла, </w:t>
      </w:r>
      <w:r w:rsidRPr="00CB6062">
        <w:rPr>
          <w:rFonts w:ascii="Times New Roman" w:hAnsi="Times New Roman"/>
          <w:sz w:val="28"/>
          <w:szCs w:val="28"/>
          <w:lang w:val="kk-KZ"/>
        </w:rPr>
        <w:t>переработанного чая и кофе</w:t>
      </w:r>
      <w:r w:rsidRPr="00CB6062">
        <w:rPr>
          <w:rFonts w:ascii="Times New Roman" w:hAnsi="Times New Roman"/>
          <w:sz w:val="28"/>
          <w:szCs w:val="28"/>
        </w:rPr>
        <w:t>, и телевизионных приемников (10</w:t>
      </w:r>
      <w:r w:rsidRPr="00CB6062">
        <w:rPr>
          <w:rFonts w:ascii="Times New Roman" w:hAnsi="Times New Roman"/>
          <w:sz w:val="28"/>
          <w:szCs w:val="28"/>
          <w:lang w:val="kk-KZ"/>
        </w:rPr>
        <w:t>4,7%).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</w:t>
      </w:r>
      <w:r w:rsidR="000D0261">
        <w:rPr>
          <w:rFonts w:ascii="Times New Roman" w:hAnsi="Times New Roman"/>
          <w:sz w:val="28"/>
          <w:szCs w:val="28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 xml:space="preserve">Актюбинской области 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увеличилась </w:t>
      </w:r>
      <w:r w:rsidRPr="00CB6062">
        <w:rPr>
          <w:rFonts w:ascii="Times New Roman" w:hAnsi="Times New Roman"/>
          <w:sz w:val="28"/>
          <w:szCs w:val="28"/>
        </w:rPr>
        <w:t xml:space="preserve">добыча 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хромовых руд и концентратов, цинковых концентратов </w:t>
      </w:r>
      <w:r w:rsidRPr="00CB6062">
        <w:rPr>
          <w:rFonts w:ascii="Times New Roman" w:hAnsi="Times New Roman"/>
          <w:sz w:val="28"/>
          <w:szCs w:val="28"/>
          <w:lang w:val="kk-KZ"/>
        </w:rPr>
        <w:br/>
        <w:t xml:space="preserve">и медно-цинковых руд, возросло производство феррохрома и бихромата натрия </w:t>
      </w:r>
      <w:r w:rsidRPr="00CB6062">
        <w:rPr>
          <w:rFonts w:ascii="Times New Roman" w:hAnsi="Times New Roman"/>
          <w:sz w:val="28"/>
          <w:szCs w:val="28"/>
        </w:rPr>
        <w:t>(10</w:t>
      </w:r>
      <w:r w:rsidRPr="00CB6062">
        <w:rPr>
          <w:rFonts w:ascii="Times New Roman" w:hAnsi="Times New Roman"/>
          <w:sz w:val="28"/>
          <w:szCs w:val="28"/>
          <w:lang w:val="kk-KZ"/>
        </w:rPr>
        <w:t>4</w:t>
      </w:r>
      <w:r w:rsidRPr="00CB6062">
        <w:rPr>
          <w:rFonts w:ascii="Times New Roman" w:hAnsi="Times New Roman"/>
          <w:sz w:val="28"/>
          <w:szCs w:val="28"/>
        </w:rPr>
        <w:t>,</w:t>
      </w:r>
      <w:r w:rsidRPr="00CB6062">
        <w:rPr>
          <w:rFonts w:ascii="Times New Roman" w:hAnsi="Times New Roman"/>
          <w:sz w:val="28"/>
          <w:szCs w:val="28"/>
          <w:lang w:val="kk-KZ"/>
        </w:rPr>
        <w:t>3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</w:t>
      </w:r>
      <w:r w:rsidR="000D02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>Павлодарской области увеличилась добыча медного концентрата, возросло производство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бензина,</w:t>
      </w:r>
      <w:r w:rsidRPr="00CB6062">
        <w:rPr>
          <w:rFonts w:ascii="Times New Roman" w:hAnsi="Times New Roman"/>
          <w:sz w:val="28"/>
          <w:szCs w:val="28"/>
        </w:rPr>
        <w:t xml:space="preserve"> дизельного топлива и </w:t>
      </w:r>
      <w:r w:rsidRPr="00CB6062">
        <w:rPr>
          <w:rFonts w:ascii="Times New Roman" w:hAnsi="Times New Roman"/>
          <w:sz w:val="28"/>
          <w:szCs w:val="28"/>
          <w:lang w:val="kk-KZ"/>
        </w:rPr>
        <w:t>стальных труб</w:t>
      </w:r>
      <w:r w:rsidRPr="00CB6062">
        <w:rPr>
          <w:rFonts w:ascii="Times New Roman" w:hAnsi="Times New Roman"/>
          <w:sz w:val="28"/>
          <w:szCs w:val="28"/>
        </w:rPr>
        <w:t xml:space="preserve"> (10</w:t>
      </w:r>
      <w:r w:rsidRPr="00CB6062">
        <w:rPr>
          <w:rFonts w:ascii="Times New Roman" w:hAnsi="Times New Roman"/>
          <w:sz w:val="28"/>
          <w:szCs w:val="28"/>
          <w:lang w:val="kk-KZ"/>
        </w:rPr>
        <w:t>4</w:t>
      </w:r>
      <w:r w:rsidRPr="00CB6062">
        <w:rPr>
          <w:rFonts w:ascii="Times New Roman" w:hAnsi="Times New Roman"/>
          <w:sz w:val="28"/>
          <w:szCs w:val="28"/>
        </w:rPr>
        <w:t>,</w:t>
      </w:r>
      <w:r w:rsidRPr="00CB6062">
        <w:rPr>
          <w:rFonts w:ascii="Times New Roman" w:hAnsi="Times New Roman"/>
          <w:sz w:val="28"/>
          <w:szCs w:val="28"/>
          <w:lang w:val="kk-KZ"/>
        </w:rPr>
        <w:t>2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CB6062">
        <w:rPr>
          <w:rFonts w:ascii="Times New Roman" w:hAnsi="Times New Roman"/>
          <w:sz w:val="28"/>
          <w:szCs w:val="28"/>
        </w:rPr>
        <w:t xml:space="preserve">В г.Астана </w:t>
      </w:r>
      <w:r w:rsidRPr="00CB6062">
        <w:rPr>
          <w:rFonts w:ascii="Times New Roman" w:hAnsi="Times New Roman"/>
          <w:sz w:val="28"/>
          <w:szCs w:val="28"/>
          <w:lang w:val="kk-KZ"/>
        </w:rPr>
        <w:t>возросло производство преформы, аффинированного золота и дизельных локомотивов (103,1%).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  <w:lang w:val="kk-KZ"/>
        </w:rPr>
      </w:pPr>
      <w:r w:rsidRPr="00CB6062">
        <w:rPr>
          <w:rFonts w:ascii="Times New Roman" w:hAnsi="Times New Roman"/>
          <w:sz w:val="28"/>
          <w:szCs w:val="28"/>
        </w:rPr>
        <w:t>В Карагандинской области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увеличилась добыча медных руд и концентратов,</w:t>
      </w:r>
      <w:r w:rsidRPr="00CB6062">
        <w:rPr>
          <w:rFonts w:ascii="Times New Roman" w:hAnsi="Times New Roman"/>
          <w:sz w:val="28"/>
          <w:szCs w:val="28"/>
        </w:rPr>
        <w:t xml:space="preserve"> возросло производство плоского проката</w:t>
      </w:r>
      <w:r w:rsidRPr="00CB6062">
        <w:rPr>
          <w:rFonts w:ascii="Times New Roman" w:hAnsi="Times New Roman"/>
          <w:sz w:val="28"/>
          <w:szCs w:val="28"/>
          <w:lang w:val="kk-KZ"/>
        </w:rPr>
        <w:t>, аффинированного золота и изолированного провода</w:t>
      </w:r>
      <w:r w:rsidRPr="00CB6062">
        <w:rPr>
          <w:rFonts w:ascii="Times New Roman" w:hAnsi="Times New Roman"/>
          <w:sz w:val="28"/>
          <w:szCs w:val="28"/>
        </w:rPr>
        <w:t xml:space="preserve"> (10</w:t>
      </w:r>
      <w:r w:rsidRPr="00CB6062">
        <w:rPr>
          <w:rFonts w:ascii="Times New Roman" w:hAnsi="Times New Roman"/>
          <w:sz w:val="28"/>
          <w:szCs w:val="28"/>
          <w:lang w:val="kk-KZ"/>
        </w:rPr>
        <w:t>2,8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  <w:lang w:val="kk-KZ"/>
        </w:rPr>
        <w:t>В</w:t>
      </w:r>
      <w:r w:rsidR="000D02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>Алматинской области увеличилось производство обработанного молока,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пива, сигарет</w:t>
      </w:r>
      <w:r w:rsidR="000D0261">
        <w:rPr>
          <w:rFonts w:ascii="Times New Roman" w:hAnsi="Times New Roman"/>
          <w:sz w:val="28"/>
          <w:szCs w:val="28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>и электрических аккумуляторов (10</w:t>
      </w:r>
      <w:r w:rsidRPr="00CB6062">
        <w:rPr>
          <w:rFonts w:ascii="Times New Roman" w:hAnsi="Times New Roman"/>
          <w:sz w:val="28"/>
          <w:szCs w:val="28"/>
          <w:lang w:val="kk-KZ"/>
        </w:rPr>
        <w:t>2,3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 г.Шымкент возросло производство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портландцемента, керосина</w:t>
      </w:r>
      <w:r w:rsidRPr="00CB6062">
        <w:rPr>
          <w:rFonts w:ascii="Times New Roman" w:hAnsi="Times New Roman"/>
          <w:sz w:val="28"/>
          <w:szCs w:val="28"/>
        </w:rPr>
        <w:t xml:space="preserve"> и трансформаторов (10</w:t>
      </w:r>
      <w:r w:rsidRPr="00CB6062">
        <w:rPr>
          <w:rFonts w:ascii="Times New Roman" w:hAnsi="Times New Roman"/>
          <w:sz w:val="28"/>
          <w:szCs w:val="28"/>
          <w:lang w:val="kk-KZ"/>
        </w:rPr>
        <w:t>2,1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lastRenderedPageBreak/>
        <w:t>В</w:t>
      </w:r>
      <w:r w:rsidR="000D0261">
        <w:rPr>
          <w:rFonts w:ascii="Times New Roman" w:hAnsi="Times New Roman"/>
          <w:sz w:val="28"/>
          <w:szCs w:val="28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>Мангистауской области за счет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увеличения объемов добычи сырой нефти </w:t>
      </w:r>
      <w:r w:rsidRPr="00CB6062">
        <w:rPr>
          <w:rFonts w:ascii="Times New Roman" w:hAnsi="Times New Roman"/>
          <w:sz w:val="28"/>
          <w:szCs w:val="28"/>
        </w:rPr>
        <w:t xml:space="preserve">индекс промышленного производства составил </w:t>
      </w:r>
      <w:r w:rsidRPr="00CB6062">
        <w:rPr>
          <w:rFonts w:ascii="Times New Roman" w:hAnsi="Times New Roman"/>
          <w:sz w:val="28"/>
          <w:szCs w:val="28"/>
          <w:lang w:val="kk-KZ"/>
        </w:rPr>
        <w:t>101,5</w:t>
      </w:r>
      <w:r w:rsidRPr="00CB6062">
        <w:rPr>
          <w:rFonts w:ascii="Times New Roman" w:hAnsi="Times New Roman"/>
          <w:sz w:val="28"/>
          <w:szCs w:val="28"/>
        </w:rPr>
        <w:t>%.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</w:t>
      </w:r>
      <w:r w:rsidR="000D0261">
        <w:rPr>
          <w:rFonts w:ascii="Times New Roman" w:hAnsi="Times New Roman"/>
          <w:sz w:val="28"/>
          <w:szCs w:val="28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>Северо-Казахстанской области</w:t>
      </w:r>
      <w:r w:rsidRPr="00CB6062">
        <w:rPr>
          <w:rFonts w:ascii="Times New Roman" w:hAnsi="Times New Roman"/>
          <w:sz w:val="28"/>
          <w:szCs w:val="28"/>
          <w:lang w:val="kk-KZ"/>
        </w:rPr>
        <w:t xml:space="preserve"> увеличилось производство нерафинированного рапсового масла, обработанного молока и муки</w:t>
      </w:r>
      <w:r w:rsidRPr="00CB6062">
        <w:rPr>
          <w:rFonts w:ascii="Times New Roman" w:hAnsi="Times New Roman"/>
          <w:sz w:val="28"/>
          <w:szCs w:val="28"/>
        </w:rPr>
        <w:t xml:space="preserve"> (</w:t>
      </w:r>
      <w:r w:rsidRPr="00CB6062">
        <w:rPr>
          <w:rFonts w:ascii="Times New Roman" w:hAnsi="Times New Roman"/>
          <w:sz w:val="28"/>
          <w:szCs w:val="28"/>
          <w:lang w:val="kk-KZ"/>
        </w:rPr>
        <w:t>100,3</w:t>
      </w:r>
      <w:r w:rsidRPr="00CB6062">
        <w:rPr>
          <w:rFonts w:ascii="Times New Roman" w:hAnsi="Times New Roman"/>
          <w:sz w:val="28"/>
          <w:szCs w:val="28"/>
        </w:rPr>
        <w:t>%).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</w:t>
      </w:r>
      <w:r w:rsidR="000D026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/>
          <w:sz w:val="28"/>
          <w:szCs w:val="28"/>
        </w:rPr>
        <w:t xml:space="preserve">Западно-Казахстанской области из-за снижения добычи газового конденсата индекс промышленного производства составил </w:t>
      </w:r>
      <w:r w:rsidRPr="00CB6062">
        <w:rPr>
          <w:rFonts w:ascii="Times New Roman" w:hAnsi="Times New Roman"/>
          <w:sz w:val="28"/>
          <w:szCs w:val="28"/>
          <w:lang w:val="kk-KZ"/>
        </w:rPr>
        <w:t>98</w:t>
      </w:r>
      <w:r w:rsidRPr="00CB6062">
        <w:rPr>
          <w:rFonts w:ascii="Times New Roman" w:hAnsi="Times New Roman"/>
          <w:sz w:val="28"/>
          <w:szCs w:val="28"/>
        </w:rPr>
        <w:t>%.</w:t>
      </w:r>
    </w:p>
    <w:p w:rsidR="00770E28" w:rsidRPr="00CB6062" w:rsidRDefault="00770E28" w:rsidP="00CB606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</w:t>
      </w:r>
      <w:r w:rsidR="000D0261">
        <w:rPr>
          <w:rFonts w:ascii="Times New Roman" w:hAnsi="Times New Roman"/>
          <w:sz w:val="28"/>
          <w:szCs w:val="28"/>
        </w:rPr>
        <w:t xml:space="preserve"> </w:t>
      </w:r>
      <w:r w:rsidRPr="00CB6062">
        <w:rPr>
          <w:rFonts w:ascii="Times New Roman" w:hAnsi="Times New Roman"/>
          <w:sz w:val="28"/>
          <w:szCs w:val="28"/>
          <w:lang w:val="kk-KZ"/>
        </w:rPr>
        <w:t>Туркестанской</w:t>
      </w:r>
      <w:r w:rsidRPr="00CB6062">
        <w:rPr>
          <w:rFonts w:ascii="Times New Roman" w:hAnsi="Times New Roman"/>
          <w:sz w:val="28"/>
          <w:szCs w:val="28"/>
        </w:rPr>
        <w:t xml:space="preserve"> области за счет снижения добычи урановой руды индекс промышленного производства составил 9</w:t>
      </w:r>
      <w:r w:rsidRPr="00CB6062">
        <w:rPr>
          <w:rFonts w:ascii="Times New Roman" w:hAnsi="Times New Roman"/>
          <w:sz w:val="28"/>
          <w:szCs w:val="28"/>
          <w:lang w:val="kk-KZ"/>
        </w:rPr>
        <w:t>6,4</w:t>
      </w:r>
      <w:r w:rsidRPr="00CB6062">
        <w:rPr>
          <w:rFonts w:ascii="Times New Roman" w:hAnsi="Times New Roman"/>
          <w:sz w:val="28"/>
          <w:szCs w:val="28"/>
        </w:rPr>
        <w:t>%</w:t>
      </w:r>
      <w:r w:rsidRPr="00CB6062">
        <w:rPr>
          <w:rFonts w:ascii="Times New Roman" w:hAnsi="Times New Roman"/>
          <w:sz w:val="28"/>
          <w:szCs w:val="28"/>
          <w:lang w:val="kk-KZ"/>
        </w:rPr>
        <w:t>.</w:t>
      </w:r>
    </w:p>
    <w:p w:rsidR="00770E28" w:rsidRPr="00CB6062" w:rsidRDefault="00770E28" w:rsidP="00AE6952">
      <w:pPr>
        <w:pStyle w:val="OsnTxt"/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CB6062">
        <w:rPr>
          <w:rFonts w:ascii="Times New Roman" w:hAnsi="Times New Roman"/>
          <w:sz w:val="28"/>
          <w:szCs w:val="28"/>
        </w:rPr>
        <w:t>В</w:t>
      </w:r>
      <w:r w:rsidR="000D0261">
        <w:rPr>
          <w:rFonts w:ascii="Times New Roman" w:hAnsi="Times New Roman"/>
          <w:sz w:val="28"/>
          <w:szCs w:val="28"/>
        </w:rPr>
        <w:t xml:space="preserve"> </w:t>
      </w:r>
      <w:r w:rsidRPr="00CB6062">
        <w:rPr>
          <w:rFonts w:ascii="Times New Roman" w:hAnsi="Times New Roman"/>
          <w:sz w:val="28"/>
          <w:szCs w:val="28"/>
          <w:lang w:val="kk-KZ"/>
        </w:rPr>
        <w:t>Кызылординской</w:t>
      </w:r>
      <w:r w:rsidRPr="00CB6062">
        <w:rPr>
          <w:rFonts w:ascii="Times New Roman" w:hAnsi="Times New Roman"/>
          <w:sz w:val="28"/>
          <w:szCs w:val="28"/>
        </w:rPr>
        <w:t xml:space="preserve"> области за счет снижения добычи сырой нефти индекс промышленного производства составил 9</w:t>
      </w:r>
      <w:r w:rsidRPr="00CB6062">
        <w:rPr>
          <w:rFonts w:ascii="Times New Roman" w:hAnsi="Times New Roman"/>
          <w:sz w:val="28"/>
          <w:szCs w:val="28"/>
          <w:lang w:val="kk-KZ"/>
        </w:rPr>
        <w:t>4,7</w:t>
      </w:r>
      <w:r w:rsidRPr="00CB6062">
        <w:rPr>
          <w:rFonts w:ascii="Times New Roman" w:hAnsi="Times New Roman"/>
          <w:sz w:val="28"/>
          <w:szCs w:val="28"/>
        </w:rPr>
        <w:t>%</w:t>
      </w:r>
      <w:r w:rsidRPr="00CB6062">
        <w:rPr>
          <w:rFonts w:ascii="Times New Roman" w:hAnsi="Times New Roman"/>
          <w:sz w:val="28"/>
          <w:szCs w:val="28"/>
          <w:lang w:val="kk-KZ"/>
        </w:rPr>
        <w:t>.</w:t>
      </w:r>
    </w:p>
    <w:p w:rsidR="00A5325B" w:rsidRPr="00CB6062" w:rsidRDefault="00770E2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A5325B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596C30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Источник: </w:t>
      </w:r>
      <w:hyperlink r:id="rId10" w:history="1">
        <w:r w:rsidR="00A5325B" w:rsidRPr="00CB6062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A5325B" w:rsidRPr="00CB6062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CB6062" w:rsidRDefault="00BC7CB8" w:rsidP="00CB606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CB6062" w:rsidRDefault="00596C30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523843614"/>
      <w:r w:rsidRPr="00CB6062">
        <w:rPr>
          <w:rFonts w:ascii="Times New Roman" w:hAnsi="Times New Roman" w:cs="Times New Roman"/>
          <w:i/>
          <w:color w:val="auto"/>
          <w:sz w:val="28"/>
        </w:rPr>
        <w:t>Электропотребление к</w:t>
      </w:r>
      <w:r w:rsidR="001447DB" w:rsidRPr="00CB6062">
        <w:rPr>
          <w:rFonts w:ascii="Times New Roman" w:hAnsi="Times New Roman" w:cs="Times New Roman"/>
          <w:i/>
          <w:color w:val="auto"/>
          <w:sz w:val="28"/>
        </w:rPr>
        <w:t>рупными потребителями</w:t>
      </w:r>
      <w:r w:rsidRPr="00CB6062">
        <w:rPr>
          <w:rFonts w:ascii="Times New Roman" w:hAnsi="Times New Roman" w:cs="Times New Roman"/>
          <w:i/>
          <w:color w:val="auto"/>
          <w:sz w:val="28"/>
        </w:rPr>
        <w:t xml:space="preserve"> Казахстана</w:t>
      </w:r>
      <w:bookmarkEnd w:id="8"/>
    </w:p>
    <w:p w:rsidR="00535451" w:rsidRPr="00CB6062" w:rsidRDefault="00535451" w:rsidP="00CB606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За </w:t>
      </w:r>
      <w:r w:rsidR="00C27884" w:rsidRPr="00CB6062">
        <w:rPr>
          <w:rFonts w:ascii="Times New Roman" w:eastAsiaTheme="minorHAnsi" w:hAnsi="Times New Roman"/>
          <w:sz w:val="28"/>
          <w:szCs w:val="22"/>
          <w:lang w:eastAsia="en-US"/>
        </w:rPr>
        <w:t>январь</w:t>
      </w:r>
      <w:r w:rsidR="008B2E50" w:rsidRPr="00CB6062">
        <w:rPr>
          <w:rFonts w:ascii="Times New Roman" w:eastAsiaTheme="minorHAnsi" w:hAnsi="Times New Roman"/>
          <w:sz w:val="28"/>
          <w:szCs w:val="22"/>
          <w:lang w:eastAsia="en-US"/>
        </w:rPr>
        <w:t>-</w:t>
      </w:r>
      <w:r w:rsidR="00770E28" w:rsidRPr="00CB6062">
        <w:rPr>
          <w:rFonts w:ascii="Times New Roman" w:eastAsiaTheme="minorHAnsi" w:hAnsi="Times New Roman"/>
          <w:sz w:val="28"/>
          <w:szCs w:val="22"/>
          <w:lang w:eastAsia="en-US"/>
        </w:rPr>
        <w:t>июл</w:t>
      </w:r>
      <w:r w:rsidR="00DE7728" w:rsidRPr="00CB6062">
        <w:rPr>
          <w:rFonts w:ascii="Times New Roman" w:eastAsiaTheme="minorHAnsi" w:hAnsi="Times New Roman"/>
          <w:sz w:val="28"/>
          <w:szCs w:val="22"/>
          <w:lang w:eastAsia="en-US"/>
        </w:rPr>
        <w:t>ь</w:t>
      </w:r>
      <w:r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201</w:t>
      </w:r>
      <w:r w:rsidR="00C27884" w:rsidRPr="00CB6062">
        <w:rPr>
          <w:rFonts w:ascii="Times New Roman" w:eastAsiaTheme="minorHAnsi" w:hAnsi="Times New Roman"/>
          <w:sz w:val="28"/>
          <w:szCs w:val="22"/>
          <w:lang w:eastAsia="en-US"/>
        </w:rPr>
        <w:t>8</w:t>
      </w:r>
      <w:r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года по отношению к аналогичному периоду 201</w:t>
      </w:r>
      <w:r w:rsidR="00C27884" w:rsidRPr="00CB6062">
        <w:rPr>
          <w:rFonts w:ascii="Times New Roman" w:eastAsiaTheme="minorHAnsi" w:hAnsi="Times New Roman"/>
          <w:sz w:val="28"/>
          <w:szCs w:val="22"/>
          <w:lang w:eastAsia="en-US"/>
        </w:rPr>
        <w:t>7</w:t>
      </w:r>
      <w:r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года наблюдался рост потребления электроэнергии по</w:t>
      </w:r>
      <w:r w:rsidR="00C27884"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всем</w:t>
      </w:r>
      <w:r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крупным потребителям</w:t>
      </w:r>
      <w:r w:rsidR="00C27884" w:rsidRPr="00CB6062">
        <w:rPr>
          <w:rFonts w:ascii="Times New Roman" w:eastAsiaTheme="minorHAnsi" w:hAnsi="Times New Roman"/>
          <w:sz w:val="28"/>
          <w:szCs w:val="22"/>
          <w:lang w:eastAsia="en-US"/>
        </w:rPr>
        <w:t>,</w:t>
      </w:r>
      <w:r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за исключением АО АЗФ (Аксуйский) </w:t>
      </w:r>
      <w:r w:rsidR="00BD7F80" w:rsidRPr="00CB6062">
        <w:rPr>
          <w:rFonts w:ascii="Times New Roman" w:eastAsiaTheme="minorHAnsi" w:hAnsi="Times New Roman"/>
          <w:sz w:val="28"/>
          <w:szCs w:val="22"/>
          <w:lang w:eastAsia="en-US"/>
        </w:rPr>
        <w:t>«</w:t>
      </w:r>
      <w:r w:rsidRPr="00CB6062">
        <w:rPr>
          <w:rFonts w:ascii="Times New Roman" w:eastAsiaTheme="minorHAnsi" w:hAnsi="Times New Roman"/>
          <w:sz w:val="28"/>
          <w:szCs w:val="22"/>
          <w:lang w:eastAsia="en-US"/>
        </w:rPr>
        <w:t>ТНК Казхром</w:t>
      </w:r>
      <w:r w:rsidR="00BD7F80" w:rsidRPr="00CB6062">
        <w:rPr>
          <w:rFonts w:ascii="Times New Roman" w:eastAsiaTheme="minorHAnsi" w:hAnsi="Times New Roman"/>
          <w:sz w:val="28"/>
          <w:szCs w:val="22"/>
          <w:lang w:eastAsia="en-US"/>
        </w:rPr>
        <w:t>»</w:t>
      </w:r>
      <w:r w:rsidR="0093791F" w:rsidRPr="00CB6062">
        <w:rPr>
          <w:rFonts w:ascii="Times New Roman" w:eastAsiaTheme="minorHAnsi" w:hAnsi="Times New Roman"/>
          <w:sz w:val="28"/>
          <w:szCs w:val="22"/>
          <w:lang w:eastAsia="en-US"/>
        </w:rPr>
        <w:t>, ТОО «Корпорация Казахмыс» (Жезказганская площадка), ТОО «Kazakhmys Smelting»</w:t>
      </w:r>
      <w:r w:rsidR="00A721DF" w:rsidRPr="00CB6062">
        <w:rPr>
          <w:rFonts w:ascii="Times New Roman" w:eastAsiaTheme="minorHAnsi" w:hAnsi="Times New Roman"/>
          <w:sz w:val="28"/>
          <w:szCs w:val="22"/>
          <w:lang w:eastAsia="en-US"/>
        </w:rPr>
        <w:t>, РГП «Канал им. Сатпаева»</w:t>
      </w:r>
      <w:r w:rsidR="0093791F"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и</w:t>
      </w:r>
      <w:r w:rsidR="008B2E50"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 ТОО «ТемиржолЭнерго»</w:t>
      </w:r>
      <w:r w:rsidR="00ED2209" w:rsidRPr="00CB6062">
        <w:rPr>
          <w:rFonts w:ascii="Times New Roman" w:eastAsiaTheme="minorHAnsi" w:hAnsi="Times New Roman"/>
          <w:sz w:val="28"/>
          <w:szCs w:val="22"/>
          <w:lang w:eastAsia="en-US"/>
        </w:rPr>
        <w:t xml:space="preserve">. </w:t>
      </w:r>
    </w:p>
    <w:p w:rsidR="00A42AA0" w:rsidRPr="00CB6062" w:rsidRDefault="006C6971" w:rsidP="00CB606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CB6062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CB6062">
        <w:rPr>
          <w:rFonts w:ascii="Times New Roman" w:hAnsi="Times New Roman" w:cs="Times New Roman"/>
          <w:i/>
          <w:sz w:val="24"/>
          <w:szCs w:val="24"/>
        </w:rPr>
        <w:t>. кВтч</w:t>
      </w:r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945"/>
        <w:gridCol w:w="1087"/>
        <w:gridCol w:w="1087"/>
      </w:tblGrid>
      <w:tr w:rsidR="00854D8B" w:rsidRPr="00CB6062" w:rsidTr="002334B5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CB6062" w:rsidRDefault="00854D8B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854D8B" w:rsidRPr="00CB6062" w:rsidRDefault="00854D8B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854D8B" w:rsidRPr="00CB6062" w:rsidRDefault="00D479C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54D8B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="00F216EC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A555C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0F6A36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854D8B" w:rsidRPr="00CB6062" w:rsidTr="002334B5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CB6062" w:rsidRDefault="00854D8B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shd w:val="clear" w:color="auto" w:fill="B6DDE8" w:themeFill="accent5" w:themeFillTint="66"/>
            <w:vAlign w:val="center"/>
          </w:tcPr>
          <w:p w:rsidR="00854D8B" w:rsidRPr="00CB6062" w:rsidRDefault="00854D8B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854D8B" w:rsidRPr="00CB6062" w:rsidRDefault="00DE70E9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854D8B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CB6062" w:rsidRDefault="00854D8B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E70E9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CB6062" w:rsidRDefault="00854D8B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«Арселор Миттал Темиртау»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2 365,7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2 421,5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АЗФ (Аксуйский) «ТНК Казхром»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3 246,4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3 223,2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-1%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ТОО «Корпорация Казахмыс» Жезказганская площадка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616,2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596,5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-3%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 xml:space="preserve">ТОО «Kazakhmys Smelting» 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615,3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556,3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-10%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1 547,2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1 581,4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«Соколовско-Сарбайское ГПО»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1 009,9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1 039,2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3%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ТОО «Корпорация Казахмыс» Балхашская площадка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122,3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16%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АЗФ (Актюбинский) «ТНК Казхром»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1 640,1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1 778,6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8%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РГП «Канал им. Сатпаева»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142,0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-2%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ТОО «Казфосфат»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853,8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1 160,4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36%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«НДФЗ» (входит в структуру ТОО Казфосфат)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686,0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983,6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43%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ТОО «Таразский Металлургический завод»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139,9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69%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«Усть-Каменогорский титано-магниевый комбинат»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246,8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346,5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40%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ТОО «Тенгизшевройл»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1 088,6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1 104,1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1%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552,3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0%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945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2 093,1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2 131,5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2%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ТОО «ТемиржолЭнерго»</w:t>
            </w:r>
          </w:p>
        </w:tc>
        <w:tc>
          <w:tcPr>
            <w:tcW w:w="945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1 857,9 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1 453,4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-22%</w:t>
            </w:r>
          </w:p>
        </w:tc>
      </w:tr>
      <w:tr w:rsidR="009C3F4D" w:rsidRPr="00CB6062" w:rsidTr="00415359">
        <w:trPr>
          <w:trHeight w:val="360"/>
          <w:jc w:val="center"/>
        </w:trPr>
        <w:tc>
          <w:tcPr>
            <w:tcW w:w="567" w:type="dxa"/>
            <w:vAlign w:val="center"/>
          </w:tcPr>
          <w:p w:rsidR="009C3F4D" w:rsidRPr="00CB6062" w:rsidRDefault="009C3F4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bottom"/>
          </w:tcPr>
          <w:p w:rsidR="009C3F4D" w:rsidRPr="00CB6062" w:rsidRDefault="009C3F4D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945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2 831,4 </w:t>
            </w:r>
          </w:p>
        </w:tc>
        <w:tc>
          <w:tcPr>
            <w:tcW w:w="1087" w:type="dxa"/>
            <w:vAlign w:val="center"/>
          </w:tcPr>
          <w:p w:rsidR="009C3F4D" w:rsidRPr="00CB6062" w:rsidRDefault="009C3F4D" w:rsidP="00CB606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0"/>
              </w:rPr>
              <w:t xml:space="preserve">2 866,0 </w:t>
            </w:r>
          </w:p>
        </w:tc>
        <w:tc>
          <w:tcPr>
            <w:tcW w:w="1087" w:type="dxa"/>
            <w:vAlign w:val="bottom"/>
          </w:tcPr>
          <w:p w:rsidR="009C3F4D" w:rsidRPr="00CB6062" w:rsidRDefault="009C3F4D" w:rsidP="00CB6062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CB6062">
              <w:rPr>
                <w:rFonts w:ascii="Times New Roman" w:hAnsi="Times New Roman" w:cs="Times New Roman"/>
                <w:sz w:val="24"/>
                <w:szCs w:val="20"/>
              </w:rPr>
              <w:t>1%</w:t>
            </w:r>
          </w:p>
        </w:tc>
      </w:tr>
    </w:tbl>
    <w:p w:rsidR="003B36BC" w:rsidRPr="00CB6062" w:rsidRDefault="00A32670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9" w:name="_Toc523843616"/>
      <w:r w:rsidRPr="00CB6062">
        <w:rPr>
          <w:rFonts w:ascii="Times New Roman" w:hAnsi="Times New Roman" w:cs="Times New Roman"/>
          <w:b/>
        </w:rPr>
        <w:lastRenderedPageBreak/>
        <w:t>Уголь</w:t>
      </w:r>
      <w:bookmarkEnd w:id="9"/>
    </w:p>
    <w:p w:rsidR="00BC7CB8" w:rsidRPr="00CB606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CB6062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23843617"/>
      <w:r w:rsidRPr="00CB6062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CB6062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CB6062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0"/>
    </w:p>
    <w:p w:rsidR="00535451" w:rsidRPr="00CB6062" w:rsidRDefault="00535451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 xml:space="preserve">По </w:t>
      </w:r>
      <w:r w:rsidR="00523770" w:rsidRPr="00CB6062">
        <w:rPr>
          <w:rFonts w:ascii="Times New Roman" w:hAnsi="Times New Roman" w:cs="Times New Roman"/>
          <w:sz w:val="28"/>
          <w:szCs w:val="28"/>
        </w:rPr>
        <w:t xml:space="preserve">оперативной </w:t>
      </w:r>
      <w:r w:rsidRPr="00CB606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B9424F" w:rsidRPr="00CB6062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0D0261">
        <w:rPr>
          <w:rFonts w:ascii="Times New Roman" w:hAnsi="Times New Roman" w:cs="Times New Roman"/>
          <w:sz w:val="28"/>
          <w:szCs w:val="28"/>
        </w:rPr>
        <w:t xml:space="preserve">по </w:t>
      </w:r>
      <w:r w:rsidRPr="00CB6062">
        <w:rPr>
          <w:rFonts w:ascii="Times New Roman" w:hAnsi="Times New Roman" w:cs="Times New Roman"/>
          <w:sz w:val="28"/>
          <w:szCs w:val="28"/>
        </w:rPr>
        <w:t xml:space="preserve">статистике МНЭ РК, в Казахстане </w:t>
      </w:r>
      <w:r w:rsidR="00BC79FE" w:rsidRPr="00CB6062">
        <w:rPr>
          <w:rFonts w:ascii="Times New Roman" w:hAnsi="Times New Roman" w:cs="Times New Roman"/>
          <w:sz w:val="28"/>
          <w:szCs w:val="28"/>
        </w:rPr>
        <w:t>в январе</w:t>
      </w:r>
      <w:r w:rsidR="008B2E50" w:rsidRPr="00CB6062">
        <w:rPr>
          <w:rFonts w:ascii="Times New Roman" w:hAnsi="Times New Roman" w:cs="Times New Roman"/>
          <w:sz w:val="28"/>
          <w:szCs w:val="28"/>
        </w:rPr>
        <w:t>-</w:t>
      </w:r>
      <w:r w:rsidR="009C3F4D" w:rsidRPr="00CB6062">
        <w:rPr>
          <w:rFonts w:ascii="Times New Roman" w:hAnsi="Times New Roman" w:cs="Times New Roman"/>
          <w:sz w:val="28"/>
          <w:szCs w:val="28"/>
        </w:rPr>
        <w:t>июл</w:t>
      </w:r>
      <w:r w:rsidR="000F6A36" w:rsidRPr="00CB6062">
        <w:rPr>
          <w:rFonts w:ascii="Times New Roman" w:hAnsi="Times New Roman" w:cs="Times New Roman"/>
          <w:sz w:val="28"/>
          <w:szCs w:val="28"/>
        </w:rPr>
        <w:t>е</w:t>
      </w:r>
      <w:r w:rsidR="00BC79FE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201</w:t>
      </w:r>
      <w:r w:rsidR="00BC79FE" w:rsidRPr="00CB6062">
        <w:rPr>
          <w:rFonts w:ascii="Times New Roman" w:hAnsi="Times New Roman" w:cs="Times New Roman"/>
          <w:sz w:val="28"/>
          <w:szCs w:val="28"/>
        </w:rPr>
        <w:t>8</w:t>
      </w:r>
      <w:r w:rsidRPr="00CB6062">
        <w:rPr>
          <w:rFonts w:ascii="Times New Roman" w:hAnsi="Times New Roman" w:cs="Times New Roman"/>
          <w:sz w:val="28"/>
          <w:szCs w:val="28"/>
        </w:rPr>
        <w:t xml:space="preserve"> год</w:t>
      </w:r>
      <w:r w:rsidR="00BC79FE" w:rsidRPr="00CB6062">
        <w:rPr>
          <w:rFonts w:ascii="Times New Roman" w:hAnsi="Times New Roman" w:cs="Times New Roman"/>
          <w:sz w:val="28"/>
          <w:szCs w:val="28"/>
        </w:rPr>
        <w:t>а</w:t>
      </w:r>
      <w:r w:rsidRPr="00CB6062">
        <w:rPr>
          <w:rFonts w:ascii="Times New Roman" w:hAnsi="Times New Roman" w:cs="Times New Roman"/>
          <w:sz w:val="28"/>
          <w:szCs w:val="28"/>
        </w:rPr>
        <w:t xml:space="preserve"> добыто </w:t>
      </w:r>
      <w:r w:rsidR="00875F55" w:rsidRPr="00CB6062">
        <w:rPr>
          <w:rFonts w:ascii="Times New Roman" w:hAnsi="Times New Roman" w:cs="Times New Roman"/>
          <w:sz w:val="28"/>
          <w:szCs w:val="28"/>
        </w:rPr>
        <w:t>63,46</w:t>
      </w:r>
      <w:r w:rsidRPr="00CB6062">
        <w:rPr>
          <w:rFonts w:ascii="Times New Roman" w:hAnsi="Times New Roman" w:cs="Times New Roman"/>
          <w:sz w:val="28"/>
          <w:szCs w:val="28"/>
        </w:rPr>
        <w:t xml:space="preserve"> млн. тонн </w:t>
      </w:r>
      <w:r w:rsidR="001D39F6" w:rsidRPr="00CB6062">
        <w:rPr>
          <w:rFonts w:ascii="Times New Roman" w:hAnsi="Times New Roman" w:cs="Times New Roman"/>
          <w:sz w:val="28"/>
          <w:szCs w:val="28"/>
        </w:rPr>
        <w:t xml:space="preserve">каменного </w:t>
      </w:r>
      <w:r w:rsidR="000D0261">
        <w:rPr>
          <w:rFonts w:ascii="Times New Roman" w:hAnsi="Times New Roman" w:cs="Times New Roman"/>
          <w:sz w:val="28"/>
          <w:szCs w:val="28"/>
        </w:rPr>
        <w:t>угля, что на</w:t>
      </w:r>
      <w:r w:rsidR="00875F55" w:rsidRPr="00CB6062">
        <w:rPr>
          <w:rFonts w:ascii="Times New Roman" w:hAnsi="Times New Roman" w:cs="Times New Roman"/>
          <w:sz w:val="28"/>
          <w:szCs w:val="28"/>
        </w:rPr>
        <w:t>3,4</w:t>
      </w:r>
      <w:r w:rsidR="001D39F6" w:rsidRPr="00CB6062">
        <w:rPr>
          <w:rFonts w:ascii="Times New Roman" w:hAnsi="Times New Roman" w:cs="Times New Roman"/>
          <w:sz w:val="28"/>
          <w:szCs w:val="28"/>
        </w:rPr>
        <w:t xml:space="preserve">% </w:t>
      </w:r>
      <w:r w:rsidR="00422191" w:rsidRPr="00CB6062">
        <w:rPr>
          <w:rFonts w:ascii="Times New Roman" w:hAnsi="Times New Roman" w:cs="Times New Roman"/>
          <w:sz w:val="28"/>
          <w:szCs w:val="28"/>
        </w:rPr>
        <w:t>больше</w:t>
      </w:r>
      <w:r w:rsidR="001D39F6" w:rsidRPr="00CB6062">
        <w:rPr>
          <w:rFonts w:ascii="Times New Roman" w:hAnsi="Times New Roman" w:cs="Times New Roman"/>
          <w:sz w:val="28"/>
          <w:szCs w:val="28"/>
        </w:rPr>
        <w:t>, чем за</w:t>
      </w:r>
      <w:r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BC79FE" w:rsidRPr="00CB6062">
        <w:rPr>
          <w:rFonts w:ascii="Times New Roman" w:hAnsi="Times New Roman" w:cs="Times New Roman"/>
          <w:sz w:val="28"/>
          <w:szCs w:val="28"/>
        </w:rPr>
        <w:t xml:space="preserve">аналогичный период </w:t>
      </w:r>
      <w:r w:rsidRPr="00CB6062">
        <w:rPr>
          <w:rFonts w:ascii="Times New Roman" w:hAnsi="Times New Roman" w:cs="Times New Roman"/>
          <w:sz w:val="28"/>
          <w:szCs w:val="28"/>
        </w:rPr>
        <w:t>201</w:t>
      </w:r>
      <w:r w:rsidR="00BC79FE" w:rsidRPr="00CB6062">
        <w:rPr>
          <w:rFonts w:ascii="Times New Roman" w:hAnsi="Times New Roman" w:cs="Times New Roman"/>
          <w:sz w:val="28"/>
          <w:szCs w:val="28"/>
        </w:rPr>
        <w:t>7</w:t>
      </w:r>
      <w:r w:rsidRPr="00CB6062">
        <w:rPr>
          <w:rFonts w:ascii="Times New Roman" w:hAnsi="Times New Roman" w:cs="Times New Roman"/>
          <w:sz w:val="28"/>
          <w:szCs w:val="28"/>
        </w:rPr>
        <w:t xml:space="preserve"> год</w:t>
      </w:r>
      <w:r w:rsidR="00BC79FE" w:rsidRPr="00CB6062">
        <w:rPr>
          <w:rFonts w:ascii="Times New Roman" w:hAnsi="Times New Roman" w:cs="Times New Roman"/>
          <w:sz w:val="28"/>
          <w:szCs w:val="28"/>
        </w:rPr>
        <w:t>а</w:t>
      </w:r>
      <w:r w:rsidRPr="00CB6062">
        <w:rPr>
          <w:rFonts w:ascii="Times New Roman" w:hAnsi="Times New Roman" w:cs="Times New Roman"/>
          <w:sz w:val="28"/>
          <w:szCs w:val="28"/>
        </w:rPr>
        <w:t xml:space="preserve"> (</w:t>
      </w:r>
      <w:r w:rsidR="00875F55" w:rsidRPr="00CB6062">
        <w:rPr>
          <w:rFonts w:ascii="Times New Roman" w:hAnsi="Times New Roman" w:cs="Times New Roman"/>
          <w:sz w:val="28"/>
          <w:szCs w:val="28"/>
        </w:rPr>
        <w:t>61,35</w:t>
      </w:r>
      <w:r w:rsidRPr="00CB6062">
        <w:rPr>
          <w:rFonts w:ascii="Times New Roman" w:hAnsi="Times New Roman" w:cs="Times New Roman"/>
          <w:sz w:val="28"/>
          <w:szCs w:val="28"/>
        </w:rPr>
        <w:t xml:space="preserve"> млн. тонн)</w:t>
      </w:r>
      <w:r w:rsidR="00E23C2C" w:rsidRPr="00CB6062">
        <w:rPr>
          <w:rFonts w:ascii="Times New Roman" w:hAnsi="Times New Roman" w:cs="Times New Roman"/>
          <w:sz w:val="28"/>
          <w:szCs w:val="28"/>
        </w:rPr>
        <w:t>.</w:t>
      </w:r>
    </w:p>
    <w:p w:rsidR="00B34E61" w:rsidRPr="00CB6062" w:rsidRDefault="0039177D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</w:rPr>
      </w:pPr>
      <w:r w:rsidRPr="00CB6062">
        <w:rPr>
          <w:rFonts w:ascii="Times New Roman" w:hAnsi="Times New Roman" w:cs="Times New Roman"/>
          <w:i/>
          <w:sz w:val="24"/>
          <w:szCs w:val="24"/>
        </w:rPr>
        <w:t>тыс</w:t>
      </w:r>
      <w:r w:rsidR="00B34E61" w:rsidRPr="00CB6062">
        <w:rPr>
          <w:rFonts w:ascii="Times New Roman" w:hAnsi="Times New Roman" w:cs="Times New Roman"/>
          <w:i/>
          <w:sz w:val="24"/>
          <w:szCs w:val="24"/>
        </w:rPr>
        <w:t>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CB6062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CB6062" w:rsidRDefault="00D479C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B34E61"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нварь</w:t>
            </w:r>
            <w:r w:rsidR="008B2E50"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="009C3F4D"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июл</w:t>
            </w:r>
            <w:r w:rsidR="000F6A36"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CB6062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CB6062" w:rsidRDefault="00BC79FE" w:rsidP="00CB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2017</w:t>
            </w:r>
            <w:r w:rsidR="00B34E61"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CB6062" w:rsidRDefault="00BC79FE" w:rsidP="00CB60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</w:t>
            </w:r>
            <w:r w:rsidR="00B34E61"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57" w:rsidRPr="00CB6062" w:rsidTr="00672A7E">
        <w:trPr>
          <w:trHeight w:val="333"/>
        </w:trPr>
        <w:tc>
          <w:tcPr>
            <w:tcW w:w="566" w:type="dxa"/>
            <w:vAlign w:val="center"/>
          </w:tcPr>
          <w:p w:rsidR="00F94157" w:rsidRPr="00CB6062" w:rsidRDefault="00F9415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94157" w:rsidRPr="00CB6062" w:rsidRDefault="00F94157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  <w:vAlign w:val="center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37 008,5</w:t>
            </w:r>
          </w:p>
        </w:tc>
        <w:tc>
          <w:tcPr>
            <w:tcW w:w="1938" w:type="dxa"/>
            <w:vAlign w:val="bottom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38 171,7</w:t>
            </w:r>
          </w:p>
        </w:tc>
        <w:tc>
          <w:tcPr>
            <w:tcW w:w="1938" w:type="dxa"/>
            <w:vAlign w:val="center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444D23" w:rsidRPr="00CB60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4157" w:rsidRPr="00CB6062" w:rsidTr="00672A7E">
        <w:trPr>
          <w:trHeight w:val="333"/>
        </w:trPr>
        <w:tc>
          <w:tcPr>
            <w:tcW w:w="566" w:type="dxa"/>
            <w:vAlign w:val="center"/>
          </w:tcPr>
          <w:p w:rsidR="00F94157" w:rsidRPr="00CB6062" w:rsidRDefault="00F9415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F94157" w:rsidRPr="00CB6062" w:rsidRDefault="00F94157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center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21 105,6</w:t>
            </w:r>
          </w:p>
        </w:tc>
        <w:tc>
          <w:tcPr>
            <w:tcW w:w="1938" w:type="dxa"/>
            <w:vAlign w:val="bottom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21 259,5</w:t>
            </w:r>
          </w:p>
        </w:tc>
        <w:tc>
          <w:tcPr>
            <w:tcW w:w="1938" w:type="dxa"/>
            <w:vAlign w:val="center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  <w:r w:rsidR="00444D23" w:rsidRPr="00CB60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4157" w:rsidRPr="00CB6062" w:rsidTr="00672A7E">
        <w:trPr>
          <w:trHeight w:val="333"/>
        </w:trPr>
        <w:tc>
          <w:tcPr>
            <w:tcW w:w="566" w:type="dxa"/>
            <w:vAlign w:val="center"/>
          </w:tcPr>
          <w:p w:rsidR="00F94157" w:rsidRPr="00CB6062" w:rsidRDefault="00F94157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F94157" w:rsidRPr="00CB6062" w:rsidRDefault="00F94157" w:rsidP="00CB60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center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2 953,5</w:t>
            </w:r>
          </w:p>
        </w:tc>
        <w:tc>
          <w:tcPr>
            <w:tcW w:w="1938" w:type="dxa"/>
            <w:vAlign w:val="bottom"/>
          </w:tcPr>
          <w:p w:rsidR="00F94157" w:rsidRPr="00CB6062" w:rsidRDefault="00F90BF8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3 973,8</w:t>
            </w:r>
          </w:p>
        </w:tc>
        <w:tc>
          <w:tcPr>
            <w:tcW w:w="1938" w:type="dxa"/>
            <w:vAlign w:val="center"/>
          </w:tcPr>
          <w:p w:rsidR="00F94157" w:rsidRPr="00CB6062" w:rsidRDefault="00444D23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0BF8" w:rsidRPr="00CB60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41B04" w:rsidRPr="00CB6062" w:rsidTr="00441B04">
        <w:trPr>
          <w:trHeight w:val="333"/>
        </w:trPr>
        <w:tc>
          <w:tcPr>
            <w:tcW w:w="566" w:type="dxa"/>
            <w:vAlign w:val="center"/>
          </w:tcPr>
          <w:p w:rsidR="00441B04" w:rsidRPr="00CB6062" w:rsidRDefault="00441B04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41B04" w:rsidRPr="00CB6062" w:rsidRDefault="00441B04" w:rsidP="00CB606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center"/>
          </w:tcPr>
          <w:p w:rsidR="00441B04" w:rsidRPr="00CB6062" w:rsidRDefault="00875F55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61 350,1</w:t>
            </w:r>
          </w:p>
        </w:tc>
        <w:tc>
          <w:tcPr>
            <w:tcW w:w="1938" w:type="dxa"/>
            <w:vAlign w:val="center"/>
          </w:tcPr>
          <w:p w:rsidR="00441B04" w:rsidRPr="00CB6062" w:rsidRDefault="00875F55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63 464,5</w:t>
            </w:r>
          </w:p>
        </w:tc>
        <w:tc>
          <w:tcPr>
            <w:tcW w:w="1938" w:type="dxa"/>
            <w:vAlign w:val="center"/>
          </w:tcPr>
          <w:p w:rsidR="00441B04" w:rsidRPr="00CB6062" w:rsidRDefault="00875F55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103,4</w:t>
            </w:r>
            <w:r w:rsidR="00441B04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BC7CB8" w:rsidRPr="00CB606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CB6062" w:rsidRDefault="00E23C2C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523843618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Добыча 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 xml:space="preserve">угля АО </w:t>
      </w:r>
      <w:r w:rsidR="00A23008" w:rsidRPr="00CB6062">
        <w:rPr>
          <w:rFonts w:ascii="Times New Roman" w:hAnsi="Times New Roman" w:cs="Times New Roman"/>
          <w:i/>
          <w:color w:val="auto"/>
          <w:sz w:val="28"/>
        </w:rPr>
        <w:t>«</w:t>
      </w:r>
      <w:r w:rsidR="00B34E61" w:rsidRPr="00CB606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CB6062">
        <w:rPr>
          <w:rFonts w:ascii="Times New Roman" w:hAnsi="Times New Roman" w:cs="Times New Roman"/>
          <w:i/>
          <w:color w:val="auto"/>
          <w:sz w:val="28"/>
        </w:rPr>
        <w:t>»</w:t>
      </w:r>
      <w:bookmarkEnd w:id="11"/>
    </w:p>
    <w:p w:rsidR="00B34E61" w:rsidRPr="00CB6062" w:rsidRDefault="00FF25FC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В</w:t>
      </w:r>
      <w:r w:rsidR="005E65ED" w:rsidRPr="00CB6062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8B2E50" w:rsidRPr="00CB6062">
        <w:rPr>
          <w:rFonts w:ascii="Times New Roman" w:hAnsi="Times New Roman" w:cs="Times New Roman"/>
          <w:sz w:val="28"/>
          <w:szCs w:val="28"/>
        </w:rPr>
        <w:t>-</w:t>
      </w:r>
      <w:r w:rsidR="00EE50EE" w:rsidRPr="00CB6062">
        <w:rPr>
          <w:rFonts w:ascii="Times New Roman" w:hAnsi="Times New Roman" w:cs="Times New Roman"/>
          <w:sz w:val="28"/>
          <w:szCs w:val="28"/>
        </w:rPr>
        <w:t>июл</w:t>
      </w:r>
      <w:r w:rsidR="000F6A36" w:rsidRPr="00CB6062">
        <w:rPr>
          <w:rFonts w:ascii="Times New Roman" w:hAnsi="Times New Roman" w:cs="Times New Roman"/>
          <w:sz w:val="28"/>
          <w:szCs w:val="28"/>
        </w:rPr>
        <w:t>е</w:t>
      </w:r>
      <w:r w:rsidR="005E65ED" w:rsidRPr="00CB6062">
        <w:rPr>
          <w:rFonts w:ascii="Times New Roman" w:hAnsi="Times New Roman" w:cs="Times New Roman"/>
          <w:sz w:val="28"/>
          <w:szCs w:val="28"/>
        </w:rPr>
        <w:t xml:space="preserve"> 2018</w:t>
      </w:r>
      <w:r w:rsidR="00A067AB" w:rsidRPr="00CB6062">
        <w:rPr>
          <w:rFonts w:ascii="Times New Roman" w:hAnsi="Times New Roman" w:cs="Times New Roman"/>
          <w:sz w:val="28"/>
          <w:szCs w:val="28"/>
        </w:rPr>
        <w:t xml:space="preserve"> год</w:t>
      </w:r>
      <w:r w:rsidR="005E65ED" w:rsidRPr="00CB6062">
        <w:rPr>
          <w:rFonts w:ascii="Times New Roman" w:hAnsi="Times New Roman" w:cs="Times New Roman"/>
          <w:sz w:val="28"/>
          <w:szCs w:val="28"/>
        </w:rPr>
        <w:t>а</w:t>
      </w:r>
      <w:r w:rsidR="00A067AB" w:rsidRPr="00CB6062">
        <w:rPr>
          <w:rFonts w:ascii="Times New Roman" w:hAnsi="Times New Roman" w:cs="Times New Roman"/>
          <w:sz w:val="28"/>
          <w:szCs w:val="28"/>
        </w:rPr>
        <w:t xml:space="preserve"> ТОО «Богатырь Комир» добыто </w:t>
      </w:r>
      <w:r w:rsidR="00EE50EE" w:rsidRPr="00CB6062">
        <w:rPr>
          <w:rFonts w:ascii="Times New Roman" w:hAnsi="Times New Roman" w:cs="Times New Roman"/>
          <w:sz w:val="28"/>
          <w:szCs w:val="28"/>
        </w:rPr>
        <w:t>24 909</w:t>
      </w:r>
      <w:r w:rsidR="00530BF1" w:rsidRPr="00CB6062">
        <w:rPr>
          <w:rFonts w:ascii="Times New Roman" w:hAnsi="Times New Roman" w:cs="Times New Roman"/>
          <w:sz w:val="28"/>
          <w:szCs w:val="28"/>
        </w:rPr>
        <w:t>,</w:t>
      </w:r>
      <w:r w:rsidR="00EE50EE" w:rsidRPr="00CB6062">
        <w:rPr>
          <w:rFonts w:ascii="Times New Roman" w:hAnsi="Times New Roman" w:cs="Times New Roman"/>
          <w:sz w:val="28"/>
          <w:szCs w:val="28"/>
        </w:rPr>
        <w:t>2</w:t>
      </w:r>
      <w:r w:rsidR="00530BF1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CB6062">
        <w:rPr>
          <w:rFonts w:ascii="Times New Roman" w:hAnsi="Times New Roman" w:cs="Times New Roman"/>
          <w:sz w:val="28"/>
          <w:szCs w:val="28"/>
        </w:rPr>
        <w:t>тыс</w:t>
      </w:r>
      <w:r w:rsidR="00A067AB" w:rsidRPr="00CB6062">
        <w:rPr>
          <w:rFonts w:ascii="Times New Roman" w:hAnsi="Times New Roman" w:cs="Times New Roman"/>
          <w:sz w:val="28"/>
          <w:szCs w:val="28"/>
        </w:rPr>
        <w:t xml:space="preserve">. тонн, что на </w:t>
      </w:r>
      <w:r w:rsidR="008B2E50" w:rsidRPr="00CB6062">
        <w:rPr>
          <w:rFonts w:ascii="Times New Roman" w:hAnsi="Times New Roman" w:cs="Times New Roman"/>
          <w:sz w:val="28"/>
          <w:szCs w:val="28"/>
        </w:rPr>
        <w:t>1</w:t>
      </w:r>
      <w:r w:rsidR="00EE50EE" w:rsidRPr="00CB6062">
        <w:rPr>
          <w:rFonts w:ascii="Times New Roman" w:hAnsi="Times New Roman" w:cs="Times New Roman"/>
          <w:sz w:val="28"/>
          <w:szCs w:val="28"/>
        </w:rPr>
        <w:t>4,5</w:t>
      </w:r>
      <w:r w:rsidR="00A067AB" w:rsidRPr="00CB6062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</w:t>
      </w:r>
      <w:r w:rsidR="005E65ED" w:rsidRPr="00CB6062">
        <w:rPr>
          <w:rFonts w:ascii="Times New Roman" w:hAnsi="Times New Roman" w:cs="Times New Roman"/>
          <w:sz w:val="28"/>
          <w:szCs w:val="28"/>
        </w:rPr>
        <w:t>7</w:t>
      </w:r>
      <w:r w:rsidR="00A067AB" w:rsidRPr="00CB606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E50EE" w:rsidRPr="00CB6062">
        <w:rPr>
          <w:rFonts w:ascii="Times New Roman" w:hAnsi="Times New Roman" w:cs="Times New Roman"/>
          <w:sz w:val="28"/>
          <w:szCs w:val="28"/>
        </w:rPr>
        <w:t>21 754,6</w:t>
      </w:r>
      <w:r w:rsidR="00530BF1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CB6062">
        <w:rPr>
          <w:rFonts w:ascii="Times New Roman" w:hAnsi="Times New Roman" w:cs="Times New Roman"/>
          <w:sz w:val="28"/>
          <w:szCs w:val="28"/>
        </w:rPr>
        <w:t>тыс</w:t>
      </w:r>
      <w:r w:rsidR="00A067AB" w:rsidRPr="00CB6062">
        <w:rPr>
          <w:rFonts w:ascii="Times New Roman" w:hAnsi="Times New Roman" w:cs="Times New Roman"/>
          <w:sz w:val="28"/>
          <w:szCs w:val="28"/>
        </w:rPr>
        <w:t>. тонн)</w:t>
      </w:r>
      <w:r w:rsidR="00395E64" w:rsidRPr="00CB6062">
        <w:rPr>
          <w:rFonts w:ascii="Times New Roman" w:hAnsi="Times New Roman" w:cs="Times New Roman"/>
          <w:sz w:val="28"/>
          <w:szCs w:val="28"/>
        </w:rPr>
        <w:t>.</w:t>
      </w:r>
    </w:p>
    <w:p w:rsidR="00BC7CB8" w:rsidRPr="00CB6062" w:rsidRDefault="00BC7CB8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CB6062" w:rsidRDefault="00B34E61" w:rsidP="00CB606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2" w:name="_Toc523843619"/>
      <w:r w:rsidRPr="00CB6062">
        <w:rPr>
          <w:rFonts w:ascii="Times New Roman" w:hAnsi="Times New Roman" w:cs="Times New Roman"/>
          <w:i/>
          <w:color w:val="auto"/>
          <w:sz w:val="28"/>
        </w:rPr>
        <w:t xml:space="preserve">Реализация угля АО </w:t>
      </w:r>
      <w:r w:rsidR="00A23008" w:rsidRPr="00CB6062">
        <w:rPr>
          <w:rFonts w:ascii="Times New Roman" w:hAnsi="Times New Roman" w:cs="Times New Roman"/>
          <w:i/>
          <w:color w:val="auto"/>
          <w:sz w:val="28"/>
        </w:rPr>
        <w:t>«</w:t>
      </w:r>
      <w:r w:rsidRPr="00CB6062">
        <w:rPr>
          <w:rFonts w:ascii="Times New Roman" w:hAnsi="Times New Roman" w:cs="Times New Roman"/>
          <w:i/>
          <w:color w:val="auto"/>
          <w:sz w:val="28"/>
        </w:rPr>
        <w:t>Самрук-Энерго</w:t>
      </w:r>
      <w:r w:rsidR="00A23008" w:rsidRPr="00CB6062">
        <w:rPr>
          <w:rFonts w:ascii="Times New Roman" w:hAnsi="Times New Roman" w:cs="Times New Roman"/>
          <w:i/>
          <w:color w:val="auto"/>
          <w:sz w:val="28"/>
        </w:rPr>
        <w:t>»</w:t>
      </w:r>
      <w:bookmarkEnd w:id="12"/>
    </w:p>
    <w:p w:rsidR="00B34E61" w:rsidRPr="00CB6062" w:rsidRDefault="00FF25FC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 xml:space="preserve">В </w:t>
      </w:r>
      <w:r w:rsidR="005E65ED" w:rsidRPr="00CB6062">
        <w:rPr>
          <w:rFonts w:ascii="Times New Roman" w:hAnsi="Times New Roman" w:cs="Times New Roman"/>
          <w:sz w:val="28"/>
          <w:szCs w:val="28"/>
        </w:rPr>
        <w:t>январе</w:t>
      </w:r>
      <w:r w:rsidR="008B2E50" w:rsidRPr="00CB6062">
        <w:rPr>
          <w:rFonts w:ascii="Times New Roman" w:hAnsi="Times New Roman" w:cs="Times New Roman"/>
          <w:sz w:val="28"/>
          <w:szCs w:val="28"/>
        </w:rPr>
        <w:t>-</w:t>
      </w:r>
      <w:r w:rsidR="00EE50EE" w:rsidRPr="00CB6062">
        <w:rPr>
          <w:rFonts w:ascii="Times New Roman" w:hAnsi="Times New Roman" w:cs="Times New Roman"/>
          <w:sz w:val="28"/>
          <w:szCs w:val="28"/>
        </w:rPr>
        <w:t>июл</w:t>
      </w:r>
      <w:r w:rsidR="00530BF1" w:rsidRPr="00CB6062">
        <w:rPr>
          <w:rFonts w:ascii="Times New Roman" w:hAnsi="Times New Roman" w:cs="Times New Roman"/>
          <w:sz w:val="28"/>
          <w:szCs w:val="28"/>
        </w:rPr>
        <w:t>е</w:t>
      </w:r>
      <w:r w:rsidR="005E65ED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B34E61" w:rsidRPr="00CB6062">
        <w:rPr>
          <w:rFonts w:ascii="Times New Roman" w:hAnsi="Times New Roman" w:cs="Times New Roman"/>
          <w:sz w:val="28"/>
          <w:szCs w:val="28"/>
        </w:rPr>
        <w:t>201</w:t>
      </w:r>
      <w:r w:rsidR="005E65ED" w:rsidRPr="00CB6062">
        <w:rPr>
          <w:rFonts w:ascii="Times New Roman" w:hAnsi="Times New Roman" w:cs="Times New Roman"/>
          <w:sz w:val="28"/>
          <w:szCs w:val="28"/>
        </w:rPr>
        <w:t>8</w:t>
      </w:r>
      <w:r w:rsidR="00B34E61" w:rsidRPr="00CB6062">
        <w:rPr>
          <w:rFonts w:ascii="Times New Roman" w:hAnsi="Times New Roman" w:cs="Times New Roman"/>
          <w:sz w:val="28"/>
          <w:szCs w:val="28"/>
        </w:rPr>
        <w:t xml:space="preserve"> год</w:t>
      </w:r>
      <w:r w:rsidR="005E65ED" w:rsidRPr="00CB6062">
        <w:rPr>
          <w:rFonts w:ascii="Times New Roman" w:hAnsi="Times New Roman" w:cs="Times New Roman"/>
          <w:sz w:val="28"/>
          <w:szCs w:val="28"/>
        </w:rPr>
        <w:t>а</w:t>
      </w:r>
      <w:r w:rsidR="00B34E61" w:rsidRPr="00CB6062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EE50EE" w:rsidRPr="00CB6062">
        <w:rPr>
          <w:rFonts w:ascii="Times New Roman" w:hAnsi="Times New Roman" w:cs="Times New Roman"/>
          <w:sz w:val="28"/>
          <w:szCs w:val="28"/>
        </w:rPr>
        <w:t>25 119,4</w:t>
      </w:r>
      <w:r w:rsidR="00530BF1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CB6062">
        <w:rPr>
          <w:rFonts w:ascii="Times New Roman" w:hAnsi="Times New Roman" w:cs="Times New Roman"/>
          <w:sz w:val="28"/>
          <w:szCs w:val="28"/>
        </w:rPr>
        <w:t>тыс</w:t>
      </w:r>
      <w:r w:rsidR="00B34E61" w:rsidRPr="00CB6062">
        <w:rPr>
          <w:rFonts w:ascii="Times New Roman" w:hAnsi="Times New Roman" w:cs="Times New Roman"/>
          <w:sz w:val="28"/>
          <w:szCs w:val="28"/>
        </w:rPr>
        <w:t>. тонн, в т.ч.:</w:t>
      </w:r>
    </w:p>
    <w:p w:rsidR="00B34E61" w:rsidRPr="00CB6062" w:rsidRDefault="00B34E61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 xml:space="preserve">- на внутренний рынок РК </w:t>
      </w:r>
      <w:r w:rsidR="00EE50EE" w:rsidRPr="00CB6062">
        <w:rPr>
          <w:rFonts w:ascii="Times New Roman" w:hAnsi="Times New Roman" w:cs="Times New Roman"/>
          <w:sz w:val="28"/>
          <w:szCs w:val="28"/>
        </w:rPr>
        <w:t>19 829,59</w:t>
      </w:r>
      <w:r w:rsidR="00530BF1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CB6062">
        <w:rPr>
          <w:rFonts w:ascii="Times New Roman" w:hAnsi="Times New Roman" w:cs="Times New Roman"/>
          <w:sz w:val="28"/>
          <w:szCs w:val="28"/>
        </w:rPr>
        <w:t>тыс</w:t>
      </w:r>
      <w:r w:rsidR="00A067AB" w:rsidRPr="00CB6062">
        <w:rPr>
          <w:rFonts w:ascii="Times New Roman" w:hAnsi="Times New Roman" w:cs="Times New Roman"/>
          <w:sz w:val="28"/>
          <w:szCs w:val="28"/>
        </w:rPr>
        <w:t xml:space="preserve">. тонн, что на </w:t>
      </w:r>
      <w:r w:rsidR="00411C12" w:rsidRPr="00CB6062">
        <w:rPr>
          <w:rFonts w:ascii="Times New Roman" w:hAnsi="Times New Roman" w:cs="Times New Roman"/>
          <w:sz w:val="28"/>
          <w:szCs w:val="28"/>
        </w:rPr>
        <w:t>2</w:t>
      </w:r>
      <w:r w:rsidR="00EE50EE" w:rsidRPr="00CB6062">
        <w:rPr>
          <w:rFonts w:ascii="Times New Roman" w:hAnsi="Times New Roman" w:cs="Times New Roman"/>
          <w:sz w:val="28"/>
          <w:szCs w:val="28"/>
        </w:rPr>
        <w:t>1,2</w:t>
      </w:r>
      <w:r w:rsidRPr="00CB6062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</w:t>
      </w:r>
      <w:r w:rsidR="005E65ED" w:rsidRPr="00CB6062">
        <w:rPr>
          <w:rFonts w:ascii="Times New Roman" w:hAnsi="Times New Roman" w:cs="Times New Roman"/>
          <w:sz w:val="28"/>
          <w:szCs w:val="28"/>
        </w:rPr>
        <w:t>7</w:t>
      </w:r>
      <w:r w:rsidRPr="00CB606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E50EE" w:rsidRPr="00CB6062">
        <w:rPr>
          <w:rFonts w:ascii="Times New Roman" w:hAnsi="Times New Roman" w:cs="Times New Roman"/>
          <w:sz w:val="28"/>
          <w:szCs w:val="28"/>
        </w:rPr>
        <w:t>16 357,9</w:t>
      </w:r>
      <w:r w:rsidR="00530BF1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5E65ED" w:rsidRPr="00CB6062">
        <w:rPr>
          <w:rFonts w:ascii="Times New Roman" w:hAnsi="Times New Roman" w:cs="Times New Roman"/>
          <w:sz w:val="28"/>
          <w:szCs w:val="28"/>
        </w:rPr>
        <w:t>тыс</w:t>
      </w:r>
      <w:r w:rsidRPr="00CB6062">
        <w:rPr>
          <w:rFonts w:ascii="Times New Roman" w:hAnsi="Times New Roman" w:cs="Times New Roman"/>
          <w:sz w:val="28"/>
          <w:szCs w:val="28"/>
        </w:rPr>
        <w:t>. тонн);</w:t>
      </w:r>
    </w:p>
    <w:p w:rsidR="00B34E61" w:rsidRPr="00CB6062" w:rsidRDefault="00B34E61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 xml:space="preserve">- на экспорт (РФ) – </w:t>
      </w:r>
      <w:r w:rsidR="00EE50EE" w:rsidRPr="00CB6062">
        <w:rPr>
          <w:rFonts w:ascii="Times New Roman" w:hAnsi="Times New Roman" w:cs="Times New Roman"/>
          <w:sz w:val="28"/>
          <w:szCs w:val="28"/>
        </w:rPr>
        <w:t>5 289,8</w:t>
      </w:r>
      <w:r w:rsidR="00530BF1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 xml:space="preserve">млн. тонн, что на </w:t>
      </w:r>
      <w:r w:rsidR="00EE50EE" w:rsidRPr="00CB6062">
        <w:rPr>
          <w:rFonts w:ascii="Times New Roman" w:hAnsi="Times New Roman" w:cs="Times New Roman"/>
          <w:sz w:val="28"/>
          <w:szCs w:val="28"/>
        </w:rPr>
        <w:t>5,5</w:t>
      </w:r>
      <w:r w:rsidRPr="00CB6062">
        <w:rPr>
          <w:rFonts w:ascii="Times New Roman" w:hAnsi="Times New Roman" w:cs="Times New Roman"/>
          <w:sz w:val="28"/>
          <w:szCs w:val="28"/>
        </w:rPr>
        <w:t xml:space="preserve">% </w:t>
      </w:r>
      <w:r w:rsidR="005E65ED" w:rsidRPr="00CB6062">
        <w:rPr>
          <w:rFonts w:ascii="Times New Roman" w:hAnsi="Times New Roman" w:cs="Times New Roman"/>
          <w:sz w:val="28"/>
          <w:szCs w:val="28"/>
        </w:rPr>
        <w:t>меньше</w:t>
      </w:r>
      <w:r w:rsidRPr="00CB6062">
        <w:rPr>
          <w:rFonts w:ascii="Times New Roman" w:hAnsi="Times New Roman" w:cs="Times New Roman"/>
          <w:sz w:val="28"/>
          <w:szCs w:val="28"/>
        </w:rPr>
        <w:t>, чем за соответствующий период 201</w:t>
      </w:r>
      <w:r w:rsidR="005E65ED" w:rsidRPr="00CB6062">
        <w:rPr>
          <w:rFonts w:ascii="Times New Roman" w:hAnsi="Times New Roman" w:cs="Times New Roman"/>
          <w:sz w:val="28"/>
          <w:szCs w:val="28"/>
        </w:rPr>
        <w:t>7</w:t>
      </w:r>
      <w:r w:rsidRPr="00CB6062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EE50EE" w:rsidRPr="00CB6062">
        <w:rPr>
          <w:rFonts w:ascii="Times New Roman" w:hAnsi="Times New Roman" w:cs="Times New Roman"/>
          <w:sz w:val="28"/>
          <w:szCs w:val="28"/>
        </w:rPr>
        <w:t xml:space="preserve">5 595,6 </w:t>
      </w:r>
      <w:r w:rsidR="005E65ED" w:rsidRPr="00CB6062">
        <w:rPr>
          <w:rFonts w:ascii="Times New Roman" w:hAnsi="Times New Roman" w:cs="Times New Roman"/>
          <w:sz w:val="28"/>
          <w:szCs w:val="28"/>
        </w:rPr>
        <w:t>тыс</w:t>
      </w:r>
      <w:r w:rsidRPr="00CB6062">
        <w:rPr>
          <w:rFonts w:ascii="Times New Roman" w:hAnsi="Times New Roman" w:cs="Times New Roman"/>
          <w:sz w:val="28"/>
          <w:szCs w:val="28"/>
        </w:rPr>
        <w:t>. тонн).</w:t>
      </w:r>
    </w:p>
    <w:p w:rsidR="00B34E61" w:rsidRPr="00CB6062" w:rsidRDefault="00B34E61" w:rsidP="00CB606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CB6062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B34E61" w:rsidRPr="00CB6062" w:rsidTr="0058001C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9424F" w:rsidRPr="00CB6062" w:rsidRDefault="00B9424F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CB6062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B36BC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9424F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9424F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34E61" w:rsidRPr="00CB6062" w:rsidTr="00AE6952">
        <w:trPr>
          <w:trHeight w:val="35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E61" w:rsidRPr="00CB6062" w:rsidRDefault="00D479C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="005C5322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0CEA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530BF1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34E61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34E61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E61" w:rsidRPr="00CB6062" w:rsidRDefault="00D479CD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="005C5322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B0CEA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июл</w:t>
            </w:r>
            <w:r w:rsidR="00530BF1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B34E61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39177D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34E61"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E61" w:rsidRPr="00CB6062" w:rsidRDefault="00B34E61" w:rsidP="00CB606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61" w:rsidRPr="00AE6952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0D0261" w:rsidRPr="00AE6952" w:rsidRDefault="000D0261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D0261" w:rsidRPr="00AE6952" w:rsidRDefault="000D0261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0261" w:rsidRPr="00AE6952" w:rsidRDefault="000D0261" w:rsidP="000D0261">
            <w:pPr>
              <w:jc w:val="center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E6952">
              <w:rPr>
                <w:rFonts w:ascii="Times New Roman" w:hAnsi="Times New Roman" w:cs="Times New Roman"/>
                <w:bCs/>
                <w:sz w:val="24"/>
                <w:szCs w:val="16"/>
              </w:rPr>
              <w:t>16 358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D0261" w:rsidRPr="00AE6952" w:rsidRDefault="000D0261" w:rsidP="000D0261">
            <w:pPr>
              <w:jc w:val="center"/>
              <w:rPr>
                <w:rFonts w:ascii="Times New Roman" w:hAnsi="Times New Roman" w:cs="Times New Roman"/>
                <w:bCs/>
                <w:sz w:val="24"/>
                <w:szCs w:val="16"/>
              </w:rPr>
            </w:pPr>
            <w:r w:rsidRPr="00AE6952">
              <w:rPr>
                <w:rFonts w:ascii="Times New Roman" w:hAnsi="Times New Roman" w:cs="Times New Roman"/>
                <w:bCs/>
                <w:sz w:val="24"/>
                <w:szCs w:val="16"/>
              </w:rPr>
              <w:t>19 830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D0261" w:rsidRPr="00AE6952" w:rsidRDefault="000D0261" w:rsidP="000D02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121,2%</w:t>
            </w:r>
          </w:p>
        </w:tc>
      </w:tr>
      <w:tr w:rsidR="000D0261" w:rsidRPr="00AE6952" w:rsidTr="000D0261">
        <w:trPr>
          <w:trHeight w:val="315"/>
        </w:trPr>
        <w:tc>
          <w:tcPr>
            <w:tcW w:w="567" w:type="dxa"/>
            <w:shd w:val="clear" w:color="auto" w:fill="auto"/>
            <w:vAlign w:val="center"/>
          </w:tcPr>
          <w:p w:rsidR="000D0261" w:rsidRPr="00AE6952" w:rsidRDefault="000D0261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D0261" w:rsidRPr="00AE6952" w:rsidRDefault="000D0261" w:rsidP="000D02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0D0261" w:rsidRPr="00AE6952" w:rsidRDefault="000D0261" w:rsidP="000D02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 xml:space="preserve">5 596 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D0261" w:rsidRPr="00AE6952" w:rsidRDefault="000D0261" w:rsidP="000D02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5 290</w:t>
            </w:r>
          </w:p>
        </w:tc>
        <w:tc>
          <w:tcPr>
            <w:tcW w:w="1938" w:type="dxa"/>
            <w:shd w:val="clear" w:color="auto" w:fill="auto"/>
            <w:vAlign w:val="bottom"/>
          </w:tcPr>
          <w:p w:rsidR="000D0261" w:rsidRPr="00AE6952" w:rsidRDefault="000D0261" w:rsidP="000D026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2">
              <w:rPr>
                <w:rFonts w:ascii="Times New Roman" w:hAnsi="Times New Roman" w:cs="Times New Roman"/>
                <w:sz w:val="24"/>
                <w:szCs w:val="24"/>
              </w:rPr>
              <w:t>94,5%</w:t>
            </w:r>
          </w:p>
        </w:tc>
      </w:tr>
    </w:tbl>
    <w:p w:rsidR="00CB6062" w:rsidRPr="00CB6062" w:rsidRDefault="00CB6062" w:rsidP="00CB606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3" w:name="_Toc503289885"/>
      <w:bookmarkStart w:id="14" w:name="_Toc523843620"/>
      <w:r w:rsidRPr="00AE6952">
        <w:rPr>
          <w:rFonts w:ascii="Times New Roman" w:hAnsi="Times New Roman" w:cs="Times New Roman"/>
          <w:b/>
        </w:rPr>
        <w:t>Возобновляемые источники энергии</w:t>
      </w:r>
      <w:bookmarkEnd w:id="13"/>
      <w:bookmarkEnd w:id="14"/>
    </w:p>
    <w:p w:rsidR="00AE6952" w:rsidRPr="00AE6952" w:rsidRDefault="00AE6952" w:rsidP="00AE6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малые ГЭС мощностью до 35 МВт) за 7 месяцев 2018 года составил 807,9 млн. кВтч или прирост 25,5% в сравнении с показателями 2017 года.</w:t>
      </w:r>
    </w:p>
    <w:p w:rsidR="006C42DB" w:rsidRPr="00CB6062" w:rsidRDefault="006C42DB" w:rsidP="00CB606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>млн. кВтч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457"/>
        <w:gridCol w:w="1003"/>
        <w:gridCol w:w="1051"/>
        <w:gridCol w:w="1120"/>
        <w:gridCol w:w="993"/>
        <w:gridCol w:w="960"/>
        <w:gridCol w:w="917"/>
      </w:tblGrid>
      <w:tr w:rsidR="006C42DB" w:rsidRPr="00CB6062" w:rsidTr="006C42DB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6C42DB" w:rsidRPr="00CB6062" w:rsidTr="006C42DB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январь-июль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 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58864,2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4378,1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7,4%</w:t>
            </w:r>
          </w:p>
        </w:tc>
      </w:tr>
      <w:tr w:rsidR="006C42DB" w:rsidRPr="00CB6062" w:rsidTr="006C42DB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зонам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25,5%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179,7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27,9%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10,2%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464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72,1%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75,3%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144,6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31,2%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lastRenderedPageBreak/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</w:t>
            </w:r>
          </w:p>
        </w:tc>
      </w:tr>
      <w:tr w:rsidR="006C42DB" w:rsidRPr="00CB6062" w:rsidTr="006C42DB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типам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643,7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164,2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25,5%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8,4%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36,7%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190,5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29,6%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18,0%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399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62,0%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63,0%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110,1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27,6%</w:t>
            </w:r>
          </w:p>
        </w:tc>
      </w:tr>
    </w:tbl>
    <w:p w:rsidR="006C42DB" w:rsidRPr="00CB6062" w:rsidRDefault="006C42DB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Выработка электроэнергии объектами ВИЭ АО «Самрук-Энерго» за январь-июль 2018г. </w:t>
      </w:r>
      <w:r w:rsidRPr="00CB606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CB6062">
        <w:rPr>
          <w:rFonts w:ascii="Times New Roman" w:eastAsia="Times New Roman" w:hAnsi="Times New Roman" w:cs="Times New Roman"/>
          <w:sz w:val="28"/>
          <w:lang w:eastAsia="ru-RU"/>
        </w:rPr>
        <w:t xml:space="preserve">209,1 </w:t>
      </w:r>
      <w:r w:rsidRPr="00CB6062">
        <w:rPr>
          <w:rFonts w:ascii="Times New Roman" w:hAnsi="Times New Roman" w:cs="Times New Roman"/>
          <w:sz w:val="28"/>
        </w:rPr>
        <w:t xml:space="preserve">млн. кВтч или 25,9% от общего объема вырабатываемой объектами ВИЭ электроэнергии, что по сравнению с аналогичным периодом 2017 года ниже на </w:t>
      </w:r>
      <w:r w:rsidRPr="00CB6062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CB6062">
        <w:rPr>
          <w:rFonts w:ascii="Times New Roman" w:hAnsi="Times New Roman" w:cs="Times New Roman"/>
          <w:sz w:val="28"/>
          <w:szCs w:val="28"/>
        </w:rPr>
        <w:t>%</w:t>
      </w:r>
      <w:r w:rsidRPr="00CB6062">
        <w:rPr>
          <w:rFonts w:ascii="Times New Roman" w:hAnsi="Times New Roman" w:cs="Times New Roman"/>
          <w:sz w:val="28"/>
        </w:rPr>
        <w:t xml:space="preserve"> (за 7 месяцев 2017г. выработка ВИЭ Общества</w:t>
      </w:r>
      <w:r w:rsidRPr="00CB6062">
        <w:rPr>
          <w:rFonts w:ascii="Times New Roman" w:hAnsi="Times New Roman" w:cs="Times New Roman"/>
        </w:rPr>
        <w:t xml:space="preserve"> </w:t>
      </w:r>
      <w:r w:rsidRPr="00CB6062">
        <w:rPr>
          <w:rFonts w:ascii="Times New Roman" w:hAnsi="Times New Roman" w:cs="Times New Roman"/>
          <w:sz w:val="28"/>
        </w:rPr>
        <w:t xml:space="preserve">составила </w:t>
      </w:r>
      <w:r w:rsidRPr="00CB6062">
        <w:rPr>
          <w:rFonts w:ascii="Times New Roman" w:eastAsia="Times New Roman" w:hAnsi="Times New Roman" w:cs="Times New Roman"/>
          <w:sz w:val="28"/>
          <w:lang w:eastAsia="ru-RU"/>
        </w:rPr>
        <w:t xml:space="preserve">226,4 </w:t>
      </w:r>
      <w:r w:rsidRPr="00CB6062">
        <w:rPr>
          <w:rFonts w:ascii="Times New Roman" w:hAnsi="Times New Roman" w:cs="Times New Roman"/>
          <w:sz w:val="28"/>
        </w:rPr>
        <w:t>млн. кВтч, доля ВИЭ Общества – 35,2%).</w:t>
      </w:r>
    </w:p>
    <w:p w:rsidR="006C42DB" w:rsidRPr="00CB6062" w:rsidRDefault="006C42DB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За январь-июль 2018г. по сравнению с аналогичным периодом 2017г. наблюдается снижение производства электроэнергии крупными и малыми ГЭС, в то время как производство электроэнергии объектами ВЭС и СЭС выросло. </w:t>
      </w:r>
    </w:p>
    <w:p w:rsidR="006C42DB" w:rsidRPr="00CB6062" w:rsidRDefault="006C42DB" w:rsidP="00CB606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CB6062" w:rsidRDefault="006C42DB" w:rsidP="00CB60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>млн. кВтч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8"/>
        <w:gridCol w:w="3759"/>
        <w:gridCol w:w="1053"/>
        <w:gridCol w:w="1054"/>
        <w:gridCol w:w="1110"/>
        <w:gridCol w:w="995"/>
        <w:gridCol w:w="957"/>
        <w:gridCol w:w="918"/>
      </w:tblGrid>
      <w:tr w:rsidR="006C42DB" w:rsidRPr="00CB6062" w:rsidTr="006C42DB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6C42DB" w:rsidRPr="00CB6062" w:rsidTr="006C42DB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 июль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 июль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Производство э/э в ЕЭС РК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58864,2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63242,3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4378,1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7,4%</w:t>
            </w:r>
          </w:p>
        </w:tc>
      </w:tr>
      <w:tr w:rsidR="006C42DB" w:rsidRPr="00CB6062" w:rsidTr="006C42DB">
        <w:trPr>
          <w:trHeight w:val="757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2DB" w:rsidRPr="00CB6062" w:rsidRDefault="006C42DB" w:rsidP="00CB606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Производство «чистой» электроэнергии (с учетом крупных и малых ГЭС, ВЭС и СЭС)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7466,3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12,7%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6801,0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10,8%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-665,3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-8,9%</w:t>
            </w:r>
          </w:p>
        </w:tc>
      </w:tr>
      <w:tr w:rsidR="006C42DB" w:rsidRPr="00CB6062" w:rsidTr="006C42DB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2DB" w:rsidRPr="00CB6062" w:rsidRDefault="006C42DB" w:rsidP="00CB6062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lang w:eastAsia="ru-RU"/>
              </w:rPr>
              <w:t>Производство «чистой» электроэнергии (с учетом малых ГЭС, ВЭС и СЭС) (согласно Закону о ВИЭ)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643,7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1,1%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807,9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1,3%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164,2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25,5%</w:t>
            </w:r>
          </w:p>
        </w:tc>
      </w:tr>
    </w:tbl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42DB" w:rsidRPr="00965771" w:rsidRDefault="006C42DB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965771">
        <w:rPr>
          <w:rFonts w:ascii="Times New Roman" w:hAnsi="Times New Roman" w:cs="Times New Roman"/>
          <w:i/>
          <w:sz w:val="28"/>
        </w:rPr>
        <w:t>Доля Общества в производстве «чистой» электроэнергии (крупные, малые ГЭС, ВЭС, СЭС) за 7 месяцев 2018г. снизила</w:t>
      </w:r>
      <w:r w:rsidR="008B01C4" w:rsidRPr="00965771">
        <w:rPr>
          <w:rFonts w:ascii="Times New Roman" w:hAnsi="Times New Roman" w:cs="Times New Roman"/>
          <w:i/>
          <w:sz w:val="28"/>
        </w:rPr>
        <w:t>сь до 27,4% (1 </w:t>
      </w:r>
      <w:r w:rsidR="008B01C4" w:rsidRPr="00965771">
        <w:rPr>
          <w:rFonts w:ascii="Times New Roman" w:hAnsi="Times New Roman" w:cs="Times New Roman"/>
          <w:i/>
          <w:sz w:val="28"/>
          <w:lang w:val="kk-KZ"/>
        </w:rPr>
        <w:t>860</w:t>
      </w:r>
      <w:r w:rsidR="008B01C4" w:rsidRPr="00965771">
        <w:rPr>
          <w:rFonts w:ascii="Times New Roman" w:hAnsi="Times New Roman" w:cs="Times New Roman"/>
          <w:i/>
          <w:sz w:val="28"/>
        </w:rPr>
        <w:t>,</w:t>
      </w:r>
      <w:r w:rsidR="008B01C4" w:rsidRPr="00965771">
        <w:rPr>
          <w:rFonts w:ascii="Times New Roman" w:hAnsi="Times New Roman" w:cs="Times New Roman"/>
          <w:i/>
          <w:sz w:val="28"/>
          <w:lang w:val="kk-KZ"/>
        </w:rPr>
        <w:t>7</w:t>
      </w:r>
      <w:r w:rsidRPr="00965771">
        <w:rPr>
          <w:rFonts w:ascii="Times New Roman" w:hAnsi="Times New Roman" w:cs="Times New Roman"/>
          <w:i/>
          <w:sz w:val="28"/>
        </w:rPr>
        <w:t xml:space="preserve"> млн. кВтч) в сравнении с</w:t>
      </w:r>
      <w:r w:rsidR="008B01C4" w:rsidRPr="00965771">
        <w:rPr>
          <w:rFonts w:ascii="Times New Roman" w:hAnsi="Times New Roman" w:cs="Times New Roman"/>
          <w:i/>
          <w:sz w:val="28"/>
        </w:rPr>
        <w:t xml:space="preserve"> аналогичным периодом 2017г. (2</w:t>
      </w:r>
      <w:r w:rsidR="008B01C4" w:rsidRPr="00965771">
        <w:rPr>
          <w:rFonts w:ascii="Times New Roman" w:hAnsi="Times New Roman" w:cs="Times New Roman"/>
          <w:i/>
          <w:sz w:val="28"/>
          <w:lang w:val="kk-KZ"/>
        </w:rPr>
        <w:t>9</w:t>
      </w:r>
      <w:r w:rsidR="008B01C4" w:rsidRPr="00965771">
        <w:rPr>
          <w:rFonts w:ascii="Times New Roman" w:hAnsi="Times New Roman" w:cs="Times New Roman"/>
          <w:i/>
          <w:sz w:val="28"/>
        </w:rPr>
        <w:t>,</w:t>
      </w:r>
      <w:r w:rsidR="008B01C4" w:rsidRPr="00965771">
        <w:rPr>
          <w:rFonts w:ascii="Times New Roman" w:hAnsi="Times New Roman" w:cs="Times New Roman"/>
          <w:i/>
          <w:sz w:val="28"/>
          <w:lang w:val="kk-KZ"/>
        </w:rPr>
        <w:t>7</w:t>
      </w:r>
      <w:r w:rsidR="008B01C4" w:rsidRPr="00965771">
        <w:rPr>
          <w:rFonts w:ascii="Times New Roman" w:hAnsi="Times New Roman" w:cs="Times New Roman"/>
          <w:i/>
          <w:sz w:val="28"/>
        </w:rPr>
        <w:t xml:space="preserve">% или </w:t>
      </w:r>
      <w:r w:rsidR="008B01C4" w:rsidRPr="00965771">
        <w:rPr>
          <w:rFonts w:ascii="Times New Roman" w:hAnsi="Times New Roman" w:cs="Times New Roman"/>
          <w:i/>
          <w:sz w:val="28"/>
          <w:lang w:val="kk-KZ"/>
        </w:rPr>
        <w:t>2 215</w:t>
      </w:r>
      <w:r w:rsidR="008B01C4" w:rsidRPr="00965771">
        <w:rPr>
          <w:rFonts w:ascii="Times New Roman" w:hAnsi="Times New Roman" w:cs="Times New Roman"/>
          <w:i/>
          <w:sz w:val="28"/>
        </w:rPr>
        <w:t>,</w:t>
      </w:r>
      <w:r w:rsidR="008B01C4" w:rsidRPr="00965771">
        <w:rPr>
          <w:rFonts w:ascii="Times New Roman" w:hAnsi="Times New Roman" w:cs="Times New Roman"/>
          <w:i/>
          <w:sz w:val="28"/>
          <w:lang w:val="kk-KZ"/>
        </w:rPr>
        <w:t>3</w:t>
      </w:r>
      <w:r w:rsidRPr="00965771">
        <w:rPr>
          <w:rFonts w:ascii="Times New Roman" w:hAnsi="Times New Roman" w:cs="Times New Roman"/>
          <w:i/>
          <w:sz w:val="28"/>
        </w:rPr>
        <w:t xml:space="preserve"> млн. кВтч).</w:t>
      </w:r>
    </w:p>
    <w:p w:rsidR="006C42DB" w:rsidRPr="00CB6062" w:rsidRDefault="006C42DB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965771">
        <w:rPr>
          <w:rFonts w:ascii="Times New Roman" w:hAnsi="Times New Roman" w:cs="Times New Roman"/>
          <w:i/>
          <w:sz w:val="28"/>
        </w:rPr>
        <w:t>Доля Общества в производстве электроэнергии объектами ВИЭ (малые ГЭС, ВЭС, СЭС) за январь-июль 2018г. составила 2</w:t>
      </w:r>
      <w:r w:rsidR="00B17590" w:rsidRPr="00965771">
        <w:rPr>
          <w:rFonts w:ascii="Times New Roman" w:hAnsi="Times New Roman" w:cs="Times New Roman"/>
          <w:i/>
          <w:sz w:val="28"/>
        </w:rPr>
        <w:t>5</w:t>
      </w:r>
      <w:r w:rsidRPr="00965771">
        <w:rPr>
          <w:rFonts w:ascii="Times New Roman" w:hAnsi="Times New Roman" w:cs="Times New Roman"/>
          <w:i/>
          <w:sz w:val="28"/>
        </w:rPr>
        <w:t>,9%.</w:t>
      </w:r>
    </w:p>
    <w:p w:rsidR="006C42DB" w:rsidRPr="00CB606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>млн. кВтч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741"/>
        <w:gridCol w:w="1003"/>
        <w:gridCol w:w="1051"/>
        <w:gridCol w:w="1010"/>
        <w:gridCol w:w="995"/>
        <w:gridCol w:w="960"/>
        <w:gridCol w:w="918"/>
      </w:tblGrid>
      <w:tr w:rsidR="006C42DB" w:rsidRPr="00CB6062" w:rsidTr="006C42DB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2017г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2018/2017гг,</w:t>
            </w:r>
          </w:p>
        </w:tc>
      </w:tr>
      <w:tr w:rsidR="006C42DB" w:rsidRPr="00CB6062" w:rsidTr="006C42DB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январь-июль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январь-июль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млн. кВтч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6C42DB" w:rsidRPr="00CB6062" w:rsidTr="006C42DB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lang w:eastAsia="ru-RU"/>
              </w:rPr>
              <w:t>Производство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B6062">
              <w:rPr>
                <w:rFonts w:ascii="Times New Roman" w:eastAsia="Times New Roman" w:hAnsi="Times New Roman" w:cs="Times New Roman"/>
                <w:lang w:eastAsia="ru-RU"/>
              </w:rPr>
              <w:t xml:space="preserve">АО «Самрук-Энерго» «чистой» электроэнергии (с учетом крупных и малых ГЭС, ВЭС и СЭС)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2215,3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29,7%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1860,7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27,4%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-354,6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-16,0%</w:t>
            </w:r>
          </w:p>
        </w:tc>
      </w:tr>
      <w:tr w:rsidR="006C42DB" w:rsidRPr="00CB6062" w:rsidTr="006C42DB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lang w:eastAsia="ru-RU"/>
              </w:rPr>
              <w:t>Производство АО «Самрук-Энерго» «чистой» электроэнергии (с учетом малых ГЭС, ВЭС и СЭС) (согласно Закону о ВИЭ), в т.ч.: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226,4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35,2%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209,1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25,9%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-17,3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-7,7%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lastRenderedPageBreak/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Каскад малых ГЭС АО «АлЭС»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122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53,9%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112,1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53,6%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-9,9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-8,1%</w:t>
            </w:r>
          </w:p>
        </w:tc>
      </w:tr>
      <w:tr w:rsidR="006C42DB" w:rsidRPr="00CB6062" w:rsidTr="006C42D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«Samruk-Green Energy»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0,8%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2,0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4,0%</w:t>
            </w:r>
          </w:p>
        </w:tc>
      </w:tr>
      <w:tr w:rsidR="006C42DB" w:rsidRPr="00CB6062" w:rsidTr="006C42DB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Calibri" w:eastAsia="Times New Roman" w:hAnsi="Calibri" w:cs="Arial CYR"/>
                <w:lang w:eastAsia="ru-RU"/>
              </w:rPr>
            </w:pPr>
            <w:r w:rsidRPr="00CB6062">
              <w:rPr>
                <w:rFonts w:ascii="Calibri" w:eastAsia="Times New Roman" w:hAnsi="Calibri" w:cs="Arial CYR"/>
                <w:lang w:eastAsia="ru-RU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102,5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45,3%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95,0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45,5%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-7,5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lang w:eastAsia="ru-RU"/>
              </w:rPr>
              <w:t>-7,3%</w:t>
            </w:r>
          </w:p>
        </w:tc>
      </w:tr>
    </w:tbl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C42DB" w:rsidRPr="00CB6062" w:rsidRDefault="006C42DB" w:rsidP="00CB606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C7CB8" w:rsidRPr="00CB6062" w:rsidRDefault="00541D3A" w:rsidP="00CB606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5" w:name="_Toc523843621"/>
      <w:r w:rsidRPr="00CB6062">
        <w:rPr>
          <w:rFonts w:ascii="Times New Roman" w:hAnsi="Times New Roman" w:cs="Times New Roman"/>
          <w:b/>
        </w:rPr>
        <w:t xml:space="preserve">Централизованные торги электроэнергией </w:t>
      </w:r>
      <w:r w:rsidR="00596C30" w:rsidRPr="00CB6062">
        <w:rPr>
          <w:rFonts w:ascii="Times New Roman" w:hAnsi="Times New Roman" w:cs="Times New Roman"/>
          <w:b/>
        </w:rPr>
        <w:t xml:space="preserve">АО </w:t>
      </w:r>
      <w:r w:rsidR="00A23008" w:rsidRPr="00CB6062">
        <w:rPr>
          <w:rFonts w:ascii="Times New Roman" w:hAnsi="Times New Roman" w:cs="Times New Roman"/>
          <w:b/>
        </w:rPr>
        <w:t>«</w:t>
      </w:r>
      <w:r w:rsidR="00596C30" w:rsidRPr="00CB6062">
        <w:rPr>
          <w:rFonts w:ascii="Times New Roman" w:hAnsi="Times New Roman" w:cs="Times New Roman"/>
          <w:b/>
        </w:rPr>
        <w:t>КОРЭМ</w:t>
      </w:r>
      <w:r w:rsidR="00A23008" w:rsidRPr="00CB6062">
        <w:rPr>
          <w:rFonts w:ascii="Times New Roman" w:hAnsi="Times New Roman" w:cs="Times New Roman"/>
          <w:b/>
        </w:rPr>
        <w:t>»</w:t>
      </w:r>
      <w:bookmarkEnd w:id="15"/>
    </w:p>
    <w:p w:rsidR="00BC7CB8" w:rsidRPr="00CB6062" w:rsidRDefault="00BC7CB8" w:rsidP="00CB6062">
      <w:pPr>
        <w:spacing w:after="0" w:line="240" w:lineRule="auto"/>
      </w:pPr>
    </w:p>
    <w:p w:rsidR="003417C6" w:rsidRPr="00CB6062" w:rsidRDefault="003417C6" w:rsidP="00CB606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6" w:name="_Toc523843622"/>
      <w:r w:rsidRPr="00CB6062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16"/>
    </w:p>
    <w:p w:rsidR="006E7478" w:rsidRPr="00CB6062" w:rsidRDefault="00415359" w:rsidP="00CB6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июле 2018 года были заключены 575 сделок объеме 306</w:t>
      </w:r>
      <w:r w:rsidR="00213A8D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533 тыс. кВтч на общую сумму 1</w:t>
      </w:r>
      <w:r w:rsidR="00213A8D" w:rsidRPr="00CB6062">
        <w:rPr>
          <w:rFonts w:ascii="Times New Roman" w:hAnsi="Times New Roman" w:cs="Times New Roman"/>
          <w:sz w:val="28"/>
          <w:szCs w:val="28"/>
        </w:rPr>
        <w:t> </w:t>
      </w:r>
      <w:r w:rsidRPr="00CB6062">
        <w:rPr>
          <w:rFonts w:ascii="Times New Roman" w:hAnsi="Times New Roman" w:cs="Times New Roman"/>
          <w:sz w:val="28"/>
          <w:szCs w:val="28"/>
        </w:rPr>
        <w:t>722</w:t>
      </w:r>
      <w:r w:rsidR="00213A8D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635,76 тыс. тенге (включая, в режиме «за день вперед», спот-торги «в течение операционных суток» и торги на среднесрочный и долгосрочный периоды), в том числе:</w:t>
      </w:r>
    </w:p>
    <w:p w:rsidR="006E7478" w:rsidRPr="00CB6062" w:rsidRDefault="006E7478" w:rsidP="00CB6062">
      <w:pPr>
        <w:pStyle w:val="a3"/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спот-торги в режиме «за д</w:t>
      </w:r>
      <w:r w:rsidR="00415359" w:rsidRPr="00CB6062">
        <w:rPr>
          <w:rFonts w:ascii="Times New Roman" w:hAnsi="Times New Roman" w:cs="Times New Roman"/>
          <w:sz w:val="28"/>
          <w:szCs w:val="28"/>
        </w:rPr>
        <w:t>ень вперед» - было заключено 53 сделки в объеме 9</w:t>
      </w:r>
      <w:r w:rsidR="00213A8D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415359" w:rsidRPr="00CB6062">
        <w:rPr>
          <w:rFonts w:ascii="Times New Roman" w:hAnsi="Times New Roman" w:cs="Times New Roman"/>
          <w:sz w:val="28"/>
          <w:szCs w:val="28"/>
        </w:rPr>
        <w:t>480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тыс. кВтч на общую сумму </w:t>
      </w:r>
      <w:r w:rsidR="00415359" w:rsidRPr="00CB6062">
        <w:rPr>
          <w:rFonts w:ascii="Times New Roman" w:hAnsi="Times New Roman" w:cs="Times New Roman"/>
          <w:sz w:val="28"/>
          <w:szCs w:val="28"/>
        </w:rPr>
        <w:t>69</w:t>
      </w:r>
      <w:r w:rsidR="00570DEE" w:rsidRPr="00CB6062">
        <w:rPr>
          <w:rFonts w:ascii="Times New Roman" w:hAnsi="Times New Roman" w:cs="Times New Roman"/>
          <w:sz w:val="28"/>
          <w:szCs w:val="28"/>
        </w:rPr>
        <w:t xml:space="preserve"> </w:t>
      </w:r>
      <w:r w:rsidR="00415359" w:rsidRPr="00CB6062">
        <w:rPr>
          <w:rFonts w:ascii="Times New Roman" w:hAnsi="Times New Roman" w:cs="Times New Roman"/>
          <w:sz w:val="28"/>
          <w:szCs w:val="28"/>
        </w:rPr>
        <w:t>737,66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тыс. тенге. Минимальная цена на спот-торгах в режиме «за день вперед» составила – 6</w:t>
      </w:r>
      <w:r w:rsidR="00415359" w:rsidRPr="00CB6062">
        <w:rPr>
          <w:rFonts w:ascii="Times New Roman" w:hAnsi="Times New Roman" w:cs="Times New Roman"/>
          <w:sz w:val="28"/>
          <w:szCs w:val="28"/>
        </w:rPr>
        <w:t>,9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тг/кВт</w:t>
      </w:r>
      <w:r w:rsidR="00415359" w:rsidRPr="00CB6062">
        <w:rPr>
          <w:rFonts w:ascii="Times New Roman" w:hAnsi="Times New Roman" w:cs="Times New Roman"/>
          <w:sz w:val="28"/>
          <w:szCs w:val="28"/>
        </w:rPr>
        <w:t>ч (без НДС), максимальная – 8,5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тг/кВтч (без НДС);</w:t>
      </w:r>
    </w:p>
    <w:p w:rsidR="006E7478" w:rsidRPr="00CB6062" w:rsidRDefault="006E7478" w:rsidP="00CB6062">
      <w:pPr>
        <w:pStyle w:val="a3"/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спот-торги «в течение операцион</w:t>
      </w:r>
      <w:r w:rsidR="00213A8D" w:rsidRPr="00CB6062">
        <w:rPr>
          <w:rFonts w:ascii="Times New Roman" w:hAnsi="Times New Roman" w:cs="Times New Roman"/>
          <w:sz w:val="28"/>
          <w:szCs w:val="28"/>
        </w:rPr>
        <w:t>ных суток» - было заключено 516 сделок в объеме 3 053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тыс. кВтч на общую сумму </w:t>
      </w:r>
      <w:r w:rsidR="00213A8D" w:rsidRPr="00CB6062">
        <w:rPr>
          <w:rFonts w:ascii="Times New Roman" w:hAnsi="Times New Roman" w:cs="Times New Roman"/>
          <w:sz w:val="28"/>
          <w:szCs w:val="28"/>
        </w:rPr>
        <w:t>15 632,5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тыс. тенге. Минимальная цена на спот-торгах «в течение оп</w:t>
      </w:r>
      <w:r w:rsidR="00213A8D" w:rsidRPr="00CB6062">
        <w:rPr>
          <w:rFonts w:ascii="Times New Roman" w:hAnsi="Times New Roman" w:cs="Times New Roman"/>
          <w:sz w:val="28"/>
          <w:szCs w:val="28"/>
        </w:rPr>
        <w:t>ерационных суток» составила 4,5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тг/кВтч (без НДС), а максимальная цена – 6,5 тг/кВтч (без НДС);</w:t>
      </w:r>
    </w:p>
    <w:p w:rsidR="00570DEE" w:rsidRPr="00CB6062" w:rsidRDefault="006E7478" w:rsidP="00CB6062">
      <w:pPr>
        <w:pStyle w:val="a3"/>
        <w:numPr>
          <w:ilvl w:val="0"/>
          <w:numId w:val="3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</w:t>
      </w:r>
      <w:r w:rsidR="00213A8D" w:rsidRPr="00CB6062">
        <w:rPr>
          <w:rFonts w:ascii="Times New Roman" w:hAnsi="Times New Roman" w:cs="Times New Roman"/>
          <w:sz w:val="28"/>
          <w:szCs w:val="28"/>
        </w:rPr>
        <w:t>чный периоды - было заключено 6</w:t>
      </w:r>
      <w:r w:rsidRPr="00CB6062">
        <w:rPr>
          <w:rFonts w:ascii="Times New Roman" w:hAnsi="Times New Roman" w:cs="Times New Roman"/>
          <w:sz w:val="28"/>
          <w:szCs w:val="28"/>
        </w:rPr>
        <w:t xml:space="preserve"> сделок объемом </w:t>
      </w:r>
      <w:r w:rsidR="00213A8D" w:rsidRPr="00CB6062">
        <w:rPr>
          <w:rFonts w:ascii="Times New Roman" w:hAnsi="Times New Roman" w:cs="Times New Roman"/>
          <w:sz w:val="28"/>
          <w:szCs w:val="28"/>
        </w:rPr>
        <w:t xml:space="preserve">294 000 </w:t>
      </w:r>
      <w:r w:rsidRPr="00CB6062">
        <w:rPr>
          <w:rFonts w:ascii="Times New Roman" w:hAnsi="Times New Roman" w:cs="Times New Roman"/>
          <w:sz w:val="28"/>
          <w:szCs w:val="28"/>
        </w:rPr>
        <w:t xml:space="preserve">тыс. кВтч на общую сумму </w:t>
      </w:r>
    </w:p>
    <w:p w:rsidR="00570DEE" w:rsidRPr="00CB6062" w:rsidRDefault="00570DEE" w:rsidP="00CB606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 xml:space="preserve">1 637 265,6 </w:t>
      </w:r>
      <w:r w:rsidR="006E7478" w:rsidRPr="00CB6062">
        <w:rPr>
          <w:rFonts w:ascii="Times New Roman" w:hAnsi="Times New Roman" w:cs="Times New Roman"/>
          <w:sz w:val="28"/>
          <w:szCs w:val="28"/>
        </w:rPr>
        <w:t>тыс. тенге. Минимальная цена по данному виду центр</w:t>
      </w:r>
      <w:r w:rsidRPr="00CB6062">
        <w:rPr>
          <w:rFonts w:ascii="Times New Roman" w:hAnsi="Times New Roman" w:cs="Times New Roman"/>
          <w:sz w:val="28"/>
          <w:szCs w:val="28"/>
        </w:rPr>
        <w:t>ализованных торгов составила 4,5</w:t>
      </w:r>
      <w:r w:rsidR="006E7478" w:rsidRPr="00CB6062">
        <w:rPr>
          <w:rFonts w:ascii="Times New Roman" w:hAnsi="Times New Roman" w:cs="Times New Roman"/>
          <w:sz w:val="28"/>
          <w:szCs w:val="28"/>
        </w:rPr>
        <w:t xml:space="preserve"> тг/кВтч</w:t>
      </w:r>
      <w:r w:rsidRPr="00CB6062">
        <w:rPr>
          <w:rFonts w:ascii="Times New Roman" w:hAnsi="Times New Roman" w:cs="Times New Roman"/>
          <w:sz w:val="28"/>
          <w:szCs w:val="28"/>
        </w:rPr>
        <w:t xml:space="preserve"> (без НДС), максимальная – 8,3</w:t>
      </w:r>
      <w:r w:rsidR="006E7478" w:rsidRPr="00CB6062">
        <w:rPr>
          <w:rFonts w:ascii="Times New Roman" w:hAnsi="Times New Roman" w:cs="Times New Roman"/>
          <w:sz w:val="28"/>
          <w:szCs w:val="28"/>
        </w:rPr>
        <w:t xml:space="preserve"> тг/кВтч (без НДС).</w:t>
      </w:r>
    </w:p>
    <w:p w:rsidR="00570DEE" w:rsidRPr="00CB6062" w:rsidRDefault="006E7478" w:rsidP="00B17590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За аналогичный период 2017 года общий объем це</w:t>
      </w:r>
      <w:r w:rsidR="00570DEE" w:rsidRPr="00CB6062">
        <w:rPr>
          <w:rFonts w:ascii="Times New Roman" w:hAnsi="Times New Roman" w:cs="Times New Roman"/>
          <w:sz w:val="28"/>
          <w:szCs w:val="28"/>
        </w:rPr>
        <w:t>нтрализованных торгов составил 12 757 455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тыс. кВтч. В таблице 4 приведена динамика цен сделок, заключенных на централизованных торгах в июне 2017 и 2018 года.</w:t>
      </w:r>
    </w:p>
    <w:p w:rsidR="003417C6" w:rsidRPr="00CB6062" w:rsidRDefault="003417C6" w:rsidP="00CB606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3417C6" w:rsidRPr="00CB6062" w:rsidRDefault="003417C6" w:rsidP="00CB6062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 xml:space="preserve">в </w:t>
      </w:r>
      <w:r w:rsidR="00936844" w:rsidRPr="00CB6062">
        <w:rPr>
          <w:rFonts w:ascii="Times New Roman" w:hAnsi="Times New Roman" w:cs="Times New Roman"/>
          <w:sz w:val="28"/>
          <w:szCs w:val="28"/>
        </w:rPr>
        <w:t>июл</w:t>
      </w:r>
      <w:r w:rsidR="006E7478" w:rsidRPr="00CB6062">
        <w:rPr>
          <w:rFonts w:ascii="Times New Roman" w:hAnsi="Times New Roman" w:cs="Times New Roman"/>
          <w:sz w:val="28"/>
          <w:szCs w:val="28"/>
        </w:rPr>
        <w:t>е</w:t>
      </w:r>
      <w:r w:rsidRPr="00CB6062">
        <w:rPr>
          <w:rFonts w:ascii="Times New Roman" w:hAnsi="Times New Roman" w:cs="Times New Roman"/>
          <w:sz w:val="28"/>
          <w:szCs w:val="28"/>
        </w:rPr>
        <w:t xml:space="preserve"> 201</w:t>
      </w:r>
      <w:r w:rsidR="003E6BEE" w:rsidRPr="00CB6062">
        <w:rPr>
          <w:rFonts w:ascii="Times New Roman" w:hAnsi="Times New Roman" w:cs="Times New Roman"/>
          <w:sz w:val="28"/>
          <w:szCs w:val="28"/>
        </w:rPr>
        <w:t>7</w:t>
      </w:r>
      <w:r w:rsidRPr="00CB6062">
        <w:rPr>
          <w:rFonts w:ascii="Times New Roman" w:hAnsi="Times New Roman" w:cs="Times New Roman"/>
          <w:sz w:val="28"/>
          <w:szCs w:val="28"/>
        </w:rPr>
        <w:t>-201</w:t>
      </w:r>
      <w:r w:rsidR="003E6BEE" w:rsidRPr="00CB6062">
        <w:rPr>
          <w:rFonts w:ascii="Times New Roman" w:hAnsi="Times New Roman" w:cs="Times New Roman"/>
          <w:sz w:val="28"/>
          <w:szCs w:val="28"/>
        </w:rPr>
        <w:t>8</w:t>
      </w:r>
      <w:r w:rsidRPr="00CB6062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3D60D6" w:rsidRPr="00CB6062" w:rsidTr="00570DEE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</w:t>
            </w:r>
            <w:r w:rsidR="006E7478"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3D60D6" w:rsidRPr="00CB6062" w:rsidTr="00570DEE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3D60D6" w:rsidRPr="00CB6062" w:rsidTr="00570DEE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0D6" w:rsidRPr="00CB6062" w:rsidRDefault="003D60D6" w:rsidP="00CB60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0D6" w:rsidRPr="00CB6062" w:rsidRDefault="003D60D6" w:rsidP="00B17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тг/кВт</w:t>
            </w:r>
            <w:r w:rsidR="00B175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 </w:t>
            </w: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(без НДС)</w:t>
            </w:r>
          </w:p>
        </w:tc>
      </w:tr>
      <w:tr w:rsidR="006E7478" w:rsidRPr="00CB6062" w:rsidTr="00570DEE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E7478" w:rsidRPr="00CB6062" w:rsidRDefault="006E7478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7478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7478" w:rsidRPr="00CB6062" w:rsidRDefault="006E7478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70DEE"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7478" w:rsidRPr="00CB6062" w:rsidRDefault="006E7478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7478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7478" w:rsidRPr="00CB6062" w:rsidRDefault="006E7478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6E7478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E7478" w:rsidRPr="00CB6062" w:rsidTr="00570DEE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E7478" w:rsidRPr="00CB6062" w:rsidRDefault="006E7478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E7478" w:rsidRPr="00CB6062" w:rsidRDefault="006E7478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570DEE"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E7478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E7478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E7478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E7478" w:rsidRPr="00CB6062" w:rsidRDefault="00570DE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6E7478" w:rsidRPr="00CB6062" w:rsidRDefault="006E7478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6.5</w:t>
            </w:r>
          </w:p>
        </w:tc>
      </w:tr>
    </w:tbl>
    <w:p w:rsidR="00936844" w:rsidRPr="00AE6952" w:rsidRDefault="00936844" w:rsidP="00AE6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CB6062" w:rsidRDefault="003417C6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7" w:name="_Toc523843623"/>
      <w:r w:rsidRPr="00CB6062">
        <w:rPr>
          <w:rFonts w:ascii="Times New Roman" w:hAnsi="Times New Roman" w:cs="Times New Roman"/>
          <w:i/>
          <w:color w:val="auto"/>
          <w:sz w:val="28"/>
        </w:rPr>
        <w:t>Итоги спот-торгов в режиме «за день вперед»</w:t>
      </w:r>
      <w:bookmarkEnd w:id="17"/>
    </w:p>
    <w:p w:rsidR="006E7478" w:rsidRPr="00CB6062" w:rsidRDefault="006E7478" w:rsidP="00CB60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По итог</w:t>
      </w:r>
      <w:r w:rsidR="00936844" w:rsidRPr="00CB6062">
        <w:rPr>
          <w:rFonts w:ascii="Times New Roman" w:hAnsi="Times New Roman" w:cs="Times New Roman"/>
          <w:sz w:val="28"/>
          <w:szCs w:val="28"/>
        </w:rPr>
        <w:t>ам проведенных спот-торгов в июле 2018 года было заключено 53 сделки</w:t>
      </w:r>
      <w:r w:rsidRPr="00CB6062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936844" w:rsidRPr="00CB6062">
        <w:rPr>
          <w:rFonts w:ascii="Times New Roman" w:hAnsi="Times New Roman" w:cs="Times New Roman"/>
          <w:sz w:val="28"/>
          <w:szCs w:val="28"/>
        </w:rPr>
        <w:t>9 480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тыс. кВтч, минимальная клиринговая цена на спот-торгах в режиме «за день вперед» составила – 6</w:t>
      </w:r>
      <w:r w:rsidR="00936844" w:rsidRPr="00CB6062">
        <w:rPr>
          <w:rFonts w:ascii="Times New Roman" w:hAnsi="Times New Roman" w:cs="Times New Roman"/>
          <w:sz w:val="28"/>
          <w:szCs w:val="28"/>
        </w:rPr>
        <w:t>,9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тг/кВт</w:t>
      </w:r>
      <w:r w:rsidR="00936844" w:rsidRPr="00CB6062">
        <w:rPr>
          <w:rFonts w:ascii="Times New Roman" w:hAnsi="Times New Roman" w:cs="Times New Roman"/>
          <w:sz w:val="28"/>
          <w:szCs w:val="28"/>
        </w:rPr>
        <w:t>ч (без НДС), максимальная – 8,5</w:t>
      </w:r>
      <w:r w:rsidRPr="00CB6062">
        <w:rPr>
          <w:rFonts w:ascii="Times New Roman" w:hAnsi="Times New Roman" w:cs="Times New Roman"/>
          <w:sz w:val="28"/>
          <w:szCs w:val="28"/>
        </w:rPr>
        <w:t xml:space="preserve"> тг/кВтч (без НДС).</w:t>
      </w:r>
    </w:p>
    <w:p w:rsidR="00946B06" w:rsidRPr="00CB6062" w:rsidRDefault="00F01E7E" w:rsidP="00CB6062">
      <w:pPr>
        <w:pStyle w:val="a3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9162" cy="5149970"/>
            <wp:effectExtent l="0" t="0" r="0" b="0"/>
            <wp:docPr id="3" name="Рисунок 3" descr="C:\Users\a.absultan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absultan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961" cy="51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B06" w:rsidRPr="00CB6062" w:rsidRDefault="00F01E7E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Из таблицы видно, что суммарный объем спроса составил 55</w:t>
      </w:r>
      <w:r w:rsidR="00184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244 тыс. кВтч, при этом суммарный объем предложения составил 10</w:t>
      </w:r>
      <w:r w:rsidR="00184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416 тыс. кВтч. Неудовлетворенный объем спроса в июле 2018 года составил 45</w:t>
      </w:r>
      <w:r w:rsidR="00184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764 тыс.кВтч. В процессе спот-торгов в торговую систему всего было принято заявок в количестве - 268, из них 250 заявок от покупателей и 18 заявок от продавцов.</w:t>
      </w:r>
    </w:p>
    <w:p w:rsidR="00946B06" w:rsidRPr="00CB6062" w:rsidRDefault="00946B06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7C6" w:rsidRPr="00CB6062" w:rsidRDefault="003417C6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8" w:name="_Toc523843624"/>
      <w:r w:rsidRPr="00CB6062">
        <w:rPr>
          <w:rFonts w:ascii="Times New Roman" w:hAnsi="Times New Roman" w:cs="Times New Roman"/>
          <w:i/>
          <w:color w:val="auto"/>
          <w:sz w:val="28"/>
        </w:rPr>
        <w:t>Итоги спот-торгов «в течение операционных суток»</w:t>
      </w:r>
      <w:bookmarkEnd w:id="18"/>
    </w:p>
    <w:p w:rsidR="006E7478" w:rsidRPr="00CB6062" w:rsidRDefault="00F01E7E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По итогам проведенных торгов в июле 2018 года было заключено 516 сделок в объеме 3 053 тыс. кВтч на общую сумму 15 632,5 тыс. тенге. Минимальная цена на спот-торгах «в течение операционных суток» составила 4,5 тг/кВтч (без НДС), а максимальная цена – 6,5 тг/кВтч (без НДС). По итогам проведенных торгов в июле 2017 года было заключено 1 852 сделки в объеме 16 557 тыс. кВтч. Минимальная цена на спот-торгах «в течение операционных суток» составила 4,5 тг/кВтч (без НДС), а максимальная цена – 12 тг/кВтч (без НДС).</w:t>
      </w:r>
    </w:p>
    <w:p w:rsidR="003417C6" w:rsidRPr="00CB6062" w:rsidRDefault="003417C6" w:rsidP="00CB6062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19" w:name="_Toc523843625"/>
      <w:r w:rsidRPr="00CB6062">
        <w:rPr>
          <w:rFonts w:ascii="Times New Roman" w:hAnsi="Times New Roman" w:cs="Times New Roman"/>
          <w:i/>
          <w:color w:val="auto"/>
          <w:sz w:val="28"/>
        </w:rPr>
        <w:t>Итоги торгов на средне- и долгосрочный период</w:t>
      </w:r>
      <w:bookmarkEnd w:id="19"/>
    </w:p>
    <w:p w:rsidR="006E7478" w:rsidRPr="00CB6062" w:rsidRDefault="00F01E7E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 xml:space="preserve">В июле 2018 года по итогам торгов на средне- и долгосрочный периоды </w:t>
      </w:r>
      <w:r w:rsidR="001841F0">
        <w:rPr>
          <w:rFonts w:ascii="Times New Roman" w:hAnsi="Times New Roman" w:cs="Times New Roman"/>
          <w:sz w:val="28"/>
          <w:szCs w:val="28"/>
        </w:rPr>
        <w:t>было заключено 6 сделок объемом</w:t>
      </w:r>
      <w:r w:rsidR="00184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294 000 тыс. кВтч на общую сумму 1</w:t>
      </w:r>
      <w:r w:rsidR="00184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637</w:t>
      </w:r>
      <w:r w:rsidR="001841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265,6 тыс. тенге, в том числе:</w:t>
      </w:r>
    </w:p>
    <w:p w:rsidR="006E7478" w:rsidRPr="00CB6062" w:rsidRDefault="00F01E7E" w:rsidP="00CB606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t>4 недельных контракта объемом 189</w:t>
      </w:r>
      <w:r w:rsidR="006B2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>840 тыс.кВтч. Цена контрактов составила 4,5 тг/кВтч (без НДС).</w:t>
      </w:r>
    </w:p>
    <w:p w:rsidR="006E7478" w:rsidRPr="00CB6062" w:rsidRDefault="00F01E7E" w:rsidP="00CB606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062">
        <w:rPr>
          <w:rFonts w:ascii="Times New Roman" w:hAnsi="Times New Roman" w:cs="Times New Roman"/>
          <w:sz w:val="28"/>
          <w:szCs w:val="28"/>
        </w:rPr>
        <w:lastRenderedPageBreak/>
        <w:t>2 контракта с поставкой на август месяц общим объемом 104</w:t>
      </w:r>
      <w:r w:rsidR="006B21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062">
        <w:rPr>
          <w:rFonts w:ascii="Times New Roman" w:hAnsi="Times New Roman" w:cs="Times New Roman"/>
          <w:sz w:val="28"/>
          <w:szCs w:val="28"/>
        </w:rPr>
        <w:t xml:space="preserve">160 тыс.кВтч. Максимальная цена составила 8,3 тг/кВтч (без НДС), </w:t>
      </w:r>
      <w:r w:rsidR="00B17590">
        <w:rPr>
          <w:rFonts w:ascii="Times New Roman" w:hAnsi="Times New Roman" w:cs="Times New Roman"/>
          <w:sz w:val="28"/>
          <w:szCs w:val="28"/>
        </w:rPr>
        <w:t>а минимальная цена – 7,5 тг/кВтч</w:t>
      </w:r>
      <w:r w:rsidRPr="00CB6062">
        <w:rPr>
          <w:rFonts w:ascii="Times New Roman" w:hAnsi="Times New Roman" w:cs="Times New Roman"/>
          <w:sz w:val="28"/>
          <w:szCs w:val="28"/>
        </w:rPr>
        <w:t xml:space="preserve"> (без НДС).</w:t>
      </w:r>
    </w:p>
    <w:p w:rsidR="006C42DB" w:rsidRPr="00CB6062" w:rsidRDefault="006C42DB" w:rsidP="00CB6062">
      <w:pPr>
        <w:pStyle w:val="1"/>
        <w:tabs>
          <w:tab w:val="left" w:pos="426"/>
        </w:tabs>
        <w:spacing w:before="0" w:line="240" w:lineRule="auto"/>
        <w:ind w:left="720"/>
        <w:rPr>
          <w:rFonts w:ascii="Times New Roman" w:hAnsi="Times New Roman" w:cs="Times New Roman"/>
          <w:b/>
        </w:rPr>
      </w:pPr>
    </w:p>
    <w:p w:rsidR="006C42DB" w:rsidRPr="00CB6062" w:rsidRDefault="006C42D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</w:rPr>
      </w:pPr>
      <w:bookmarkStart w:id="20" w:name="_Toc523843626"/>
      <w:r w:rsidRPr="00CB6062">
        <w:rPr>
          <w:rFonts w:ascii="Times New Roman" w:hAnsi="Times New Roman" w:cs="Times New Roman"/>
          <w:b/>
        </w:rPr>
        <w:t>Экспорт-импорт электрической энергии</w:t>
      </w:r>
      <w:bookmarkEnd w:id="20"/>
      <w:r w:rsidRPr="00CB6062">
        <w:rPr>
          <w:rFonts w:ascii="Times New Roman" w:hAnsi="Times New Roman" w:cs="Times New Roman"/>
          <w:b/>
        </w:rPr>
        <w:t xml:space="preserve"> </w:t>
      </w:r>
    </w:p>
    <w:p w:rsidR="006C42DB" w:rsidRPr="00CB6062" w:rsidRDefault="006C42DB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2DB" w:rsidRPr="00CB6062" w:rsidRDefault="006C42DB" w:rsidP="00CB6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8"/>
          <w:szCs w:val="28"/>
        </w:rPr>
        <w:t>В январе-июле 2018 года основным направлением экспорта-импорта электроэнергии РК стала РФ (экспорт в РФ – 4,4 млрд. кВтч, импорт из РФ – 0,8 млрд. кВтч). Экибастузской ГРЭС-1 экспортировано в РФ 3,7 млрд. кВтч (с 02.08.2018г экспорт в РФ прекращен по инициативе российский стороны), АО «</w:t>
      </w:r>
      <w:r w:rsidRPr="00CB6062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CB6062">
        <w:rPr>
          <w:rFonts w:ascii="Times New Roman" w:hAnsi="Times New Roman" w:cs="Times New Roman"/>
          <w:sz w:val="28"/>
          <w:szCs w:val="28"/>
        </w:rPr>
        <w:t>» – 0,6 млрд. кВтч в целях балансирования производства-потребления электроэнергии. Импорт электроэнергии из РФ за отчетный период в объеме 0,8 млрд. кВтч осуществлялся в целях балансирования производства-потребления электроэнергии.</w:t>
      </w:r>
    </w:p>
    <w:p w:rsidR="006C42DB" w:rsidRPr="00CB6062" w:rsidRDefault="006C42DB" w:rsidP="00CB606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B6062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6C42DB" w:rsidRPr="00CB6062" w:rsidTr="006C42DB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янв.-июль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янв.- июль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2018/2017гг</w:t>
            </w:r>
          </w:p>
        </w:tc>
      </w:tr>
      <w:tr w:rsidR="006C42DB" w:rsidRPr="00CB6062" w:rsidTr="006C42DB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42DB" w:rsidRPr="00CB6062" w:rsidRDefault="006C42DB" w:rsidP="00CB6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42DB" w:rsidRPr="00CB6062" w:rsidRDefault="006C42DB" w:rsidP="00CB60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C42DB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3 333,7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4 387,0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31,6%</w:t>
            </w:r>
          </w:p>
        </w:tc>
      </w:tr>
      <w:tr w:rsidR="006C42DB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2DB" w:rsidRPr="00AE6952" w:rsidRDefault="006C42DB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3 330,1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4 384,1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31,7%</w:t>
            </w:r>
          </w:p>
        </w:tc>
      </w:tr>
      <w:tr w:rsidR="006C42DB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2DB" w:rsidRPr="00AE6952" w:rsidRDefault="006C42DB" w:rsidP="00AE6952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AE695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95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-18,9%</w:t>
            </w:r>
          </w:p>
        </w:tc>
      </w:tr>
      <w:tr w:rsidR="006C42DB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787,2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8,4%</w:t>
            </w:r>
          </w:p>
        </w:tc>
      </w:tr>
      <w:tr w:rsidR="006C42DB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2DB" w:rsidRPr="0011642D" w:rsidRDefault="006C42DB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721,9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8,3%</w:t>
            </w:r>
          </w:p>
        </w:tc>
      </w:tr>
      <w:tr w:rsidR="006C42DB" w:rsidRPr="00CB6062" w:rsidTr="006C42DB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2DB" w:rsidRPr="0011642D" w:rsidRDefault="006C42DB" w:rsidP="0011642D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25,8%</w:t>
            </w:r>
          </w:p>
        </w:tc>
      </w:tr>
      <w:tr w:rsidR="006C42DB" w:rsidRPr="00CB6062" w:rsidTr="006C42DB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C42DB" w:rsidRPr="00CB6062" w:rsidRDefault="006C42DB" w:rsidP="00CB6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Сальдо-переток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-2 607,5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-3 599,8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42DB" w:rsidRPr="00CB6062" w:rsidRDefault="006C42DB" w:rsidP="00CB60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60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38,1%</w:t>
            </w:r>
          </w:p>
        </w:tc>
      </w:tr>
    </w:tbl>
    <w:p w:rsidR="006C42DB" w:rsidRPr="00CB6062" w:rsidRDefault="006C42DB" w:rsidP="00CB6062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</w:p>
    <w:p w:rsidR="008647BB" w:rsidRPr="0011642D" w:rsidRDefault="00B94F51" w:rsidP="0011642D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</w:rPr>
      </w:pPr>
      <w:bookmarkStart w:id="21" w:name="_Toc523843627"/>
      <w:r w:rsidRPr="00CB6062">
        <w:rPr>
          <w:rFonts w:ascii="Times New Roman" w:hAnsi="Times New Roman" w:cs="Times New Roman"/>
          <w:b/>
        </w:rPr>
        <w:t>РАЗДЕЛ II</w:t>
      </w:r>
      <w:bookmarkEnd w:id="21"/>
    </w:p>
    <w:p w:rsidR="00387115" w:rsidRPr="00CB6062" w:rsidRDefault="00387115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2" w:name="_Toc523843629"/>
      <w:r w:rsidRPr="00CB6062">
        <w:rPr>
          <w:rFonts w:ascii="Times New Roman" w:hAnsi="Times New Roman" w:cs="Times New Roman"/>
          <w:b/>
        </w:rPr>
        <w:t>Статус формировани</w:t>
      </w:r>
      <w:r w:rsidR="005070DF" w:rsidRPr="00CB6062">
        <w:rPr>
          <w:rFonts w:ascii="Times New Roman" w:hAnsi="Times New Roman" w:cs="Times New Roman"/>
          <w:b/>
        </w:rPr>
        <w:t>я</w:t>
      </w:r>
      <w:r w:rsidRPr="00CB6062">
        <w:rPr>
          <w:rFonts w:ascii="Times New Roman" w:hAnsi="Times New Roman" w:cs="Times New Roman"/>
          <w:b/>
        </w:rPr>
        <w:t xml:space="preserve"> Общего электроэнергетического рынка Евразийского экономического союза</w:t>
      </w:r>
      <w:bookmarkEnd w:id="22"/>
    </w:p>
    <w:p w:rsidR="00C82DFF" w:rsidRPr="00CB6062" w:rsidRDefault="00C82DFF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До 1 июля 2018г. согласно Плану мероприятий по формированию ОЭР ЕАЭС планируется разработка соответствующих документов по формированию ОЭР ЕАЭС.</w:t>
      </w: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С июля 2018г. по июль 2019г. планируется заключение международного договора в рамках ЕАЭС о формировании ОЭР и не позднее 1 июля 2019 года вступление в силу.</w:t>
      </w:r>
    </w:p>
    <w:p w:rsidR="006C42DB" w:rsidRPr="00CB6062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проводилась работа по разработке и согласованию странами-участницами ЕАЭС Соглашения об ОЭР ЕАЭС. </w:t>
      </w:r>
    </w:p>
    <w:p w:rsidR="006C42DB" w:rsidRDefault="006C42DB" w:rsidP="00CB6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15-16.01.2018г., 02.02.2018г., 26-27.02.2018г., 01.03.2018г., 19-20.03.2018г., 05-07.06.2018г., 02-03.08.2018г., 16-17.08.2018г. проведен ряд совещаний уполномоченных представителей государств-членов ЕАЭС по вопросу согласования проекта Соглашения и правил функционирования ОЭР ЕАЭС. По итогам проведенных заседаний и совещаний имеются ряд спорных вопр</w:t>
      </w:r>
      <w:r w:rsidR="00410BC9">
        <w:rPr>
          <w:rFonts w:ascii="Times New Roman" w:hAnsi="Times New Roman" w:cs="Times New Roman"/>
          <w:sz w:val="28"/>
        </w:rPr>
        <w:t>осов в части формулировок норм.</w:t>
      </w:r>
    </w:p>
    <w:p w:rsidR="00387115" w:rsidRPr="00CB6062" w:rsidRDefault="00387115" w:rsidP="000D0261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3" w:name="_Toc523843630"/>
      <w:r w:rsidRPr="00CB6062">
        <w:rPr>
          <w:rFonts w:ascii="Times New Roman" w:hAnsi="Times New Roman" w:cs="Times New Roman"/>
          <w:b/>
        </w:rPr>
        <w:lastRenderedPageBreak/>
        <w:t xml:space="preserve">Статус формирования </w:t>
      </w:r>
      <w:r w:rsidR="005070DF" w:rsidRPr="00CB6062">
        <w:rPr>
          <w:rFonts w:ascii="Times New Roman" w:hAnsi="Times New Roman" w:cs="Times New Roman"/>
          <w:b/>
        </w:rPr>
        <w:t>Э</w:t>
      </w:r>
      <w:r w:rsidRPr="00CB6062">
        <w:rPr>
          <w:rFonts w:ascii="Times New Roman" w:hAnsi="Times New Roman" w:cs="Times New Roman"/>
          <w:b/>
        </w:rPr>
        <w:t>лектроэнергетического рынка СНГ</w:t>
      </w:r>
      <w:bookmarkEnd w:id="23"/>
    </w:p>
    <w:p w:rsidR="00387115" w:rsidRPr="00CB6062" w:rsidRDefault="00387115" w:rsidP="00CB606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CB6062" w:rsidRDefault="0007078E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С 1992 года проведено 51 заседание Электроэнергетического Совета Содружества Независимых Государств (далее – ЭЭС СНГ). </w:t>
      </w:r>
    </w:p>
    <w:p w:rsidR="00387115" w:rsidRPr="00CB6062" w:rsidRDefault="0007078E" w:rsidP="00CB6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CB6062">
        <w:rPr>
          <w:rFonts w:ascii="Times New Roman" w:hAnsi="Times New Roman" w:cs="Times New Roman"/>
          <w:sz w:val="28"/>
        </w:rPr>
        <w:t>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CB6062" w:rsidTr="005A6918">
        <w:trPr>
          <w:trHeight w:val="845"/>
        </w:trPr>
        <w:tc>
          <w:tcPr>
            <w:tcW w:w="217" w:type="pct"/>
            <w:vAlign w:val="center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07078E" w:rsidRPr="00CB6062" w:rsidTr="005A6918">
        <w:trPr>
          <w:trHeight w:val="1560"/>
        </w:trPr>
        <w:tc>
          <w:tcPr>
            <w:tcW w:w="217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CB60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07078E" w:rsidRPr="00CB6062" w:rsidRDefault="0007078E" w:rsidP="00CB6062">
            <w:pPr>
              <w:pStyle w:val="ae"/>
              <w:jc w:val="both"/>
              <w:rPr>
                <w:sz w:val="24"/>
                <w:szCs w:val="24"/>
              </w:rPr>
            </w:pPr>
            <w:r w:rsidRPr="00CB6062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07078E" w:rsidRPr="00CB6062" w:rsidRDefault="0007078E" w:rsidP="00CB6062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7078E" w:rsidRPr="00CB6062" w:rsidTr="005A6918">
        <w:trPr>
          <w:trHeight w:val="560"/>
        </w:trPr>
        <w:tc>
          <w:tcPr>
            <w:tcW w:w="217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07078E" w:rsidRPr="00CB6062" w:rsidTr="005A6918">
        <w:trPr>
          <w:trHeight w:val="2088"/>
        </w:trPr>
        <w:tc>
          <w:tcPr>
            <w:tcW w:w="217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07078E" w:rsidRPr="00CB6062" w:rsidTr="005A6918">
        <w:trPr>
          <w:trHeight w:val="1410"/>
        </w:trPr>
        <w:tc>
          <w:tcPr>
            <w:tcW w:w="217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</w:t>
            </w:r>
            <w:r w:rsidRPr="00CB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СНГ.</w:t>
            </w:r>
          </w:p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2018-2020 гг.</w:t>
            </w:r>
          </w:p>
        </w:tc>
        <w:tc>
          <w:tcPr>
            <w:tcW w:w="2446" w:type="pct"/>
          </w:tcPr>
          <w:p w:rsidR="0007078E" w:rsidRPr="00CB6062" w:rsidRDefault="0007078E" w:rsidP="00CB6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 xml:space="preserve"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</w:t>
            </w:r>
            <w:r w:rsidRPr="00CB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07078E" w:rsidRPr="00CB6062" w:rsidTr="005A6918">
        <w:trPr>
          <w:trHeight w:val="2404"/>
        </w:trPr>
        <w:tc>
          <w:tcPr>
            <w:tcW w:w="217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31" w:type="pct"/>
          </w:tcPr>
          <w:p w:rsidR="0007078E" w:rsidRPr="00CB6062" w:rsidRDefault="0007078E" w:rsidP="00CB60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07078E" w:rsidRPr="00CB6062" w:rsidRDefault="0007078E" w:rsidP="00CB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07078E" w:rsidRPr="00CB6062" w:rsidRDefault="0007078E" w:rsidP="00CB6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2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CB6062" w:rsidRDefault="008928B2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</w:p>
    <w:p w:rsidR="003B36BC" w:rsidRPr="00CB6062" w:rsidRDefault="001D295E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B6062">
        <w:rPr>
          <w:rFonts w:ascii="Times New Roman" w:hAnsi="Times New Roman" w:cs="Times New Roman"/>
          <w:b/>
        </w:rPr>
        <w:t xml:space="preserve"> </w:t>
      </w:r>
      <w:bookmarkStart w:id="24" w:name="_Toc523843631"/>
      <w:r w:rsidR="00A32670" w:rsidRPr="00CB6062">
        <w:rPr>
          <w:rFonts w:ascii="Times New Roman" w:hAnsi="Times New Roman" w:cs="Times New Roman"/>
          <w:b/>
        </w:rPr>
        <w:t xml:space="preserve">Статус реализации проекта </w:t>
      </w:r>
      <w:r w:rsidR="00A11C70" w:rsidRPr="00CB6062">
        <w:rPr>
          <w:rFonts w:ascii="Times New Roman" w:hAnsi="Times New Roman" w:cs="Times New Roman"/>
          <w:b/>
        </w:rPr>
        <w:t>CASA-1000</w:t>
      </w:r>
      <w:bookmarkEnd w:id="24"/>
    </w:p>
    <w:p w:rsidR="00C82DFF" w:rsidRPr="00CB6062" w:rsidRDefault="00C82DFF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en-US"/>
        </w:rPr>
      </w:pP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CB6062">
        <w:rPr>
          <w:rStyle w:val="body-c-c0"/>
          <w:i/>
          <w:color w:val="000000"/>
          <w:sz w:val="28"/>
        </w:rPr>
        <w:t>Описание проекта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bCs/>
          <w:sz w:val="28"/>
        </w:rPr>
        <w:t>Процесс финансирования проекта управляется Всемирным банком.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Проект разделен на два основных пакета: </w:t>
      </w:r>
    </w:p>
    <w:p w:rsidR="006C42DB" w:rsidRPr="00CB606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CB6062">
        <w:rPr>
          <w:rStyle w:val="body-c-c0"/>
          <w:color w:val="00000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CB6062" w:rsidDel="00473F4C">
        <w:rPr>
          <w:rStyle w:val="body-c-c0"/>
          <w:color w:val="000000"/>
          <w:sz w:val="28"/>
          <w:szCs w:val="28"/>
        </w:rPr>
        <w:t xml:space="preserve"> </w:t>
      </w:r>
      <w:r w:rsidRPr="00CB6062">
        <w:rPr>
          <w:rStyle w:val="body-c-c0"/>
          <w:color w:val="000000"/>
          <w:sz w:val="28"/>
          <w:szCs w:val="28"/>
        </w:rPr>
        <w:t>и Пакистане;</w:t>
      </w:r>
    </w:p>
    <w:p w:rsidR="006C42DB" w:rsidRPr="00CB6062" w:rsidRDefault="006C42DB" w:rsidP="00CB606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CB6062">
        <w:rPr>
          <w:rStyle w:val="body-c-c0"/>
          <w:color w:val="000000"/>
          <w:sz w:val="28"/>
          <w:szCs w:val="28"/>
        </w:rPr>
        <w:t>строительство двух-терминальных преобразовательных подстанций постоянного тока высокого напряжения (ПТВН) в Пакистане и Таджикистане.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CB6062">
        <w:rPr>
          <w:rStyle w:val="body-c-c0"/>
          <w:color w:val="000000"/>
          <w:sz w:val="28"/>
        </w:rPr>
        <w:t xml:space="preserve">Тендерные процедуры по первому пакету завершены, ведется работа по определению победителя тендера на </w:t>
      </w:r>
      <w:r w:rsidRPr="00CB6062">
        <w:rPr>
          <w:rStyle w:val="body-c-c0"/>
          <w:color w:val="000000"/>
          <w:sz w:val="28"/>
          <w:szCs w:val="28"/>
        </w:rPr>
        <w:t xml:space="preserve">поставку и установку линий электропередачи и расширение соответствующих ячеек в Таджикистане и Кыргызстане. </w:t>
      </w:r>
    </w:p>
    <w:p w:rsidR="006C42DB" w:rsidRPr="00CB6062" w:rsidRDefault="006C42DB" w:rsidP="00CB606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  <w:r w:rsidRPr="00CB6062">
        <w:rPr>
          <w:rStyle w:val="body-c-c0"/>
          <w:sz w:val="28"/>
          <w:szCs w:val="28"/>
        </w:rPr>
        <w:t>Срок строительства после подписания контракта – 42 месяца (2021г).</w:t>
      </w:r>
    </w:p>
    <w:p w:rsidR="001A4A89" w:rsidRDefault="001A4A8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10BC9" w:rsidRPr="00CB6062" w:rsidRDefault="00410BC9" w:rsidP="00CB606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3B36BC" w:rsidRPr="00CB6062" w:rsidRDefault="00BD35CB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CB6062">
        <w:rPr>
          <w:rFonts w:ascii="Times New Roman" w:hAnsi="Times New Roman" w:cs="Times New Roman"/>
          <w:b/>
        </w:rPr>
        <w:lastRenderedPageBreak/>
        <w:t xml:space="preserve"> </w:t>
      </w:r>
      <w:bookmarkStart w:id="25" w:name="_Toc523843632"/>
      <w:r w:rsidR="00A32670" w:rsidRPr="00CB6062">
        <w:rPr>
          <w:rFonts w:ascii="Times New Roman" w:hAnsi="Times New Roman" w:cs="Times New Roman"/>
          <w:b/>
        </w:rPr>
        <w:t>Новости в сфере электроэнергетики</w:t>
      </w:r>
      <w:r w:rsidR="00981D05" w:rsidRPr="00CB6062">
        <w:rPr>
          <w:rFonts w:ascii="Times New Roman" w:hAnsi="Times New Roman" w:cs="Times New Roman"/>
          <w:b/>
        </w:rPr>
        <w:t xml:space="preserve"> РК</w:t>
      </w:r>
      <w:bookmarkEnd w:id="25"/>
    </w:p>
    <w:p w:rsidR="001A4A89" w:rsidRPr="00CB6062" w:rsidRDefault="001A4A89" w:rsidP="00CB6062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Семинар </w:t>
      </w:r>
      <w:r w:rsidRPr="00CB6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АО «КОРЭМ» </w:t>
      </w:r>
    </w:p>
    <w:p w:rsidR="001A4A89" w:rsidRPr="00CB6062" w:rsidRDefault="001A4A89" w:rsidP="00CB60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2">
        <w:rPr>
          <w:rFonts w:ascii="Times New Roman" w:eastAsia="Times New Roman" w:hAnsi="Times New Roman" w:cs="Times New Roman"/>
          <w:color w:val="000000"/>
          <w:sz w:val="28"/>
          <w:szCs w:val="28"/>
        </w:rPr>
        <w:t>03.05.2018г Министерство энергетики РК проводит семинар с участием АО «КОРЭМ» по теме: «Внедрение механизма аукционных торгов по отбору проектов возобновляемых источников энергии».</w:t>
      </w:r>
    </w:p>
    <w:p w:rsidR="00B17590" w:rsidRDefault="00B17590" w:rsidP="00CB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4BAE" w:rsidRPr="00CB6062" w:rsidRDefault="00DE7774" w:rsidP="00CB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6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Мангистау запущена </w:t>
      </w:r>
      <w:r w:rsidR="00684BAE" w:rsidRPr="00CB6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солнечная электростанция</w:t>
      </w:r>
      <w:r w:rsidRPr="00CB6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мощностью 2 МВт</w:t>
      </w:r>
      <w:r w:rsidR="00684BAE" w:rsidRPr="00CB6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46B06" w:rsidRPr="00CB6062" w:rsidRDefault="00DE7774" w:rsidP="00CB60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62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Единства народа Казахстана в Мангистау состоялось открытие новой электростанции и закладка фундамента опреснительного завода. Солнечная электростанция построена в селе Батыр Мунайлинского района на площади 36,05 га. Стоимость проекта - 1,2 млрд. тенге. Проект профинансирован за счет Единой Программы поддержки и развития бизнеса «Дорожная карта бизнеса 2020». Мощность - 2 МВт, это 3500 кВт часов в год. Для работы электростанции установили более 8000 солнечных панелей в 39 рядов. Панели произведены в Казахстане из отечественного кремния. Это первый проект подобной электростанции, работающей на солнечных панелях отечественного производства. Новый объект обеспечит экологически чистой э</w:t>
      </w:r>
      <w:r w:rsidR="00946B06" w:rsidRPr="00CB6062"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лектроэнергией около 300 домов.</w:t>
      </w:r>
    </w:p>
    <w:p w:rsidR="00946B06" w:rsidRPr="00CB6062" w:rsidRDefault="00946B06" w:rsidP="00CB606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36BC" w:rsidRPr="00CB6062" w:rsidRDefault="00A32670" w:rsidP="00AE695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26" w:name="_Toc523843633"/>
      <w:r w:rsidRPr="00CB6062">
        <w:rPr>
          <w:rFonts w:ascii="Times New Roman" w:hAnsi="Times New Roman" w:cs="Times New Roman"/>
          <w:b/>
        </w:rPr>
        <w:t xml:space="preserve">Обзор СМИ в странах </w:t>
      </w:r>
      <w:r w:rsidR="00B94F51" w:rsidRPr="00CB6062">
        <w:rPr>
          <w:rFonts w:ascii="Times New Roman" w:hAnsi="Times New Roman" w:cs="Times New Roman"/>
          <w:b/>
        </w:rPr>
        <w:t>СНГ</w:t>
      </w:r>
      <w:bookmarkEnd w:id="26"/>
    </w:p>
    <w:p w:rsidR="00E62D3B" w:rsidRPr="00CB6062" w:rsidRDefault="00E62D3B" w:rsidP="00CB606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062">
        <w:rPr>
          <w:rFonts w:ascii="Times New Roman" w:hAnsi="Times New Roman" w:cs="Times New Roman"/>
          <w:i/>
          <w:sz w:val="24"/>
          <w:szCs w:val="24"/>
        </w:rPr>
        <w:t>(по информации с сайта Исполнительного комитета ЭЭС СНГ)</w:t>
      </w:r>
    </w:p>
    <w:p w:rsidR="00410BC9" w:rsidRDefault="00410BC9" w:rsidP="00410B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42DB" w:rsidRPr="00CB6062" w:rsidRDefault="006C42DB" w:rsidP="00410B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60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В. Путин подписал закон об энергосбережении и повышении энергетической эффективности</w:t>
      </w:r>
      <w:r w:rsidRPr="00CB60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Pr="00CB6062">
        <w:rPr>
          <w:rFonts w:ascii="Times New Roman" w:hAnsi="Times New Roman" w:cs="Times New Roman"/>
          <w:i/>
          <w:sz w:val="24"/>
        </w:rPr>
        <w:t>23.07.2018г)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Президент Российской Федерации В. Путин подписал Федеральный закон «Об энергосбережен</w:t>
      </w:r>
      <w:r w:rsidR="00B17590">
        <w:rPr>
          <w:rFonts w:ascii="Times New Roman" w:hAnsi="Times New Roman" w:cs="Times New Roman"/>
          <w:sz w:val="28"/>
        </w:rPr>
        <w:t>ии и о повышении энерго</w:t>
      </w:r>
      <w:r w:rsidRPr="00CB6062">
        <w:rPr>
          <w:rFonts w:ascii="Times New Roman" w:hAnsi="Times New Roman" w:cs="Times New Roman"/>
          <w:sz w:val="28"/>
        </w:rPr>
        <w:t>эффективности и о внесении изменений в отдельные законодательные акты Российской Федерации» и статью 9.16 Кодекса Российской Федерации об административных правонарушениях».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Федеральным законом устанавливается, что энергетическое обследование проводится в добровольном порядке. При этом на органы государственной власти, органы местного самоуправления, государственные и муниципальные учреждения возлагается обязанность ежегодно представлять в федеральный орган исполнительной власти,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эффективности, декларацию о потреблении энергетических ресурсов.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Путин подписал закон, регулирующий расширение Единой энергосистемы РФ</w:t>
      </w:r>
      <w:r w:rsidR="00B17590">
        <w:rPr>
          <w:rFonts w:ascii="Times New Roman" w:hAnsi="Times New Roman" w:cs="Times New Roman"/>
          <w:b/>
          <w:sz w:val="28"/>
        </w:rPr>
        <w:t xml:space="preserve"> </w:t>
      </w:r>
      <w:r w:rsidRPr="00CB60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B6062">
        <w:rPr>
          <w:rFonts w:ascii="Times New Roman" w:hAnsi="Times New Roman" w:cs="Times New Roman"/>
          <w:i/>
          <w:sz w:val="24"/>
        </w:rPr>
        <w:t>03.07.2018г)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Президент России Владимир Путин подписал </w:t>
      </w:r>
      <w:hyperlink r:id="rId12" w:tgtFrame="_blank" w:history="1">
        <w:r w:rsidRPr="00CB6062">
          <w:rPr>
            <w:rFonts w:ascii="Times New Roman" w:hAnsi="Times New Roman" w:cs="Times New Roman"/>
            <w:sz w:val="28"/>
          </w:rPr>
          <w:t>федеральный закон, который регулирует вхождение новых территорий страны в состав Единой энергосистемы РФ</w:t>
        </w:r>
      </w:hyperlink>
      <w:r w:rsidRPr="00CB6062">
        <w:rPr>
          <w:rFonts w:ascii="Times New Roman" w:hAnsi="Times New Roman" w:cs="Times New Roman"/>
          <w:sz w:val="28"/>
        </w:rPr>
        <w:t>, а также продлевает льготные цены на электроэнергию в некоторых регионах страны.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Единая энергосистема (ЕЭС) России состоит из 70 региональных энергосистем, которые входят в объединенные энергосистемы Востока, Сибири, </w:t>
      </w:r>
      <w:r w:rsidRPr="00CB6062">
        <w:rPr>
          <w:rFonts w:ascii="Times New Roman" w:hAnsi="Times New Roman" w:cs="Times New Roman"/>
          <w:sz w:val="28"/>
        </w:rPr>
        <w:lastRenderedPageBreak/>
        <w:t>Урала, Средней Волги, Юга, Центра</w:t>
      </w:r>
      <w:r w:rsidR="000D0261">
        <w:rPr>
          <w:rFonts w:ascii="Times New Roman" w:hAnsi="Times New Roman" w:cs="Times New Roman"/>
          <w:sz w:val="28"/>
        </w:rPr>
        <w:t xml:space="preserve"> </w:t>
      </w:r>
      <w:r w:rsidRPr="00CB6062">
        <w:rPr>
          <w:rFonts w:ascii="Times New Roman" w:hAnsi="Times New Roman" w:cs="Times New Roman"/>
          <w:sz w:val="28"/>
        </w:rPr>
        <w:t>и</w:t>
      </w:r>
      <w:r w:rsidR="000D0261">
        <w:rPr>
          <w:rFonts w:ascii="Times New Roman" w:hAnsi="Times New Roman" w:cs="Times New Roman"/>
          <w:sz w:val="28"/>
        </w:rPr>
        <w:t xml:space="preserve"> </w:t>
      </w:r>
      <w:r w:rsidRPr="00CB6062">
        <w:rPr>
          <w:rFonts w:ascii="Times New Roman" w:hAnsi="Times New Roman" w:cs="Times New Roman"/>
          <w:sz w:val="28"/>
        </w:rPr>
        <w:t>Северо-Запада. К</w:t>
      </w:r>
      <w:r w:rsidR="000D0261">
        <w:rPr>
          <w:rFonts w:ascii="Times New Roman" w:hAnsi="Times New Roman" w:cs="Times New Roman"/>
          <w:sz w:val="28"/>
        </w:rPr>
        <w:t xml:space="preserve"> изолированным и </w:t>
      </w:r>
      <w:r w:rsidRPr="00CB6062">
        <w:rPr>
          <w:rFonts w:ascii="Times New Roman" w:hAnsi="Times New Roman" w:cs="Times New Roman"/>
          <w:sz w:val="28"/>
        </w:rPr>
        <w:t>не</w:t>
      </w:r>
      <w:r w:rsidR="000D0261">
        <w:rPr>
          <w:rFonts w:ascii="Times New Roman" w:hAnsi="Times New Roman" w:cs="Times New Roman"/>
          <w:sz w:val="28"/>
        </w:rPr>
        <w:t xml:space="preserve"> входящим в </w:t>
      </w:r>
      <w:r w:rsidRPr="00CB6062">
        <w:rPr>
          <w:rFonts w:ascii="Times New Roman" w:hAnsi="Times New Roman" w:cs="Times New Roman"/>
          <w:sz w:val="28"/>
        </w:rPr>
        <w:t>ЕЭС относятс</w:t>
      </w:r>
      <w:r w:rsidR="000D0261">
        <w:rPr>
          <w:rFonts w:ascii="Times New Roman" w:hAnsi="Times New Roman" w:cs="Times New Roman"/>
          <w:sz w:val="28"/>
        </w:rPr>
        <w:t xml:space="preserve">я энергорайоны, расположенные в </w:t>
      </w:r>
      <w:r w:rsidRPr="00CB6062">
        <w:rPr>
          <w:rFonts w:ascii="Times New Roman" w:hAnsi="Times New Roman" w:cs="Times New Roman"/>
          <w:sz w:val="28"/>
        </w:rPr>
        <w:t>Таймырской, Камчатской, Сахалинской, Магаданской, Чукотской энергосистем</w:t>
      </w:r>
      <w:r w:rsidR="000D0261">
        <w:rPr>
          <w:rFonts w:ascii="Times New Roman" w:hAnsi="Times New Roman" w:cs="Times New Roman"/>
          <w:sz w:val="28"/>
        </w:rPr>
        <w:t xml:space="preserve">ах, энергосистеме Центральной и </w:t>
      </w:r>
      <w:r w:rsidRPr="00CB6062">
        <w:rPr>
          <w:rFonts w:ascii="Times New Roman" w:hAnsi="Times New Roman" w:cs="Times New Roman"/>
          <w:sz w:val="28"/>
        </w:rPr>
        <w:t>Западной Якутии.</w:t>
      </w:r>
    </w:p>
    <w:p w:rsidR="006C42DB" w:rsidRPr="00CB6062" w:rsidRDefault="000D0261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Внутри ЕЭС за </w:t>
      </w:r>
      <w:r w:rsidR="006C42DB" w:rsidRPr="00CB6062">
        <w:rPr>
          <w:rFonts w:ascii="Times New Roman" w:hAnsi="Times New Roman" w:cs="Times New Roman"/>
          <w:sz w:val="28"/>
        </w:rPr>
        <w:t>счет электросетей развиты связи между регионами, электростанциями. Диспетчерское управление в</w:t>
      </w:r>
      <w:r>
        <w:rPr>
          <w:rFonts w:ascii="Times New Roman" w:hAnsi="Times New Roman" w:cs="Times New Roman"/>
          <w:sz w:val="28"/>
        </w:rPr>
        <w:t xml:space="preserve"> </w:t>
      </w:r>
      <w:r w:rsidR="006C42DB" w:rsidRPr="00CB6062">
        <w:rPr>
          <w:rFonts w:ascii="Times New Roman" w:hAnsi="Times New Roman" w:cs="Times New Roman"/>
          <w:sz w:val="28"/>
        </w:rPr>
        <w:t>ЕЭС ос</w:t>
      </w:r>
      <w:r>
        <w:rPr>
          <w:rFonts w:ascii="Times New Roman" w:hAnsi="Times New Roman" w:cs="Times New Roman"/>
          <w:sz w:val="28"/>
        </w:rPr>
        <w:t xml:space="preserve">уществляет Системный оператор и </w:t>
      </w:r>
      <w:r w:rsidR="006C42DB" w:rsidRPr="00CB6062">
        <w:rPr>
          <w:rFonts w:ascii="Times New Roman" w:hAnsi="Times New Roman" w:cs="Times New Roman"/>
          <w:sz w:val="28"/>
        </w:rPr>
        <w:t>его региональные подразделения</w:t>
      </w:r>
      <w:r>
        <w:rPr>
          <w:rFonts w:ascii="Times New Roman" w:hAnsi="Times New Roman" w:cs="Times New Roman"/>
          <w:sz w:val="28"/>
        </w:rPr>
        <w:t xml:space="preserve">. Изолированные энергорайоны по </w:t>
      </w:r>
      <w:r w:rsidR="006C42DB" w:rsidRPr="00CB6062">
        <w:rPr>
          <w:rFonts w:ascii="Times New Roman" w:hAnsi="Times New Roman" w:cs="Times New Roman"/>
          <w:sz w:val="28"/>
        </w:rPr>
        <w:t>мере строительства новых электросе</w:t>
      </w:r>
      <w:r>
        <w:rPr>
          <w:rFonts w:ascii="Times New Roman" w:hAnsi="Times New Roman" w:cs="Times New Roman"/>
          <w:sz w:val="28"/>
        </w:rPr>
        <w:t xml:space="preserve">тей постепенно присоединяются к </w:t>
      </w:r>
      <w:r w:rsidR="006C42DB" w:rsidRPr="00CB6062">
        <w:rPr>
          <w:rFonts w:ascii="Times New Roman" w:hAnsi="Times New Roman" w:cs="Times New Roman"/>
          <w:sz w:val="28"/>
        </w:rPr>
        <w:t>ЕЭС. Подписанный президентом закон определяет, что кабмин РФ</w:t>
      </w:r>
      <w:r>
        <w:rPr>
          <w:rFonts w:ascii="Times New Roman" w:hAnsi="Times New Roman" w:cs="Times New Roman"/>
          <w:sz w:val="28"/>
        </w:rPr>
        <w:t xml:space="preserve"> </w:t>
      </w:r>
      <w:r w:rsidR="006C42DB" w:rsidRPr="00CB6062">
        <w:rPr>
          <w:rFonts w:ascii="Times New Roman" w:hAnsi="Times New Roman" w:cs="Times New Roman"/>
          <w:sz w:val="28"/>
        </w:rPr>
        <w:t>может установить переходный период, когда но</w:t>
      </w:r>
      <w:r>
        <w:rPr>
          <w:rFonts w:ascii="Times New Roman" w:hAnsi="Times New Roman" w:cs="Times New Roman"/>
          <w:sz w:val="28"/>
        </w:rPr>
        <w:t xml:space="preserve">вая территория присоединяется к ЕЭС, и </w:t>
      </w:r>
      <w:r w:rsidR="006C42DB" w:rsidRPr="00CB6062">
        <w:rPr>
          <w:rFonts w:ascii="Times New Roman" w:hAnsi="Times New Roman" w:cs="Times New Roman"/>
          <w:sz w:val="28"/>
        </w:rPr>
        <w:t>поручить Сис</w:t>
      </w:r>
      <w:r>
        <w:rPr>
          <w:rFonts w:ascii="Times New Roman" w:hAnsi="Times New Roman" w:cs="Times New Roman"/>
          <w:sz w:val="28"/>
        </w:rPr>
        <w:t xml:space="preserve">темному оператору управление на </w:t>
      </w:r>
      <w:r w:rsidR="006C42DB" w:rsidRPr="00CB6062">
        <w:rPr>
          <w:rFonts w:ascii="Times New Roman" w:hAnsi="Times New Roman" w:cs="Times New Roman"/>
          <w:sz w:val="28"/>
        </w:rPr>
        <w:t xml:space="preserve">новой территории </w:t>
      </w:r>
      <w:r>
        <w:rPr>
          <w:rFonts w:ascii="Times New Roman" w:hAnsi="Times New Roman" w:cs="Times New Roman"/>
          <w:sz w:val="28"/>
        </w:rPr>
        <w:t xml:space="preserve">уже во время такого перехода, а </w:t>
      </w:r>
      <w:r w:rsidR="006C42DB" w:rsidRPr="00CB6062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6C42DB" w:rsidRPr="00CB6062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осле него, как это происходит в </w:t>
      </w:r>
      <w:r w:rsidR="006C42DB" w:rsidRPr="00CB6062">
        <w:rPr>
          <w:rFonts w:ascii="Times New Roman" w:hAnsi="Times New Roman" w:cs="Times New Roman"/>
          <w:sz w:val="28"/>
        </w:rPr>
        <w:t>настоящее время.</w:t>
      </w:r>
    </w:p>
    <w:p w:rsidR="006C42DB" w:rsidRPr="00CB6062" w:rsidRDefault="000D0261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 также переносит с 1 </w:t>
      </w:r>
      <w:r w:rsidR="006C42DB" w:rsidRPr="00CB6062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нваря 2023 года на 1 июля 2027 </w:t>
      </w:r>
      <w:r w:rsidR="006C42DB" w:rsidRPr="00CB6062">
        <w:rPr>
          <w:rFonts w:ascii="Times New Roman" w:hAnsi="Times New Roman" w:cs="Times New Roman"/>
          <w:sz w:val="28"/>
        </w:rPr>
        <w:t xml:space="preserve">года срок, с которого постепенно будет </w:t>
      </w:r>
      <w:r>
        <w:rPr>
          <w:rFonts w:ascii="Times New Roman" w:hAnsi="Times New Roman" w:cs="Times New Roman"/>
          <w:sz w:val="28"/>
        </w:rPr>
        <w:t xml:space="preserve">снижаться доля электроэнергии и мощности, покупаемых по тарифам для потребителей, не </w:t>
      </w:r>
      <w:bookmarkStart w:id="27" w:name="_GoBack"/>
      <w:bookmarkEnd w:id="27"/>
      <w:r w:rsidR="006C42DB" w:rsidRPr="00CB6062">
        <w:rPr>
          <w:rFonts w:ascii="Times New Roman" w:hAnsi="Times New Roman" w:cs="Times New Roman"/>
          <w:sz w:val="28"/>
        </w:rPr>
        <w:t>относящихся к населению. Дело в том, что в большинстве регионов страны население и все приравненные к нему платят за электроэнергию по та</w:t>
      </w:r>
      <w:r w:rsidR="002F0073">
        <w:rPr>
          <w:rFonts w:ascii="Times New Roman" w:hAnsi="Times New Roman" w:cs="Times New Roman"/>
          <w:sz w:val="28"/>
        </w:rPr>
        <w:t xml:space="preserve">рифам, а остальные потребители – </w:t>
      </w:r>
      <w:r w:rsidR="006C42DB" w:rsidRPr="00CB6062">
        <w:rPr>
          <w:rFonts w:ascii="Times New Roman" w:hAnsi="Times New Roman" w:cs="Times New Roman"/>
          <w:sz w:val="28"/>
        </w:rPr>
        <w:t>по ценам свободного рынка.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b/>
          <w:bCs/>
          <w:sz w:val="28"/>
        </w:rPr>
        <w:t>Правительство РФ поддержало разработанный Минэнерго итоговый вариант концепции модернизации старых ТЭС стоимостью до 1,35 трлн руб.</w:t>
      </w:r>
      <w:r w:rsidRPr="00CB6062">
        <w:rPr>
          <w:rFonts w:ascii="Times New Roman" w:hAnsi="Times New Roman" w:cs="Times New Roman"/>
          <w:sz w:val="28"/>
        </w:rPr>
        <w:t xml:space="preserve"> </w:t>
      </w:r>
      <w:r w:rsidRPr="00CB60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B6062">
        <w:rPr>
          <w:rFonts w:ascii="Times New Roman" w:hAnsi="Times New Roman" w:cs="Times New Roman"/>
          <w:i/>
          <w:sz w:val="24"/>
        </w:rPr>
        <w:t>05.07.2018г)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iCs/>
          <w:sz w:val="28"/>
        </w:rPr>
        <w:t>По нему, ежегодно будет обновляться до 4 ГВт мощности, будет использовано на 90% российское оборудование, а норма доходности для генкомпаний составит 14%. Возврат инвестиций пойдет за счет повышенных платежей потребителей, которые считают, что сама концепция модернизации не вписывается в возможности экономики. Вместе с тем острых разногласий между регуляторами рынка не ожидается, в скором времени документ может быть внесен в правительство.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Под реновацию попадет до 40 ГВт мощности. Первый отбор проектов модернизации ТЭС должен пройти уже до 1 ноября с началом поставки мощности в 2022–2024 годах, последние вводы модернизируемых объектов ограничены 2031 годом. Базовая норма доходности предложена на уровне 14%, локализация оборудования — не менее 90%. Механизм дает также возможность инвестировать в новые ТЭС на Дальнем Востоке — за это будут платить потребители обеих ценовых зон энергорынка через инвестиционную надбавку к цене на мощность.</w:t>
      </w:r>
    </w:p>
    <w:p w:rsidR="006C42DB" w:rsidRPr="00CB6062" w:rsidRDefault="006C42DB" w:rsidP="00CB6062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Таджикистан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На Рогунской ГЭС смонтирован ротор агрегата, который должен заработать осенью этого года</w:t>
      </w:r>
      <w:r w:rsidR="00710722">
        <w:rPr>
          <w:rFonts w:ascii="Times New Roman" w:hAnsi="Times New Roman" w:cs="Times New Roman"/>
          <w:b/>
          <w:sz w:val="28"/>
        </w:rPr>
        <w:t xml:space="preserve"> </w:t>
      </w:r>
      <w:r w:rsidRPr="00CB60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B6062">
        <w:rPr>
          <w:rFonts w:ascii="Times New Roman" w:hAnsi="Times New Roman" w:cs="Times New Roman"/>
          <w:i/>
          <w:sz w:val="24"/>
        </w:rPr>
        <w:t>11.07.2018г)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Ротор первого из шести будущих гидрогенераторов Рогунской ГЭС смонтирован на штатное место. Запуск этого агрегата должен состояться в ноябре этого года.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Строительством гидроузла с октября 2016 года занимается итальянская компания Salini Impregilo.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lastRenderedPageBreak/>
        <w:t>В конце января этого года глава данной компании П. Салини по итогам встречи с президентом Таджикистана Э. Рахмоном сообщил журналистам, что запуск первой турбины Рогунской ГЭС состоится 16 ноября 2018 года. Ожидается, что второй агрегат станции заработает весной будущего года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Компания начала работы по строительству каменно-набросной плотины, высота которой составит 335 метров. На возведение этого сооружения будет направлено $1,95 млрд.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 целом, на достройку Рогунской ГЭС, по предварительным данным, нужно около 4 миллиарда долларов. На станции планируется установить шесть агрегатов, мощность каждого из которых составляет 600 МВт.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Плотина станции, высотой 335 метров, станет самой высокой каменно-земляной плотиной в мире. Данный гидроузел будет ежегодно вырабатывать 17 миллиардов киловатт часов электроэнергии, что в полтора раза больше годовой выработки Нурекской ГЭС.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Тарифы на электроэнергию в Таджикистане могут повысить на 15 процентов</w:t>
      </w:r>
      <w:r w:rsidR="00710722">
        <w:rPr>
          <w:rFonts w:ascii="Times New Roman" w:hAnsi="Times New Roman" w:cs="Times New Roman"/>
          <w:b/>
          <w:sz w:val="28"/>
        </w:rPr>
        <w:t xml:space="preserve"> </w:t>
      </w:r>
      <w:r w:rsidRPr="00CB60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B6062">
        <w:rPr>
          <w:rFonts w:ascii="Times New Roman" w:hAnsi="Times New Roman" w:cs="Times New Roman"/>
          <w:i/>
          <w:sz w:val="24"/>
        </w:rPr>
        <w:t>19.07.2018г)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Тарифы на электроэнергию в Таджикистане могут повысить на 15%. Если правительство утвердит новую стоимость, то она составит для населения 19,37 дирамов за один кВтч.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ОАХК «Барки точик» предложила правительству Таджикистана повысить тарифы на электрическую и тепловую энергию, сообщил первый заместитель начальника Антимонопольной службы при правительстве Республики Таджикистан Н. Одиназода.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Он отметил, что методология, по которой рассматривалось предложение ОАХК «Барки точик», предусматривает несколько вариантов.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«По одному из вариантов предлагается повысить тарифы на электрическую и тепловую энергию на 15%», - сказал первый замглавы антимонопольного ведомства. 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Отметим, что тарифы на электроэнергию в Таджикистане повышаются практически ежегодно для всех категорий потребителей, кроме Таджикской алюминиевой компании.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 последний раз они были изменены 1 октября прошлого года. В настоящее время население платит 16,85 дирамов за один кВтч электроэнергии.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Таджикистан увеличил экспорт электроэнергии наполовину: за счет поставок в Узбекистан</w:t>
      </w:r>
      <w:r w:rsidR="00710722">
        <w:rPr>
          <w:rFonts w:ascii="Times New Roman" w:hAnsi="Times New Roman" w:cs="Times New Roman"/>
          <w:b/>
          <w:sz w:val="28"/>
        </w:rPr>
        <w:t xml:space="preserve"> </w:t>
      </w:r>
      <w:r w:rsidRPr="00CB606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B6062">
        <w:rPr>
          <w:rFonts w:ascii="Times New Roman" w:hAnsi="Times New Roman" w:cs="Times New Roman"/>
          <w:i/>
          <w:sz w:val="24"/>
        </w:rPr>
        <w:t>30.07.2018г)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Таджикская электроэнергетическая компания «Барки точик» увеличила в этом году экспорт электроэнергии на 55%. Такому значительному росту объема способствовало возобновление с апреля нынешнего года поставок электроэнергии в соседний Узбекистан.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 первой половине этого года было экспортировано свыше 940 млн кВтч электроэнергии, сообщили в ОАХК «Барки точик». Это, отметили в энергохолдинге, превышает показатель аналогичного периода прошлого года на 333 миллиона кВтч.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lastRenderedPageBreak/>
        <w:t>Ожидается, что до конца нынешнего года Таджикистан экспортирует в Узбекистан не менее 1,5 млрд кВтч в год.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Согласно достигнутым электроэнергетическими компаниями двух стран договоренностям, в летний период Узбекистан приобретает таджикскую электроэнергию по 2 цента за один киловатт, зимой - по 2,5 цента за киловатт.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До этого Таджикистан поставлял свою электроэнергию исключительно в Афганистан и в сравнительно небольших объемах в Кыргызстан.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 прошлом году в Афганистан было экспортировано 1,3 миллиард кВтч таджикской электроэнергии по цене 4 цента. В этом году планируется увеличить поставки до 1,5 миллиард кВтч.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Более 12% выработанной подведомственными АОХК «Барки точик» электростанциями энергии, пошло на экспорт, если учесть, что произведено в первой половине этого года около 7,7 млрд кВтч электроэнергии.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Более 92% электроэнергии выработано гидроэлектростанциями, около 8% - теплоэлектроцентралями (ТЭЦ).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Объемы производимой в стране электроэнергии в 2018-2020 годы прогнозируется на уровне 2,3 млрд кВтч – с 17,6 млрд кВтч в 2018 году до 19,9 млрд кВтч в 2020 году.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Республика Беларусь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О снижении тарифов на электроэнергию в Республике Беларусь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i/>
          <w:sz w:val="24"/>
        </w:rPr>
        <w:t>(30.07.2018г)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С 1 июля 2018 года тарифы на электрическую энергию для промышленных потребителей снижены на 2,3 %. Данная мера направлена на повышение эффективности деятельности промышленности республики и обеспечение конкурентоспособности производимой ими продукции.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Указанное снижение тарифов на электрическую энергию для промышленных потребителей обеспечено за счет реализации энергоснабжающими организациями дополнительных мероприятий по снижению издержек, повышению эффективности использования материальных, финансовых ресурсов, а также увеличения объемов реализации энергии.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О ходе реализации значимых инвестиционных проектов в системообразующей сети Белорусской энергосистемы </w:t>
      </w:r>
      <w:r w:rsidRPr="00CB6062">
        <w:rPr>
          <w:rFonts w:ascii="Times New Roman" w:hAnsi="Times New Roman" w:cs="Times New Roman"/>
          <w:i/>
          <w:sz w:val="24"/>
        </w:rPr>
        <w:t>(27.07.2018г)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 2018 году продолжается реализация инвестиционного проекта «Строительство АЭС в Республике Беларусь. Выдача мощности и связь с энергосистемой»: введены в эксплуатацию 8 и 19 пусковые комплексы проекта, в стадии реализации 9, 16, 18, 20, 22, 23 пусковые комплексы.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Осуществляется реконструкция ПС 220 кВ «Столбцы» с переводом на напряжение 330 кВ и строительством ВЛ 330 кВ Столбцы – Барановичи.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Продолжаются работы по реконструкции ПС 330/110/10 кВ «Минск-Северная» с заходами ВЛ 110 кВ, введенной в эксплуатацию в 1986 году. От бесперебойной работы одной из крупнейших подстанций г.Минска и Минского района зависит электроснабжение организаций и населения, а также, в дальнейшем, надежное обеспечение транспортировки электрической энергии строящейся атомной станции.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lastRenderedPageBreak/>
        <w:t>Выполнение плановых работ на действующей подстанции проводится поэтапно без отключения потребителей. Закончены работы в рамках монтажа и наладки оборудования трех пусковых комплексов. Введены в эксплуатацию два автотрансформатора мощностью 200 МВА.  Реконструкция продлится до 2019 года.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Кыргызская Республика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Через несколько лет Кыргызстан будет обязан поставлять часть собственной электроэнергии в Пакистан и Афганистан </w:t>
      </w:r>
      <w:r w:rsidRPr="00CB6062">
        <w:rPr>
          <w:rFonts w:ascii="Times New Roman" w:hAnsi="Times New Roman" w:cs="Times New Roman"/>
          <w:i/>
          <w:sz w:val="24"/>
        </w:rPr>
        <w:t>(02.07.2018г)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Через несколько лет Кыргызстан будет обязан поставлять часть собственной электроэнергии в Пакистан и Афганистан. Об этом сообщила сегодня, 29 июня 2018 года, президент центра развития возобновляемых источников энергии и энергоэффективности Т. Веденева в ходе пресс-конференции в Бишкеке.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Она сообщила, что цена экспортируемой электроэнергии составляет примерно 9 центов за 1 кВтч.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По ее словам, данные обязательства предусмотрены участием страны в крупном проекте CASA-1000, и если Кыргызская Республика не сможет обеспечить поставки, то необходимо будет платить крупные штрафы.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 ходе пресс-конференции стало известно, что Кыргызстан потребляет электричества больше, чем вырабатывает.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«Именно поэтому необходимо начать жесткую экономию электроэнергии, чтобы сократить потребление. Страна может заняться строительством новых ГЭС, но на эти проекты уйдет не менее 15 лет», - считает она.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>Узбекистан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Узбекистан завершит строительство очередной ГЭС к концу года 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i/>
          <w:sz w:val="24"/>
        </w:rPr>
        <w:t>(05.07.2018г)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Узбекистан в конце 2018 года планирует ввести в эксплуатацию Туябугузскую ГЭС.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Новая ГЭС строится на Туябугузском водохранилище, более известном как «Ташморе». Раньше здесь вода в целях вегетации сливалась в реку Ахангаран, а после ввода гидроэлектростанции будет использоваться для выработки электричества. Она будет проходить через плотину и два специальных подземных туннеля, где установят современные китайские агрегаты для выработки энергии компании Dongfang.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На сегодняшний день вы выполнили порядка 73% запланированных работ по проекту. Мощность станции составит 12 МВт, высота водохранилища – 30 метров, объем – 250 млн кубических метров. По оценкам специалистов, ГЭС окупится в течении 4 лет, так как агрегаты будут вырабатывать электричество 11 месяцев в году без остановки.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Общая стоимость строительства превышает 16 млн долларов, из которых 8,2 миллиона составляют иностранные инвестиции и кредиты, а 8,09 млн – средства «Узбекгидроэнерго».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 xml:space="preserve">Отметим, что в рамках специальной программы в Узбекистане в среднесрочной перспективе запланировано строительство 42 новых и </w:t>
      </w:r>
      <w:r w:rsidRPr="00CB6062">
        <w:rPr>
          <w:rFonts w:ascii="Times New Roman" w:hAnsi="Times New Roman" w:cs="Times New Roman"/>
          <w:sz w:val="28"/>
        </w:rPr>
        <w:lastRenderedPageBreak/>
        <w:t>модернизация 32 действующих ГЭС. В этом году идет реализация 10 проектов, стоимость первой очереди которых равна 364,6 млн долларов.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CB6062">
        <w:rPr>
          <w:rFonts w:ascii="Times New Roman" w:hAnsi="Times New Roman" w:cs="Times New Roman"/>
          <w:b/>
          <w:sz w:val="28"/>
        </w:rPr>
        <w:t xml:space="preserve">Правительство Узбекистана утвердило «дорожную карту» по финансовому оздоровлению и повышению эффективности деятельности организаций «Узбекэнерго» на 2018 год </w:t>
      </w:r>
      <w:r w:rsidRPr="00CB6062">
        <w:rPr>
          <w:rFonts w:ascii="Times New Roman" w:hAnsi="Times New Roman" w:cs="Times New Roman"/>
          <w:i/>
          <w:sz w:val="24"/>
        </w:rPr>
        <w:t>(19</w:t>
      </w:r>
      <w:r w:rsidR="00710722">
        <w:rPr>
          <w:rFonts w:ascii="Times New Roman" w:hAnsi="Times New Roman" w:cs="Times New Roman"/>
          <w:i/>
          <w:sz w:val="24"/>
        </w:rPr>
        <w:t>.07.</w:t>
      </w:r>
      <w:r w:rsidRPr="00CB6062">
        <w:rPr>
          <w:rFonts w:ascii="Times New Roman" w:hAnsi="Times New Roman" w:cs="Times New Roman"/>
          <w:i/>
          <w:sz w:val="24"/>
        </w:rPr>
        <w:t>2018</w:t>
      </w:r>
      <w:r w:rsidR="00710722">
        <w:rPr>
          <w:rFonts w:ascii="Times New Roman" w:hAnsi="Times New Roman" w:cs="Times New Roman"/>
          <w:i/>
          <w:sz w:val="24"/>
        </w:rPr>
        <w:t>г</w:t>
      </w:r>
      <w:r w:rsidRPr="00CB6062">
        <w:rPr>
          <w:rFonts w:ascii="Times New Roman" w:hAnsi="Times New Roman" w:cs="Times New Roman"/>
          <w:i/>
          <w:sz w:val="24"/>
        </w:rPr>
        <w:t>)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В организациях «Узбекэнерго» предстоит внедрение современной информационной системы управления, независимый аудит и оценка деятельности с привлечением международных аудиторских компаний.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Запланировано увеличение объемов поставки в Афганистан электрической энергии и электротехнической продукции (опоры, трансформаторы, ЖБИ и другие), а также оказание услуг по транзиту электроэнергии соседним энергосистемам.</w:t>
      </w:r>
    </w:p>
    <w:p w:rsidR="006C42DB" w:rsidRPr="00CB6062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Предусмотрено финансовое оздоровление шести убыточных предприятий. В частности, на Мубарекской ТЭЦ будут законсервированы незавершенный строительством и неиспользуемый паропровод для Мубарекского газоперерабатывающего завода и трехкорпусная испарительная установка, а на Навоийской ТЭС — незавершенное строительством сооружение «Химводоочистка 350 т/час».</w:t>
      </w:r>
    </w:p>
    <w:p w:rsidR="006C42DB" w:rsidRPr="00900DBB" w:rsidRDefault="006C42DB" w:rsidP="00CB606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B6062">
        <w:rPr>
          <w:rFonts w:ascii="Times New Roman" w:hAnsi="Times New Roman" w:cs="Times New Roman"/>
          <w:sz w:val="28"/>
        </w:rPr>
        <w:t>Кроме того, постановлением также утверждены перечень 72 непрофильных и неиспользуемых активов, реализуемых в частную собственность на публичных торгах, а также 13 неиспользуемых земельных участков и объектов организаций «Узбекэнерго», изымаемых и передаваемых органам исполнительной власти на местах.</w:t>
      </w:r>
    </w:p>
    <w:p w:rsidR="00E04313" w:rsidRPr="00BC7CB8" w:rsidRDefault="00E04313" w:rsidP="00CB6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E04313" w:rsidRPr="00BC7CB8" w:rsidSect="000C3143">
      <w:headerReference w:type="default" r:id="rId13"/>
      <w:footerReference w:type="default" r:id="rId14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A4" w:rsidRDefault="006B21A4" w:rsidP="00AD7754">
      <w:pPr>
        <w:spacing w:after="0" w:line="240" w:lineRule="auto"/>
      </w:pPr>
      <w:r>
        <w:separator/>
      </w:r>
    </w:p>
  </w:endnote>
  <w:endnote w:type="continuationSeparator" w:id="0">
    <w:p w:rsidR="006B21A4" w:rsidRDefault="006B21A4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6B21A4" w:rsidRDefault="006B21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261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6B21A4" w:rsidRDefault="006B21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A4" w:rsidRDefault="006B21A4" w:rsidP="00AD7754">
      <w:pPr>
        <w:spacing w:after="0" w:line="240" w:lineRule="auto"/>
      </w:pPr>
      <w:r>
        <w:separator/>
      </w:r>
    </w:p>
  </w:footnote>
  <w:footnote w:type="continuationSeparator" w:id="0">
    <w:p w:rsidR="006B21A4" w:rsidRDefault="006B21A4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6B21A4" w:rsidTr="009437D6">
      <w:tc>
        <w:tcPr>
          <w:tcW w:w="2235" w:type="dxa"/>
        </w:tcPr>
        <w:p w:rsidR="006B21A4" w:rsidRDefault="006B21A4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6B21A4" w:rsidRDefault="006B21A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6B21A4" w:rsidRDefault="006B21A4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6B21A4" w:rsidRPr="009437D6" w:rsidRDefault="006B21A4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10"/>
  </w:num>
  <w:num w:numId="4">
    <w:abstractNumId w:val="18"/>
  </w:num>
  <w:num w:numId="5">
    <w:abstractNumId w:val="0"/>
  </w:num>
  <w:num w:numId="6">
    <w:abstractNumId w:val="29"/>
  </w:num>
  <w:num w:numId="7">
    <w:abstractNumId w:val="2"/>
  </w:num>
  <w:num w:numId="8">
    <w:abstractNumId w:val="11"/>
  </w:num>
  <w:num w:numId="9">
    <w:abstractNumId w:val="9"/>
  </w:num>
  <w:num w:numId="10">
    <w:abstractNumId w:val="32"/>
  </w:num>
  <w:num w:numId="11">
    <w:abstractNumId w:val="24"/>
  </w:num>
  <w:num w:numId="12">
    <w:abstractNumId w:val="17"/>
  </w:num>
  <w:num w:numId="13">
    <w:abstractNumId w:val="8"/>
  </w:num>
  <w:num w:numId="14">
    <w:abstractNumId w:val="12"/>
  </w:num>
  <w:num w:numId="15">
    <w:abstractNumId w:val="31"/>
  </w:num>
  <w:num w:numId="16">
    <w:abstractNumId w:val="20"/>
  </w:num>
  <w:num w:numId="17">
    <w:abstractNumId w:val="33"/>
  </w:num>
  <w:num w:numId="18">
    <w:abstractNumId w:val="4"/>
  </w:num>
  <w:num w:numId="19">
    <w:abstractNumId w:val="30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23"/>
  </w:num>
  <w:num w:numId="26">
    <w:abstractNumId w:val="13"/>
  </w:num>
  <w:num w:numId="27">
    <w:abstractNumId w:val="16"/>
  </w:num>
  <w:num w:numId="28">
    <w:abstractNumId w:val="5"/>
  </w:num>
  <w:num w:numId="29">
    <w:abstractNumId w:val="15"/>
  </w:num>
  <w:num w:numId="30">
    <w:abstractNumId w:val="21"/>
  </w:num>
  <w:num w:numId="31">
    <w:abstractNumId w:val="19"/>
  </w:num>
  <w:num w:numId="32">
    <w:abstractNumId w:val="28"/>
  </w:num>
  <w:num w:numId="33">
    <w:abstractNumId w:val="2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131F1"/>
    <w:rsid w:val="00014143"/>
    <w:rsid w:val="00025494"/>
    <w:rsid w:val="00034147"/>
    <w:rsid w:val="0003643D"/>
    <w:rsid w:val="00042141"/>
    <w:rsid w:val="00060B33"/>
    <w:rsid w:val="000620C6"/>
    <w:rsid w:val="00064894"/>
    <w:rsid w:val="0007078E"/>
    <w:rsid w:val="00071A95"/>
    <w:rsid w:val="00071C66"/>
    <w:rsid w:val="0008404C"/>
    <w:rsid w:val="00090E98"/>
    <w:rsid w:val="000A1F7A"/>
    <w:rsid w:val="000A2B7B"/>
    <w:rsid w:val="000A5314"/>
    <w:rsid w:val="000C3143"/>
    <w:rsid w:val="000D0261"/>
    <w:rsid w:val="000D031A"/>
    <w:rsid w:val="000D07D5"/>
    <w:rsid w:val="000D1B96"/>
    <w:rsid w:val="000D31BF"/>
    <w:rsid w:val="000D5340"/>
    <w:rsid w:val="000F203E"/>
    <w:rsid w:val="000F31A3"/>
    <w:rsid w:val="000F6A36"/>
    <w:rsid w:val="000F7637"/>
    <w:rsid w:val="00112428"/>
    <w:rsid w:val="0011642D"/>
    <w:rsid w:val="00117137"/>
    <w:rsid w:val="00120BDE"/>
    <w:rsid w:val="0012324F"/>
    <w:rsid w:val="00125238"/>
    <w:rsid w:val="00127A62"/>
    <w:rsid w:val="001447DB"/>
    <w:rsid w:val="00146C10"/>
    <w:rsid w:val="00147887"/>
    <w:rsid w:val="001621B0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4A89"/>
    <w:rsid w:val="001A60DC"/>
    <w:rsid w:val="001B0D6D"/>
    <w:rsid w:val="001B24C6"/>
    <w:rsid w:val="001C6B2D"/>
    <w:rsid w:val="001D295E"/>
    <w:rsid w:val="001D39F6"/>
    <w:rsid w:val="001D50B2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5ECE"/>
    <w:rsid w:val="002300AE"/>
    <w:rsid w:val="00230F0E"/>
    <w:rsid w:val="002334B5"/>
    <w:rsid w:val="00234CEB"/>
    <w:rsid w:val="00237930"/>
    <w:rsid w:val="00242B5A"/>
    <w:rsid w:val="00247170"/>
    <w:rsid w:val="00256A29"/>
    <w:rsid w:val="002601C2"/>
    <w:rsid w:val="002602A8"/>
    <w:rsid w:val="00264833"/>
    <w:rsid w:val="00266D27"/>
    <w:rsid w:val="002676A7"/>
    <w:rsid w:val="00273C4D"/>
    <w:rsid w:val="00282C14"/>
    <w:rsid w:val="00284A27"/>
    <w:rsid w:val="002C14BF"/>
    <w:rsid w:val="002C5519"/>
    <w:rsid w:val="002D2E71"/>
    <w:rsid w:val="002D4807"/>
    <w:rsid w:val="002E17D6"/>
    <w:rsid w:val="002F0073"/>
    <w:rsid w:val="002F18C0"/>
    <w:rsid w:val="003021BF"/>
    <w:rsid w:val="00302337"/>
    <w:rsid w:val="00302DA3"/>
    <w:rsid w:val="00306B17"/>
    <w:rsid w:val="0031274F"/>
    <w:rsid w:val="00312A1E"/>
    <w:rsid w:val="00313749"/>
    <w:rsid w:val="00330E75"/>
    <w:rsid w:val="003363B0"/>
    <w:rsid w:val="00337BAB"/>
    <w:rsid w:val="00340588"/>
    <w:rsid w:val="003417C6"/>
    <w:rsid w:val="00343B5A"/>
    <w:rsid w:val="003507C0"/>
    <w:rsid w:val="00350BC9"/>
    <w:rsid w:val="0035461D"/>
    <w:rsid w:val="003625A7"/>
    <w:rsid w:val="003801ED"/>
    <w:rsid w:val="00387115"/>
    <w:rsid w:val="0039177D"/>
    <w:rsid w:val="00395E64"/>
    <w:rsid w:val="003A0A61"/>
    <w:rsid w:val="003A616A"/>
    <w:rsid w:val="003B36BC"/>
    <w:rsid w:val="003B57C9"/>
    <w:rsid w:val="003C5EFF"/>
    <w:rsid w:val="003D60D6"/>
    <w:rsid w:val="003D6235"/>
    <w:rsid w:val="003E3F8D"/>
    <w:rsid w:val="003E6BEE"/>
    <w:rsid w:val="003E6EE2"/>
    <w:rsid w:val="003F5B49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4104A"/>
    <w:rsid w:val="00441B04"/>
    <w:rsid w:val="00443749"/>
    <w:rsid w:val="00444D23"/>
    <w:rsid w:val="00445130"/>
    <w:rsid w:val="00452FF3"/>
    <w:rsid w:val="00465C07"/>
    <w:rsid w:val="00485E7B"/>
    <w:rsid w:val="00493051"/>
    <w:rsid w:val="00495B86"/>
    <w:rsid w:val="004A417C"/>
    <w:rsid w:val="004A4775"/>
    <w:rsid w:val="004A47DD"/>
    <w:rsid w:val="004B2582"/>
    <w:rsid w:val="004C65DE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4463"/>
    <w:rsid w:val="00595C63"/>
    <w:rsid w:val="00596C30"/>
    <w:rsid w:val="005A0CC5"/>
    <w:rsid w:val="005A313C"/>
    <w:rsid w:val="005A5AF2"/>
    <w:rsid w:val="005A6246"/>
    <w:rsid w:val="005A6918"/>
    <w:rsid w:val="005B42C7"/>
    <w:rsid w:val="005B5EA7"/>
    <w:rsid w:val="005B61CF"/>
    <w:rsid w:val="005C5322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3E43"/>
    <w:rsid w:val="00633669"/>
    <w:rsid w:val="006423D3"/>
    <w:rsid w:val="00642DF4"/>
    <w:rsid w:val="00651958"/>
    <w:rsid w:val="00653FA4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AE4"/>
    <w:rsid w:val="00684BAE"/>
    <w:rsid w:val="0068656F"/>
    <w:rsid w:val="006A0785"/>
    <w:rsid w:val="006A3A88"/>
    <w:rsid w:val="006A4A69"/>
    <w:rsid w:val="006A740E"/>
    <w:rsid w:val="006B060A"/>
    <w:rsid w:val="006B0CEA"/>
    <w:rsid w:val="006B1320"/>
    <w:rsid w:val="006B21A4"/>
    <w:rsid w:val="006B3D7E"/>
    <w:rsid w:val="006B75FC"/>
    <w:rsid w:val="006C362D"/>
    <w:rsid w:val="006C42DB"/>
    <w:rsid w:val="006C5CBD"/>
    <w:rsid w:val="006C6971"/>
    <w:rsid w:val="006C754D"/>
    <w:rsid w:val="006D732A"/>
    <w:rsid w:val="006E404D"/>
    <w:rsid w:val="006E7478"/>
    <w:rsid w:val="006F09F2"/>
    <w:rsid w:val="007103C4"/>
    <w:rsid w:val="00710722"/>
    <w:rsid w:val="00711626"/>
    <w:rsid w:val="00715ADF"/>
    <w:rsid w:val="00727DC1"/>
    <w:rsid w:val="0074078A"/>
    <w:rsid w:val="00744BC8"/>
    <w:rsid w:val="00752A24"/>
    <w:rsid w:val="00755B12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A8C"/>
    <w:rsid w:val="007D00DC"/>
    <w:rsid w:val="007D0A51"/>
    <w:rsid w:val="007D3297"/>
    <w:rsid w:val="007D32F2"/>
    <w:rsid w:val="007D7437"/>
    <w:rsid w:val="007F3F0C"/>
    <w:rsid w:val="008006A8"/>
    <w:rsid w:val="0080409E"/>
    <w:rsid w:val="008078AD"/>
    <w:rsid w:val="00810136"/>
    <w:rsid w:val="008169EA"/>
    <w:rsid w:val="0082580F"/>
    <w:rsid w:val="00832F64"/>
    <w:rsid w:val="00836632"/>
    <w:rsid w:val="008373DC"/>
    <w:rsid w:val="00843727"/>
    <w:rsid w:val="008456D7"/>
    <w:rsid w:val="00851E30"/>
    <w:rsid w:val="00854D8B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555C"/>
    <w:rsid w:val="008B01C4"/>
    <w:rsid w:val="008B2E50"/>
    <w:rsid w:val="008B372E"/>
    <w:rsid w:val="008C25DE"/>
    <w:rsid w:val="008C27FD"/>
    <w:rsid w:val="008D1FF5"/>
    <w:rsid w:val="008E6C08"/>
    <w:rsid w:val="008F0834"/>
    <w:rsid w:val="008F33E4"/>
    <w:rsid w:val="008F5437"/>
    <w:rsid w:val="008F6ECD"/>
    <w:rsid w:val="009025E2"/>
    <w:rsid w:val="009125D1"/>
    <w:rsid w:val="009165DF"/>
    <w:rsid w:val="00932394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5639"/>
    <w:rsid w:val="00965771"/>
    <w:rsid w:val="00970497"/>
    <w:rsid w:val="00973314"/>
    <w:rsid w:val="00973D74"/>
    <w:rsid w:val="0097499E"/>
    <w:rsid w:val="00981D05"/>
    <w:rsid w:val="00983160"/>
    <w:rsid w:val="0099334E"/>
    <w:rsid w:val="0099370B"/>
    <w:rsid w:val="00995E50"/>
    <w:rsid w:val="00997037"/>
    <w:rsid w:val="009A4DE5"/>
    <w:rsid w:val="009B48C4"/>
    <w:rsid w:val="009B7719"/>
    <w:rsid w:val="009C0DC5"/>
    <w:rsid w:val="009C3F4D"/>
    <w:rsid w:val="009D7423"/>
    <w:rsid w:val="009E302E"/>
    <w:rsid w:val="00A001EE"/>
    <w:rsid w:val="00A0438E"/>
    <w:rsid w:val="00A067AB"/>
    <w:rsid w:val="00A11C70"/>
    <w:rsid w:val="00A1434F"/>
    <w:rsid w:val="00A15D30"/>
    <w:rsid w:val="00A208FB"/>
    <w:rsid w:val="00A23008"/>
    <w:rsid w:val="00A23548"/>
    <w:rsid w:val="00A32670"/>
    <w:rsid w:val="00A350F6"/>
    <w:rsid w:val="00A42AA0"/>
    <w:rsid w:val="00A43411"/>
    <w:rsid w:val="00A4551D"/>
    <w:rsid w:val="00A5325B"/>
    <w:rsid w:val="00A53DE3"/>
    <w:rsid w:val="00A566CD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590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80BA8"/>
    <w:rsid w:val="00B82649"/>
    <w:rsid w:val="00B84D5D"/>
    <w:rsid w:val="00B91314"/>
    <w:rsid w:val="00B9424F"/>
    <w:rsid w:val="00B94447"/>
    <w:rsid w:val="00B947C6"/>
    <w:rsid w:val="00B94F51"/>
    <w:rsid w:val="00BC0615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C13942"/>
    <w:rsid w:val="00C14154"/>
    <w:rsid w:val="00C213EF"/>
    <w:rsid w:val="00C23008"/>
    <w:rsid w:val="00C27884"/>
    <w:rsid w:val="00C32F0E"/>
    <w:rsid w:val="00C40ACC"/>
    <w:rsid w:val="00C44CE6"/>
    <w:rsid w:val="00C45BFF"/>
    <w:rsid w:val="00C509B9"/>
    <w:rsid w:val="00C5315E"/>
    <w:rsid w:val="00C533E2"/>
    <w:rsid w:val="00C53DCA"/>
    <w:rsid w:val="00C6011E"/>
    <w:rsid w:val="00C60BCB"/>
    <w:rsid w:val="00C621A4"/>
    <w:rsid w:val="00C6484B"/>
    <w:rsid w:val="00C66430"/>
    <w:rsid w:val="00C71BA7"/>
    <w:rsid w:val="00C724F9"/>
    <w:rsid w:val="00C73307"/>
    <w:rsid w:val="00C734AC"/>
    <w:rsid w:val="00C76938"/>
    <w:rsid w:val="00C82DFF"/>
    <w:rsid w:val="00C94D54"/>
    <w:rsid w:val="00CA08DE"/>
    <w:rsid w:val="00CB44CF"/>
    <w:rsid w:val="00CB6062"/>
    <w:rsid w:val="00CB6A6A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64DA"/>
    <w:rsid w:val="00CF6711"/>
    <w:rsid w:val="00D04771"/>
    <w:rsid w:val="00D11B1F"/>
    <w:rsid w:val="00D16459"/>
    <w:rsid w:val="00D479CD"/>
    <w:rsid w:val="00D53102"/>
    <w:rsid w:val="00D53D13"/>
    <w:rsid w:val="00D64058"/>
    <w:rsid w:val="00D72919"/>
    <w:rsid w:val="00D86DB7"/>
    <w:rsid w:val="00DA063C"/>
    <w:rsid w:val="00DA40B8"/>
    <w:rsid w:val="00DA5067"/>
    <w:rsid w:val="00DA5171"/>
    <w:rsid w:val="00DA574F"/>
    <w:rsid w:val="00DA67ED"/>
    <w:rsid w:val="00DC00C7"/>
    <w:rsid w:val="00DC2F6A"/>
    <w:rsid w:val="00DC4A50"/>
    <w:rsid w:val="00DD3735"/>
    <w:rsid w:val="00DD3C0A"/>
    <w:rsid w:val="00DE5FA7"/>
    <w:rsid w:val="00DE70E9"/>
    <w:rsid w:val="00DE7728"/>
    <w:rsid w:val="00DE7774"/>
    <w:rsid w:val="00E0381D"/>
    <w:rsid w:val="00E04313"/>
    <w:rsid w:val="00E05E5A"/>
    <w:rsid w:val="00E103E9"/>
    <w:rsid w:val="00E137CD"/>
    <w:rsid w:val="00E23745"/>
    <w:rsid w:val="00E238D5"/>
    <w:rsid w:val="00E23C2C"/>
    <w:rsid w:val="00E3596D"/>
    <w:rsid w:val="00E46EE4"/>
    <w:rsid w:val="00E628B9"/>
    <w:rsid w:val="00E62D3B"/>
    <w:rsid w:val="00E62F32"/>
    <w:rsid w:val="00E63E04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42C5"/>
    <w:rsid w:val="00EB483A"/>
    <w:rsid w:val="00EC511C"/>
    <w:rsid w:val="00EC5F06"/>
    <w:rsid w:val="00ED2209"/>
    <w:rsid w:val="00ED525F"/>
    <w:rsid w:val="00EE206B"/>
    <w:rsid w:val="00EE50EE"/>
    <w:rsid w:val="00EF0726"/>
    <w:rsid w:val="00EF0936"/>
    <w:rsid w:val="00EF23FD"/>
    <w:rsid w:val="00F01E7E"/>
    <w:rsid w:val="00F048E2"/>
    <w:rsid w:val="00F12C00"/>
    <w:rsid w:val="00F216EC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638F"/>
    <w:rsid w:val="00F72337"/>
    <w:rsid w:val="00F75F96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B6356"/>
    <w:rsid w:val="00FD0E52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7D304B97-AC6D-45A8-8C6F-6D8C8752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gpowernews.ru/research/docs/document83593.p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42CF-587B-493E-A8E2-37D917FE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20</Pages>
  <Words>6045</Words>
  <Characters>34457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Налибаева Гульжан</cp:lastModifiedBy>
  <cp:revision>6</cp:revision>
  <cp:lastPrinted>2018-09-04T08:39:00Z</cp:lastPrinted>
  <dcterms:created xsi:type="dcterms:W3CDTF">2018-09-04T11:04:00Z</dcterms:created>
  <dcterms:modified xsi:type="dcterms:W3CDTF">2018-09-06T05:22:00Z</dcterms:modified>
</cp:coreProperties>
</file>