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292C58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BC7CB8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583E36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1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10058FD" wp14:editId="4562A977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104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104">
        <w:rPr>
          <w:rFonts w:ascii="Times New Roman" w:hAnsi="Times New Roman" w:cs="Times New Roman"/>
          <w:b/>
          <w:sz w:val="28"/>
        </w:rPr>
        <w:t>АНАЛИЗ РЫНКА ЭЛЕКТРОЭНЕРГИИ КАЗАХСТАНА</w:t>
      </w:r>
    </w:p>
    <w:p w:rsidR="000C3143" w:rsidRPr="00A07104" w:rsidRDefault="006A4A69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104">
        <w:rPr>
          <w:rFonts w:ascii="Times New Roman" w:hAnsi="Times New Roman" w:cs="Times New Roman"/>
          <w:b/>
          <w:sz w:val="28"/>
        </w:rPr>
        <w:t>ЯНВАРЬ</w:t>
      </w:r>
      <w:r w:rsidR="00CC4053" w:rsidRPr="00A07104">
        <w:rPr>
          <w:rFonts w:ascii="Times New Roman" w:hAnsi="Times New Roman" w:cs="Times New Roman"/>
          <w:b/>
          <w:sz w:val="28"/>
        </w:rPr>
        <w:t>-</w:t>
      </w:r>
      <w:r w:rsidR="00794953" w:rsidRPr="00A07104">
        <w:rPr>
          <w:rFonts w:ascii="Times New Roman" w:hAnsi="Times New Roman" w:cs="Times New Roman"/>
          <w:b/>
          <w:sz w:val="28"/>
        </w:rPr>
        <w:t>МАЙ</w:t>
      </w:r>
      <w:r w:rsidRPr="00A07104">
        <w:rPr>
          <w:rFonts w:ascii="Times New Roman" w:hAnsi="Times New Roman" w:cs="Times New Roman"/>
          <w:b/>
          <w:sz w:val="28"/>
        </w:rPr>
        <w:t xml:space="preserve"> </w:t>
      </w:r>
      <w:r w:rsidR="000C3143" w:rsidRPr="00A07104">
        <w:rPr>
          <w:rFonts w:ascii="Times New Roman" w:hAnsi="Times New Roman" w:cs="Times New Roman"/>
          <w:b/>
          <w:sz w:val="28"/>
        </w:rPr>
        <w:t>201</w:t>
      </w:r>
      <w:r w:rsidRPr="00A07104">
        <w:rPr>
          <w:rFonts w:ascii="Times New Roman" w:hAnsi="Times New Roman" w:cs="Times New Roman"/>
          <w:b/>
          <w:sz w:val="28"/>
        </w:rPr>
        <w:t>8</w:t>
      </w:r>
      <w:r w:rsidR="000C3143" w:rsidRPr="00A07104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104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A07104" w:rsidRDefault="0079495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7104">
        <w:rPr>
          <w:rFonts w:ascii="Times New Roman" w:hAnsi="Times New Roman" w:cs="Times New Roman"/>
          <w:b/>
          <w:sz w:val="28"/>
        </w:rPr>
        <w:t>Июнь</w:t>
      </w:r>
      <w:r w:rsidR="00C6011E" w:rsidRPr="00A07104">
        <w:rPr>
          <w:rFonts w:ascii="Times New Roman" w:hAnsi="Times New Roman" w:cs="Times New Roman"/>
          <w:b/>
          <w:sz w:val="28"/>
        </w:rPr>
        <w:t>, 2018</w:t>
      </w:r>
      <w:r w:rsidR="000C3143" w:rsidRPr="00A07104">
        <w:rPr>
          <w:rFonts w:ascii="Times New Roman" w:hAnsi="Times New Roman" w:cs="Times New Roman"/>
          <w:b/>
          <w:sz w:val="28"/>
        </w:rPr>
        <w:t>г.</w:t>
      </w:r>
    </w:p>
    <w:p w:rsidR="000C3143" w:rsidRPr="00A07104" w:rsidRDefault="000C3143" w:rsidP="00A2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b/>
        </w:rPr>
      </w:sdtEndPr>
      <w:sdtContent>
        <w:p w:rsidR="00545712" w:rsidRPr="00A07104" w:rsidRDefault="00545712" w:rsidP="00A2289E">
          <w:pPr>
            <w:pStyle w:val="afb"/>
            <w:spacing w:before="0" w:line="240" w:lineRule="auto"/>
            <w:rPr>
              <w:rFonts w:ascii="Times New Roman" w:hAnsi="Times New Roman" w:cs="Times New Roman"/>
            </w:rPr>
          </w:pPr>
          <w:r w:rsidRPr="00A07104">
            <w:rPr>
              <w:rFonts w:ascii="Times New Roman" w:hAnsi="Times New Roman" w:cs="Times New Roman"/>
            </w:rPr>
            <w:t>Оглавление</w:t>
          </w:r>
        </w:p>
        <w:p w:rsidR="00D77C96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A07104">
            <w:fldChar w:fldCharType="begin"/>
          </w:r>
          <w:r w:rsidR="00545712" w:rsidRPr="00A07104">
            <w:instrText xml:space="preserve"> TOC \o "1-3" \h \z \u </w:instrText>
          </w:r>
          <w:r w:rsidRPr="00A07104">
            <w:fldChar w:fldCharType="separate"/>
          </w:r>
          <w:hyperlink w:anchor="_Toc519083777" w:history="1">
            <w:r w:rsidR="00D77C96" w:rsidRPr="001F541B">
              <w:rPr>
                <w:rStyle w:val="aa"/>
                <w:b/>
              </w:rPr>
              <w:t>РАЗДЕЛ I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_Toc519083777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3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78" w:history="1">
            <w:r w:rsidR="00D77C96" w:rsidRPr="001F541B">
              <w:rPr>
                <w:rStyle w:val="aa"/>
                <w:b/>
              </w:rPr>
              <w:t>1.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_Toc519083778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3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79" w:history="1">
            <w:r w:rsidR="00D77C96" w:rsidRPr="001F541B">
              <w:rPr>
                <w:rStyle w:val="aa"/>
                <w:i/>
              </w:rPr>
              <w:t>Производство электроэнергии по областям РК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_Toc519083779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3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0" w:history="1">
            <w:r w:rsidR="00D77C96" w:rsidRPr="001F541B">
              <w:rPr>
                <w:rStyle w:val="aa"/>
                <w:b/>
              </w:rPr>
              <w:t>2.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Потребление электрической энергии в ЕЭС Казахстана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_Toc519083780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5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1" w:history="1">
            <w:r w:rsidR="00D77C96" w:rsidRPr="001F541B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_Toc519083781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5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2" w:history="1">
            <w:r w:rsidR="00D77C96" w:rsidRPr="001F541B">
              <w:rPr>
                <w:rStyle w:val="aa"/>
                <w:i/>
              </w:rPr>
              <w:t>Итоги работы промышленности за 5 месяцев 2018 года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_Toc519083782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5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3" w:history="1">
            <w:r w:rsidR="00D77C96" w:rsidRPr="001F541B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_Toc519083783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7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4" w:history="1">
            <w:r w:rsidR="00D77C96" w:rsidRPr="001F541B">
              <w:rPr>
                <w:rStyle w:val="aa"/>
                <w:b/>
              </w:rPr>
              <w:t>3.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Уголь</w:t>
            </w:r>
            <w:r w:rsidR="00D77C96">
              <w:rPr>
                <w:webHidden/>
              </w:rPr>
              <w:tab/>
            </w:r>
            <w:bookmarkStart w:id="0" w:name="_GoBack"/>
            <w:bookmarkEnd w:id="0"/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_Toc519083784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7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5" w:history="1">
            <w:r w:rsidR="00D77C96" w:rsidRPr="001F541B">
              <w:rPr>
                <w:rStyle w:val="aa"/>
                <w:i/>
              </w:rPr>
              <w:t>Добыча энергетического угля в Казахстане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_Toc519083785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7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6" w:history="1">
            <w:r w:rsidR="00D77C96" w:rsidRPr="001F541B">
              <w:rPr>
                <w:rStyle w:val="aa"/>
                <w:i/>
              </w:rPr>
              <w:t>Добыча угля АО «Самрук-Энерго»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_Toc519083786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8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7" w:history="1">
            <w:r w:rsidR="00D77C96" w:rsidRPr="001F541B">
              <w:rPr>
                <w:rStyle w:val="aa"/>
                <w:i/>
              </w:rPr>
              <w:t>Реализация угля АО «Самрук-Энерго»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_Toc519083787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8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8" w:history="1">
            <w:r w:rsidR="00D77C96" w:rsidRPr="001F541B">
              <w:rPr>
                <w:rStyle w:val="aa"/>
                <w:b/>
              </w:rPr>
              <w:t>4.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Возобновляемые источники энергии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_Toc519083788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8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89" w:history="1">
            <w:r w:rsidR="00D77C96" w:rsidRPr="001F541B">
              <w:rPr>
                <w:rStyle w:val="aa"/>
                <w:b/>
              </w:rPr>
              <w:t>5.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Централизованные торги электроэнергией АО «КОРЭМ»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_Toc519083789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10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0" w:history="1">
            <w:r w:rsidR="00D77C96" w:rsidRPr="001F541B">
              <w:rPr>
                <w:rStyle w:val="aa"/>
                <w:i/>
              </w:rPr>
              <w:t>Общие итоги торгов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_Toc519083790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10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1" w:history="1">
            <w:r w:rsidR="00D77C96" w:rsidRPr="001F541B">
              <w:rPr>
                <w:rStyle w:val="aa"/>
                <w:i/>
              </w:rPr>
              <w:t>Итоги спот-торгов в режиме «за день вперед»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_Toc519083791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10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2" w:history="1">
            <w:r w:rsidR="00D77C96" w:rsidRPr="001F541B">
              <w:rPr>
                <w:rStyle w:val="aa"/>
                <w:i/>
              </w:rPr>
              <w:t>Итоги спот-торгов «в течение операционных суток»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_Toc519083792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11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3" w:history="1">
            <w:r w:rsidR="00D77C96" w:rsidRPr="001F541B">
              <w:rPr>
                <w:rStyle w:val="aa"/>
                <w:i/>
              </w:rPr>
              <w:t>Итоги торгов на средне- и долгосрочный период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_Toc519083793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12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4" w:history="1">
            <w:r w:rsidR="00D77C96" w:rsidRPr="001F541B">
              <w:rPr>
                <w:rStyle w:val="aa"/>
                <w:b/>
              </w:rPr>
              <w:t>6.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Экспорт-импорт электрической энергии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_Toc519083794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12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5" w:history="1">
            <w:r w:rsidR="00D77C96" w:rsidRPr="001F541B">
              <w:rPr>
                <w:rStyle w:val="aa"/>
                <w:b/>
              </w:rPr>
              <w:t>РАЗДЕЛ II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_Toc519083795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12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6" w:history="1">
            <w:r w:rsidR="00D77C96" w:rsidRPr="001F541B">
              <w:rPr>
                <w:rStyle w:val="aa"/>
                <w:b/>
              </w:rPr>
              <w:t>7.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_Toc519083796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12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7" w:history="1">
            <w:r w:rsidR="00D77C96" w:rsidRPr="001F541B">
              <w:rPr>
                <w:rStyle w:val="aa"/>
                <w:b/>
              </w:rPr>
              <w:t>8.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_Toc519083797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13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8" w:history="1">
            <w:r w:rsidR="00D77C96" w:rsidRPr="001F541B">
              <w:rPr>
                <w:rStyle w:val="aa"/>
                <w:b/>
              </w:rPr>
              <w:t>9.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Статус реализации проекта CASA-1000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_Toc519083798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14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799" w:history="1">
            <w:r w:rsidR="00D77C96" w:rsidRPr="001F541B">
              <w:rPr>
                <w:rStyle w:val="aa"/>
                <w:b/>
              </w:rPr>
              <w:t>10.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Новости в сфере электроэнергетики РК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_Toc519083799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15</w:t>
            </w:r>
            <w:r w:rsidR="00D77C96">
              <w:rPr>
                <w:webHidden/>
              </w:rPr>
              <w:fldChar w:fldCharType="end"/>
            </w:r>
          </w:hyperlink>
        </w:p>
        <w:p w:rsidR="00D77C96" w:rsidRDefault="009C782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9083800" w:history="1">
            <w:r w:rsidR="00D77C96" w:rsidRPr="001F541B">
              <w:rPr>
                <w:rStyle w:val="aa"/>
                <w:b/>
              </w:rPr>
              <w:t>11.</w:t>
            </w:r>
            <w:r w:rsidR="00D77C9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D77C96" w:rsidRPr="001F541B">
              <w:rPr>
                <w:rStyle w:val="aa"/>
                <w:b/>
              </w:rPr>
              <w:t>Обзор СМИ в странах СНГ</w:t>
            </w:r>
            <w:r w:rsidR="00D77C96">
              <w:rPr>
                <w:webHidden/>
              </w:rPr>
              <w:tab/>
            </w:r>
            <w:r w:rsidR="00D77C96">
              <w:rPr>
                <w:webHidden/>
              </w:rPr>
              <w:fldChar w:fldCharType="begin"/>
            </w:r>
            <w:r w:rsidR="00D77C96">
              <w:rPr>
                <w:webHidden/>
              </w:rPr>
              <w:instrText xml:space="preserve"> PAGEREF _Toc519083800 \h </w:instrText>
            </w:r>
            <w:r w:rsidR="00D77C96">
              <w:rPr>
                <w:webHidden/>
              </w:rPr>
            </w:r>
            <w:r w:rsidR="00D77C96">
              <w:rPr>
                <w:webHidden/>
              </w:rPr>
              <w:fldChar w:fldCharType="separate"/>
            </w:r>
            <w:r w:rsidR="00290A3F">
              <w:rPr>
                <w:webHidden/>
              </w:rPr>
              <w:t>17</w:t>
            </w:r>
            <w:r w:rsidR="00D77C96">
              <w:rPr>
                <w:webHidden/>
              </w:rPr>
              <w:fldChar w:fldCharType="end"/>
            </w:r>
          </w:hyperlink>
        </w:p>
        <w:p w:rsidR="00545712" w:rsidRPr="00A0237A" w:rsidRDefault="00562751" w:rsidP="00A0237A">
          <w:pPr>
            <w:pStyle w:val="22"/>
            <w:rPr>
              <w:noProof/>
              <w:lang w:val="ru-RU" w:eastAsia="ru-RU"/>
            </w:rPr>
          </w:pPr>
          <w:r w:rsidRPr="00A07104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A07104" w:rsidRDefault="00995E50" w:rsidP="00A2289E">
      <w:pPr>
        <w:pStyle w:val="11"/>
        <w:spacing w:before="0"/>
        <w:rPr>
          <w:lang w:val="en-US"/>
        </w:rPr>
      </w:pPr>
    </w:p>
    <w:p w:rsidR="001D295E" w:rsidRPr="00A07104" w:rsidRDefault="001D295E" w:rsidP="00A2289E">
      <w:pPr>
        <w:spacing w:after="0" w:line="240" w:lineRule="auto"/>
        <w:rPr>
          <w:lang w:val="en-US"/>
        </w:rPr>
      </w:pPr>
    </w:p>
    <w:p w:rsidR="00F47C61" w:rsidRPr="00A07104" w:rsidRDefault="00F47C61" w:rsidP="00A2289E">
      <w:pPr>
        <w:spacing w:after="0" w:line="240" w:lineRule="auto"/>
        <w:rPr>
          <w:lang w:val="en-US"/>
        </w:rPr>
      </w:pPr>
    </w:p>
    <w:p w:rsidR="00A2289E" w:rsidRPr="00A07104" w:rsidRDefault="00A2289E" w:rsidP="00A2289E">
      <w:pPr>
        <w:spacing w:after="0" w:line="240" w:lineRule="auto"/>
        <w:rPr>
          <w:lang w:val="en-US"/>
        </w:rPr>
      </w:pPr>
    </w:p>
    <w:p w:rsidR="00A2289E" w:rsidRDefault="00A2289E" w:rsidP="00A2289E">
      <w:pPr>
        <w:spacing w:after="0" w:line="240" w:lineRule="auto"/>
        <w:rPr>
          <w:lang w:val="en-US"/>
        </w:rPr>
      </w:pPr>
    </w:p>
    <w:p w:rsidR="00A07104" w:rsidRDefault="00A07104" w:rsidP="00A2289E">
      <w:pPr>
        <w:spacing w:after="0" w:line="240" w:lineRule="auto"/>
        <w:rPr>
          <w:lang w:val="en-US"/>
        </w:rPr>
      </w:pPr>
    </w:p>
    <w:p w:rsidR="00A07104" w:rsidRDefault="00A07104" w:rsidP="00A2289E">
      <w:pPr>
        <w:spacing w:after="0" w:line="240" w:lineRule="auto"/>
        <w:rPr>
          <w:lang w:val="en-US"/>
        </w:rPr>
      </w:pPr>
    </w:p>
    <w:p w:rsidR="00A2289E" w:rsidRPr="00A07104" w:rsidRDefault="00A2289E" w:rsidP="00A2289E">
      <w:pPr>
        <w:spacing w:after="0" w:line="240" w:lineRule="auto"/>
        <w:rPr>
          <w:lang w:val="en-US"/>
        </w:rPr>
      </w:pPr>
    </w:p>
    <w:p w:rsidR="00F47C61" w:rsidRPr="00A07104" w:rsidRDefault="00F47C61" w:rsidP="00A2289E">
      <w:pPr>
        <w:spacing w:after="0" w:line="240" w:lineRule="auto"/>
        <w:rPr>
          <w:lang w:val="en-US"/>
        </w:rPr>
      </w:pPr>
    </w:p>
    <w:p w:rsidR="00633669" w:rsidRPr="00A07104" w:rsidRDefault="00633669" w:rsidP="00A2289E">
      <w:pPr>
        <w:spacing w:after="0" w:line="240" w:lineRule="auto"/>
        <w:rPr>
          <w:lang w:val="en-US"/>
        </w:rPr>
      </w:pPr>
    </w:p>
    <w:p w:rsidR="009A1799" w:rsidRDefault="009A1799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bookmarkStart w:id="1" w:name="_Toc519083777"/>
      <w:r>
        <w:rPr>
          <w:rFonts w:ascii="Times New Roman" w:hAnsi="Times New Roman" w:cs="Times New Roman"/>
          <w:b/>
        </w:rPr>
        <w:br w:type="page"/>
      </w:r>
    </w:p>
    <w:p w:rsidR="00443749" w:rsidRPr="00A07104" w:rsidRDefault="00B94F51" w:rsidP="00A2289E">
      <w:pPr>
        <w:pStyle w:val="1"/>
        <w:spacing w:before="0" w:line="240" w:lineRule="auto"/>
        <w:rPr>
          <w:rFonts w:ascii="Times New Roman" w:hAnsi="Times New Roman" w:cs="Times New Roman"/>
          <w:b/>
        </w:rPr>
      </w:pPr>
      <w:r w:rsidRPr="00A07104">
        <w:rPr>
          <w:rFonts w:ascii="Times New Roman" w:hAnsi="Times New Roman" w:cs="Times New Roman"/>
          <w:b/>
        </w:rPr>
        <w:lastRenderedPageBreak/>
        <w:t xml:space="preserve">РАЗДЕЛ </w:t>
      </w:r>
      <w:r w:rsidR="00443749" w:rsidRPr="00A07104">
        <w:rPr>
          <w:rFonts w:ascii="Times New Roman" w:hAnsi="Times New Roman" w:cs="Times New Roman"/>
          <w:b/>
        </w:rPr>
        <w:t>I</w:t>
      </w:r>
      <w:bookmarkEnd w:id="1"/>
    </w:p>
    <w:p w:rsidR="00682876" w:rsidRPr="00A07104" w:rsidRDefault="00541D3A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" w:name="_Toc519083778"/>
      <w:r w:rsidRPr="00A07104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2"/>
    </w:p>
    <w:p w:rsidR="00F31222" w:rsidRPr="00A07104" w:rsidRDefault="00F31222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BE2DD3" w:rsidRPr="00A07104" w:rsidRDefault="00312A1E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>По данным Системного оператора э</w:t>
      </w:r>
      <w:r w:rsidR="00BE2DD3" w:rsidRPr="00A07104">
        <w:rPr>
          <w:rFonts w:ascii="Times New Roman" w:hAnsi="Times New Roman" w:cs="Times New Roman"/>
          <w:sz w:val="28"/>
        </w:rPr>
        <w:t xml:space="preserve">лектростанциями РК </w:t>
      </w:r>
      <w:r w:rsidR="006423D3" w:rsidRPr="00A07104">
        <w:rPr>
          <w:rFonts w:ascii="Times New Roman" w:hAnsi="Times New Roman" w:cs="Times New Roman"/>
          <w:sz w:val="28"/>
        </w:rPr>
        <w:t>в</w:t>
      </w:r>
      <w:r w:rsidR="00BE2DD3" w:rsidRPr="00A07104">
        <w:rPr>
          <w:rFonts w:ascii="Times New Roman" w:hAnsi="Times New Roman" w:cs="Times New Roman"/>
          <w:sz w:val="28"/>
        </w:rPr>
        <w:t xml:space="preserve"> </w:t>
      </w:r>
      <w:r w:rsidR="00AD38CB" w:rsidRPr="00A07104">
        <w:rPr>
          <w:rFonts w:ascii="Times New Roman" w:hAnsi="Times New Roman" w:cs="Times New Roman"/>
          <w:sz w:val="28"/>
        </w:rPr>
        <w:t>январе</w:t>
      </w:r>
      <w:r w:rsidR="00CC4053" w:rsidRPr="00A07104">
        <w:rPr>
          <w:rFonts w:ascii="Times New Roman" w:hAnsi="Times New Roman" w:cs="Times New Roman"/>
          <w:sz w:val="28"/>
        </w:rPr>
        <w:t>-</w:t>
      </w:r>
      <w:r w:rsidR="007A0FD1" w:rsidRPr="00A07104">
        <w:rPr>
          <w:rFonts w:ascii="Times New Roman" w:hAnsi="Times New Roman" w:cs="Times New Roman"/>
          <w:sz w:val="28"/>
        </w:rPr>
        <w:t>мае</w:t>
      </w:r>
      <w:r w:rsidR="00AD38CB" w:rsidRPr="00A07104">
        <w:rPr>
          <w:rFonts w:ascii="Times New Roman" w:hAnsi="Times New Roman" w:cs="Times New Roman"/>
          <w:sz w:val="28"/>
        </w:rPr>
        <w:t xml:space="preserve"> </w:t>
      </w:r>
      <w:r w:rsidR="00BE2DD3" w:rsidRPr="00A07104">
        <w:rPr>
          <w:rFonts w:ascii="Times New Roman" w:hAnsi="Times New Roman" w:cs="Times New Roman"/>
          <w:sz w:val="28"/>
        </w:rPr>
        <w:t>201</w:t>
      </w:r>
      <w:r w:rsidR="00AD38CB" w:rsidRPr="00A07104">
        <w:rPr>
          <w:rFonts w:ascii="Times New Roman" w:hAnsi="Times New Roman" w:cs="Times New Roman"/>
          <w:sz w:val="28"/>
        </w:rPr>
        <w:t>8</w:t>
      </w:r>
      <w:r w:rsidR="00BE2DD3" w:rsidRPr="00A07104">
        <w:rPr>
          <w:rFonts w:ascii="Times New Roman" w:hAnsi="Times New Roman" w:cs="Times New Roman"/>
          <w:sz w:val="28"/>
        </w:rPr>
        <w:t xml:space="preserve"> год</w:t>
      </w:r>
      <w:r w:rsidR="00AD38CB" w:rsidRPr="00A07104">
        <w:rPr>
          <w:rFonts w:ascii="Times New Roman" w:hAnsi="Times New Roman" w:cs="Times New Roman"/>
          <w:sz w:val="28"/>
        </w:rPr>
        <w:t>а</w:t>
      </w:r>
      <w:r w:rsidR="00BE2DD3" w:rsidRPr="00A07104">
        <w:rPr>
          <w:rFonts w:ascii="Times New Roman" w:hAnsi="Times New Roman" w:cs="Times New Roman"/>
          <w:sz w:val="28"/>
        </w:rPr>
        <w:t xml:space="preserve"> было выработано </w:t>
      </w:r>
      <w:r w:rsidR="007A0FD1" w:rsidRPr="00A07104">
        <w:rPr>
          <w:rFonts w:ascii="Times New Roman" w:hAnsi="Times New Roman" w:cs="Times New Roman"/>
          <w:sz w:val="28"/>
        </w:rPr>
        <w:t>46 519,5</w:t>
      </w:r>
      <w:r w:rsidR="006423D3" w:rsidRPr="00A07104">
        <w:rPr>
          <w:rFonts w:ascii="Times New Roman" w:hAnsi="Times New Roman" w:cs="Times New Roman"/>
          <w:b/>
          <w:sz w:val="28"/>
        </w:rPr>
        <w:t xml:space="preserve"> </w:t>
      </w:r>
      <w:r w:rsidR="00BE2DD3" w:rsidRPr="00A07104">
        <w:rPr>
          <w:rFonts w:ascii="Times New Roman" w:hAnsi="Times New Roman" w:cs="Times New Roman"/>
          <w:sz w:val="28"/>
        </w:rPr>
        <w:t>мл</w:t>
      </w:r>
      <w:r w:rsidR="006808D0" w:rsidRPr="00A07104">
        <w:rPr>
          <w:rFonts w:ascii="Times New Roman" w:hAnsi="Times New Roman" w:cs="Times New Roman"/>
          <w:sz w:val="28"/>
        </w:rPr>
        <w:t>н</w:t>
      </w:r>
      <w:r w:rsidR="00BE2DD3" w:rsidRPr="00A07104">
        <w:rPr>
          <w:rFonts w:ascii="Times New Roman" w:hAnsi="Times New Roman" w:cs="Times New Roman"/>
          <w:sz w:val="28"/>
        </w:rPr>
        <w:t xml:space="preserve">. кВтч электроэнергии, что на </w:t>
      </w:r>
      <w:r w:rsidR="00600B80" w:rsidRPr="00A07104">
        <w:rPr>
          <w:rFonts w:ascii="Times New Roman" w:hAnsi="Times New Roman" w:cs="Times New Roman"/>
          <w:sz w:val="28"/>
        </w:rPr>
        <w:t>8,</w:t>
      </w:r>
      <w:r w:rsidR="008D1FF5" w:rsidRPr="00A07104">
        <w:rPr>
          <w:rFonts w:ascii="Times New Roman" w:hAnsi="Times New Roman" w:cs="Times New Roman"/>
          <w:sz w:val="28"/>
        </w:rPr>
        <w:t>3</w:t>
      </w:r>
      <w:r w:rsidR="00BE2DD3" w:rsidRPr="00A07104">
        <w:rPr>
          <w:rFonts w:ascii="Times New Roman" w:hAnsi="Times New Roman" w:cs="Times New Roman"/>
          <w:sz w:val="28"/>
        </w:rPr>
        <w:t>% больше аналогичного периода 201</w:t>
      </w:r>
      <w:r w:rsidR="00AD38CB" w:rsidRPr="00A07104">
        <w:rPr>
          <w:rFonts w:ascii="Times New Roman" w:hAnsi="Times New Roman" w:cs="Times New Roman"/>
          <w:sz w:val="28"/>
        </w:rPr>
        <w:t>7</w:t>
      </w:r>
      <w:r w:rsidR="00BE2DD3" w:rsidRPr="00A07104">
        <w:rPr>
          <w:rFonts w:ascii="Times New Roman" w:hAnsi="Times New Roman" w:cs="Times New Roman"/>
          <w:sz w:val="28"/>
        </w:rPr>
        <w:t xml:space="preserve"> года. </w:t>
      </w:r>
      <w:r w:rsidR="0053588D" w:rsidRPr="00A07104">
        <w:rPr>
          <w:rFonts w:ascii="Times New Roman" w:hAnsi="Times New Roman" w:cs="Times New Roman"/>
          <w:sz w:val="28"/>
        </w:rPr>
        <w:t>Р</w:t>
      </w:r>
      <w:r w:rsidR="00BE2DD3" w:rsidRPr="00A07104">
        <w:rPr>
          <w:rFonts w:ascii="Times New Roman" w:hAnsi="Times New Roman" w:cs="Times New Roman"/>
          <w:sz w:val="28"/>
        </w:rPr>
        <w:t xml:space="preserve">ост выработки </w:t>
      </w:r>
      <w:r w:rsidR="00AD38CB" w:rsidRPr="00A07104">
        <w:rPr>
          <w:rFonts w:ascii="Times New Roman" w:hAnsi="Times New Roman" w:cs="Times New Roman"/>
          <w:sz w:val="28"/>
        </w:rPr>
        <w:t>наблюдался во</w:t>
      </w:r>
      <w:r w:rsidR="00BE2DD3" w:rsidRPr="00A07104">
        <w:rPr>
          <w:rFonts w:ascii="Times New Roman" w:hAnsi="Times New Roman" w:cs="Times New Roman"/>
          <w:sz w:val="28"/>
        </w:rPr>
        <w:t xml:space="preserve"> </w:t>
      </w:r>
      <w:r w:rsidR="00AD38CB" w:rsidRPr="00A07104">
        <w:rPr>
          <w:rFonts w:ascii="Times New Roman" w:hAnsi="Times New Roman" w:cs="Times New Roman"/>
          <w:sz w:val="28"/>
        </w:rPr>
        <w:t xml:space="preserve">всех зонах ЕЭС Казахстана: </w:t>
      </w:r>
      <w:r w:rsidR="00BE2DD3" w:rsidRPr="00A07104">
        <w:rPr>
          <w:rFonts w:ascii="Times New Roman" w:hAnsi="Times New Roman" w:cs="Times New Roman"/>
          <w:sz w:val="28"/>
        </w:rPr>
        <w:t>Северной</w:t>
      </w:r>
      <w:r w:rsidR="00AD38CB" w:rsidRPr="00A07104">
        <w:rPr>
          <w:rFonts w:ascii="Times New Roman" w:hAnsi="Times New Roman" w:cs="Times New Roman"/>
          <w:sz w:val="28"/>
        </w:rPr>
        <w:t>, Южной и</w:t>
      </w:r>
      <w:r w:rsidR="00BE2DD3" w:rsidRPr="00A07104">
        <w:rPr>
          <w:rFonts w:ascii="Times New Roman" w:hAnsi="Times New Roman" w:cs="Times New Roman"/>
          <w:sz w:val="28"/>
        </w:rPr>
        <w:t xml:space="preserve"> Западной.</w:t>
      </w:r>
    </w:p>
    <w:p w:rsidR="001447DB" w:rsidRPr="00A07104" w:rsidRDefault="001447DB" w:rsidP="00A228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07104">
        <w:rPr>
          <w:rFonts w:ascii="Times New Roman" w:hAnsi="Times New Roman" w:cs="Times New Roman"/>
          <w:i/>
          <w:sz w:val="24"/>
        </w:rPr>
        <w:t>мл</w:t>
      </w:r>
      <w:r w:rsidR="00582144" w:rsidRPr="00A07104">
        <w:rPr>
          <w:rFonts w:ascii="Times New Roman" w:hAnsi="Times New Roman" w:cs="Times New Roman"/>
          <w:i/>
          <w:sz w:val="24"/>
        </w:rPr>
        <w:t>н</w:t>
      </w:r>
      <w:r w:rsidRPr="00A07104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50" w:type="dxa"/>
        <w:tblLook w:val="04A0" w:firstRow="1" w:lastRow="0" w:firstColumn="1" w:lastColumn="0" w:noHBand="0" w:noVBand="1"/>
      </w:tblPr>
      <w:tblGrid>
        <w:gridCol w:w="2036"/>
        <w:gridCol w:w="2569"/>
        <w:gridCol w:w="1693"/>
        <w:gridCol w:w="1748"/>
        <w:gridCol w:w="1904"/>
      </w:tblGrid>
      <w:tr w:rsidR="008D1FF5" w:rsidRPr="00A07104" w:rsidTr="008D1FF5">
        <w:trPr>
          <w:trHeight w:val="60"/>
        </w:trPr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FF5" w:rsidRPr="00A07104" w:rsidRDefault="008D1FF5" w:rsidP="005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58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8D1FF5" w:rsidRPr="00A07104" w:rsidTr="008D1FF5">
        <w:trPr>
          <w:trHeight w:val="319"/>
        </w:trPr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A07104" w:rsidRDefault="008D1FF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A07104" w:rsidRDefault="008D1FF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A07104" w:rsidRDefault="008D1FF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43181,7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46519,5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7,73%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34681,7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38187,7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10,11%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3553,9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8,85%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4765,7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4257,1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-10,67%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16,18%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6,01%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33398,5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35923,7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7,56%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28676,8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31614,3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10,24%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1332,8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1256,3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-5,74%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3300,8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2973,1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-9,93%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-9,19%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4666,1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5002,1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7,20%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3055,2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3499,0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14,53%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73,00%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1464,9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1284,0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-12,35%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54,07%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6,01%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5117,1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5593,7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9,31%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2949,7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3074,4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4,23%</w:t>
            </w:r>
          </w:p>
        </w:tc>
      </w:tr>
      <w:tr w:rsidR="00A6371A" w:rsidRPr="00A07104" w:rsidTr="00E62F32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2167,4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2519,3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A07104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16,24%</w:t>
            </w:r>
          </w:p>
        </w:tc>
      </w:tr>
    </w:tbl>
    <w:p w:rsidR="00682876" w:rsidRPr="00A07104" w:rsidRDefault="00682876" w:rsidP="00A2289E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19083779"/>
      <w:r w:rsidRPr="00A07104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A07104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3"/>
    </w:p>
    <w:p w:rsidR="003B36BC" w:rsidRPr="00A07104" w:rsidRDefault="00EC511C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>В</w:t>
      </w:r>
      <w:r w:rsidR="00147887" w:rsidRPr="00A07104">
        <w:rPr>
          <w:rFonts w:ascii="Times New Roman" w:hAnsi="Times New Roman" w:cs="Times New Roman"/>
          <w:sz w:val="28"/>
        </w:rPr>
        <w:t xml:space="preserve"> </w:t>
      </w:r>
      <w:r w:rsidR="00AD38CB" w:rsidRPr="00A07104">
        <w:rPr>
          <w:rFonts w:ascii="Times New Roman" w:hAnsi="Times New Roman" w:cs="Times New Roman"/>
          <w:sz w:val="28"/>
        </w:rPr>
        <w:t>январе</w:t>
      </w:r>
      <w:r w:rsidR="00CC4053" w:rsidRPr="00A07104">
        <w:rPr>
          <w:rFonts w:ascii="Times New Roman" w:hAnsi="Times New Roman" w:cs="Times New Roman"/>
          <w:sz w:val="28"/>
        </w:rPr>
        <w:t>-</w:t>
      </w:r>
      <w:r w:rsidR="00E62F32" w:rsidRPr="00A07104">
        <w:rPr>
          <w:rFonts w:ascii="Times New Roman" w:hAnsi="Times New Roman" w:cs="Times New Roman"/>
          <w:sz w:val="28"/>
        </w:rPr>
        <w:t>мае</w:t>
      </w:r>
      <w:r w:rsidR="00AD38CB" w:rsidRPr="00A07104">
        <w:rPr>
          <w:rFonts w:ascii="Times New Roman" w:hAnsi="Times New Roman" w:cs="Times New Roman"/>
          <w:sz w:val="28"/>
        </w:rPr>
        <w:t xml:space="preserve"> 2018</w:t>
      </w:r>
      <w:r w:rsidR="00147887" w:rsidRPr="00A07104">
        <w:rPr>
          <w:rFonts w:ascii="Times New Roman" w:hAnsi="Times New Roman" w:cs="Times New Roman"/>
          <w:sz w:val="28"/>
        </w:rPr>
        <w:t xml:space="preserve"> год</w:t>
      </w:r>
      <w:r w:rsidR="00AD38CB" w:rsidRPr="00A07104">
        <w:rPr>
          <w:rFonts w:ascii="Times New Roman" w:hAnsi="Times New Roman" w:cs="Times New Roman"/>
          <w:sz w:val="28"/>
        </w:rPr>
        <w:t>а</w:t>
      </w:r>
      <w:r w:rsidR="00147887" w:rsidRPr="00A07104">
        <w:rPr>
          <w:rFonts w:ascii="Times New Roman" w:hAnsi="Times New Roman" w:cs="Times New Roman"/>
          <w:sz w:val="28"/>
        </w:rPr>
        <w:t xml:space="preserve"> </w:t>
      </w:r>
      <w:r w:rsidR="00AD38CB" w:rsidRPr="00A07104">
        <w:rPr>
          <w:rFonts w:ascii="Times New Roman" w:hAnsi="Times New Roman" w:cs="Times New Roman"/>
          <w:sz w:val="28"/>
        </w:rPr>
        <w:t xml:space="preserve">по сравнению с аналогичным периодом 2017 года </w:t>
      </w:r>
      <w:r w:rsidR="00147887" w:rsidRPr="00A07104">
        <w:rPr>
          <w:rFonts w:ascii="Times New Roman" w:hAnsi="Times New Roman" w:cs="Times New Roman"/>
          <w:sz w:val="28"/>
        </w:rPr>
        <w:t xml:space="preserve">производство электроэнергии </w:t>
      </w:r>
      <w:r w:rsidR="008373DC" w:rsidRPr="00A07104">
        <w:rPr>
          <w:rFonts w:ascii="Times New Roman" w:hAnsi="Times New Roman" w:cs="Times New Roman"/>
          <w:sz w:val="28"/>
        </w:rPr>
        <w:t xml:space="preserve">значительно </w:t>
      </w:r>
      <w:r w:rsidR="00147887" w:rsidRPr="00A07104">
        <w:rPr>
          <w:rFonts w:ascii="Times New Roman" w:hAnsi="Times New Roman" w:cs="Times New Roman"/>
          <w:sz w:val="28"/>
        </w:rPr>
        <w:t>увеличилось</w:t>
      </w:r>
      <w:r w:rsidR="008373DC" w:rsidRPr="00A07104">
        <w:rPr>
          <w:rFonts w:ascii="Times New Roman" w:hAnsi="Times New Roman" w:cs="Times New Roman"/>
          <w:sz w:val="28"/>
        </w:rPr>
        <w:t xml:space="preserve"> (рост </w:t>
      </w:r>
      <w:r w:rsidR="00AD38CB" w:rsidRPr="00A07104">
        <w:rPr>
          <w:rFonts w:ascii="Times New Roman" w:hAnsi="Times New Roman" w:cs="Times New Roman"/>
          <w:sz w:val="28"/>
        </w:rPr>
        <w:t>20% и выше</w:t>
      </w:r>
      <w:r w:rsidR="008373DC" w:rsidRPr="00A07104">
        <w:rPr>
          <w:rFonts w:ascii="Times New Roman" w:hAnsi="Times New Roman" w:cs="Times New Roman"/>
          <w:sz w:val="28"/>
        </w:rPr>
        <w:t>)</w:t>
      </w:r>
      <w:r w:rsidR="00147887" w:rsidRPr="00A07104">
        <w:rPr>
          <w:rFonts w:ascii="Times New Roman" w:hAnsi="Times New Roman" w:cs="Times New Roman"/>
          <w:sz w:val="28"/>
        </w:rPr>
        <w:t xml:space="preserve"> в</w:t>
      </w:r>
      <w:r w:rsidR="00AD38CB" w:rsidRPr="00A071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6B17" w:rsidRPr="00A07104">
        <w:rPr>
          <w:rFonts w:ascii="Times New Roman" w:hAnsi="Times New Roman" w:cs="Times New Roman"/>
          <w:sz w:val="28"/>
        </w:rPr>
        <w:t>Кызылординской</w:t>
      </w:r>
      <w:proofErr w:type="spellEnd"/>
      <w:r w:rsidR="00AD38CB" w:rsidRPr="00A07104">
        <w:rPr>
          <w:rFonts w:ascii="Times New Roman" w:hAnsi="Times New Roman" w:cs="Times New Roman"/>
          <w:sz w:val="28"/>
        </w:rPr>
        <w:t xml:space="preserve"> и Южно-Казахстанской </w:t>
      </w:r>
      <w:r w:rsidR="008373DC" w:rsidRPr="00A07104">
        <w:rPr>
          <w:rFonts w:ascii="Times New Roman" w:hAnsi="Times New Roman" w:cs="Times New Roman"/>
          <w:sz w:val="28"/>
        </w:rPr>
        <w:t>областях.</w:t>
      </w:r>
      <w:r w:rsidR="00147887" w:rsidRPr="00A07104">
        <w:rPr>
          <w:rFonts w:ascii="Times New Roman" w:hAnsi="Times New Roman" w:cs="Times New Roman"/>
          <w:sz w:val="28"/>
        </w:rPr>
        <w:t xml:space="preserve"> </w:t>
      </w:r>
      <w:r w:rsidR="00836632" w:rsidRPr="00A07104">
        <w:rPr>
          <w:rFonts w:ascii="Times New Roman" w:hAnsi="Times New Roman" w:cs="Times New Roman"/>
          <w:sz w:val="28"/>
        </w:rPr>
        <w:t>В то же время, с</w:t>
      </w:r>
      <w:r w:rsidR="008373DC" w:rsidRPr="00A07104">
        <w:rPr>
          <w:rFonts w:ascii="Times New Roman" w:hAnsi="Times New Roman" w:cs="Times New Roman"/>
          <w:sz w:val="28"/>
        </w:rPr>
        <w:t>нижение производства электроэнергии наблюдалось</w:t>
      </w:r>
      <w:r w:rsidR="00147887" w:rsidRPr="00A07104">
        <w:rPr>
          <w:rFonts w:ascii="Times New Roman" w:hAnsi="Times New Roman" w:cs="Times New Roman"/>
          <w:sz w:val="28"/>
        </w:rPr>
        <w:t xml:space="preserve"> в </w:t>
      </w:r>
      <w:r w:rsidR="00836632" w:rsidRPr="00A07104">
        <w:rPr>
          <w:rFonts w:ascii="Times New Roman" w:hAnsi="Times New Roman" w:cs="Times New Roman"/>
          <w:sz w:val="28"/>
        </w:rPr>
        <w:t xml:space="preserve">Восточно-Казахстанской, </w:t>
      </w:r>
      <w:r w:rsidR="00282C14" w:rsidRPr="00A07104">
        <w:rPr>
          <w:rFonts w:ascii="Times New Roman" w:hAnsi="Times New Roman" w:cs="Times New Roman"/>
          <w:sz w:val="28"/>
        </w:rPr>
        <w:t xml:space="preserve">Карагандинской, </w:t>
      </w:r>
      <w:proofErr w:type="spellStart"/>
      <w:r w:rsidR="00836632" w:rsidRPr="00A07104">
        <w:rPr>
          <w:rFonts w:ascii="Times New Roman" w:hAnsi="Times New Roman" w:cs="Times New Roman"/>
          <w:sz w:val="28"/>
        </w:rPr>
        <w:t>Костанайской</w:t>
      </w:r>
      <w:proofErr w:type="spellEnd"/>
      <w:r w:rsidR="00836632" w:rsidRPr="00A07104">
        <w:rPr>
          <w:rFonts w:ascii="Times New Roman" w:hAnsi="Times New Roman" w:cs="Times New Roman"/>
          <w:sz w:val="28"/>
        </w:rPr>
        <w:t xml:space="preserve"> и Северо-Казахстанской</w:t>
      </w:r>
      <w:r w:rsidR="005642B7" w:rsidRPr="00A07104">
        <w:rPr>
          <w:rFonts w:ascii="Times New Roman" w:hAnsi="Times New Roman" w:cs="Times New Roman"/>
          <w:sz w:val="28"/>
        </w:rPr>
        <w:t xml:space="preserve"> областях. </w:t>
      </w:r>
    </w:p>
    <w:p w:rsidR="009B7719" w:rsidRPr="00A07104" w:rsidRDefault="009B7719" w:rsidP="00A228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07104">
        <w:rPr>
          <w:rFonts w:ascii="Times New Roman" w:hAnsi="Times New Roman" w:cs="Times New Roman"/>
          <w:i/>
          <w:sz w:val="24"/>
        </w:rPr>
        <w:t>мл</w:t>
      </w:r>
      <w:r w:rsidR="00582144" w:rsidRPr="00A07104">
        <w:rPr>
          <w:rFonts w:ascii="Times New Roman" w:hAnsi="Times New Roman" w:cs="Times New Roman"/>
          <w:i/>
          <w:sz w:val="24"/>
        </w:rPr>
        <w:t>н</w:t>
      </w:r>
      <w:r w:rsidRPr="00A07104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1104"/>
        <w:gridCol w:w="3195"/>
        <w:gridCol w:w="1851"/>
        <w:gridCol w:w="1851"/>
        <w:gridCol w:w="1911"/>
      </w:tblGrid>
      <w:tr w:rsidR="008D1FF5" w:rsidRPr="00A07104" w:rsidTr="008D1FF5">
        <w:trPr>
          <w:trHeight w:val="173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A6371A"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8D1FF5" w:rsidRPr="00A07104" w:rsidTr="008D1FF5">
        <w:trPr>
          <w:trHeight w:val="60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A07104" w:rsidRDefault="008D1FF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A07104" w:rsidRDefault="008D1FF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A07104" w:rsidRDefault="008D1FF5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A07104" w:rsidRDefault="008D1FF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71A" w:rsidRPr="00A07104" w:rsidTr="00E62F32">
        <w:trPr>
          <w:trHeight w:val="9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6,65%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1657,9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4,47%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3190,5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3182,6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-0,25%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2167,0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2352,2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8,55%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4359,7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4076,6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-6,49%</w:t>
            </w:r>
          </w:p>
        </w:tc>
      </w:tr>
      <w:tr w:rsidR="00A6371A" w:rsidRPr="00A07104" w:rsidTr="00E62F32">
        <w:trPr>
          <w:trHeight w:val="122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1039,4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1208,6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16,28%</w:t>
            </w:r>
          </w:p>
        </w:tc>
      </w:tr>
      <w:tr w:rsidR="00A6371A" w:rsidRPr="00A07104" w:rsidTr="00E62F32">
        <w:trPr>
          <w:trHeight w:val="7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12,16%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6392,5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-3,99%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-13,90%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35,79%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2096,3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2283,9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8,95%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16846,9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19986,6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18,64%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1559,7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-12,21%</w:t>
            </w:r>
          </w:p>
        </w:tc>
      </w:tr>
      <w:tr w:rsidR="00A6371A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71A" w:rsidRPr="00A07104" w:rsidRDefault="00A6371A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71A" w:rsidRPr="00522462" w:rsidRDefault="00A6371A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42,30%</w:t>
            </w:r>
          </w:p>
        </w:tc>
      </w:tr>
      <w:tr w:rsidR="00E62F32" w:rsidRPr="00A07104" w:rsidTr="00E62F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32" w:rsidRPr="00A07104" w:rsidRDefault="00E62F32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32" w:rsidRPr="00A07104" w:rsidRDefault="00E62F32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F32" w:rsidRPr="00A07104" w:rsidRDefault="00E62F32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43181,7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F32" w:rsidRPr="00A07104" w:rsidRDefault="00E62F32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46519,5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32" w:rsidRPr="00A07104" w:rsidRDefault="00E62F32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7,73%</w:t>
            </w:r>
          </w:p>
        </w:tc>
      </w:tr>
    </w:tbl>
    <w:p w:rsidR="00BB6FE6" w:rsidRDefault="00BB6FE6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6FE6" w:rsidRDefault="00BB6FE6" w:rsidP="00BB6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организациями конкурентных организаций АО «Самрук-Энерго» з</w:t>
      </w:r>
      <w:r w:rsidRPr="00786D0D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пять</w:t>
      </w:r>
      <w:r w:rsidRPr="00786D0D">
        <w:rPr>
          <w:rFonts w:ascii="Times New Roman" w:hAnsi="Times New Roman" w:cs="Times New Roman"/>
          <w:sz w:val="28"/>
        </w:rPr>
        <w:t xml:space="preserve"> месяц</w:t>
      </w:r>
      <w:r>
        <w:rPr>
          <w:rFonts w:ascii="Times New Roman" w:hAnsi="Times New Roman" w:cs="Times New Roman"/>
          <w:sz w:val="28"/>
        </w:rPr>
        <w:t>ев</w:t>
      </w:r>
      <w:r w:rsidRPr="00786D0D">
        <w:rPr>
          <w:rFonts w:ascii="Times New Roman" w:hAnsi="Times New Roman" w:cs="Times New Roman"/>
          <w:sz w:val="28"/>
        </w:rPr>
        <w:t xml:space="preserve"> 2018 года составил </w:t>
      </w:r>
      <w:r w:rsidRPr="00A07104">
        <w:rPr>
          <w:rFonts w:ascii="Times New Roman" w:hAnsi="Times New Roman" w:cs="Times New Roman"/>
          <w:sz w:val="28"/>
        </w:rPr>
        <w:t xml:space="preserve">22,7 млрд. </w:t>
      </w:r>
      <w:proofErr w:type="spellStart"/>
      <w:r w:rsidRPr="00A07104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, что на </w:t>
      </w:r>
      <w:r w:rsidRPr="00A07104">
        <w:rPr>
          <w:rFonts w:ascii="Times New Roman" w:hAnsi="Times New Roman" w:cs="Times New Roman"/>
          <w:sz w:val="28"/>
        </w:rPr>
        <w:t>0,16 млрд.</w:t>
      </w:r>
      <w:r w:rsidRPr="00786D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меньше</w:t>
      </w:r>
      <w:r w:rsidRPr="00786D0D">
        <w:rPr>
          <w:rFonts w:ascii="Times New Roman" w:hAnsi="Times New Roman" w:cs="Times New Roman"/>
          <w:sz w:val="28"/>
        </w:rPr>
        <w:t xml:space="preserve"> по сравнению с аналогичным периодом 2017 года (</w:t>
      </w:r>
      <w:r w:rsidRPr="00A07104">
        <w:rPr>
          <w:rFonts w:ascii="Times New Roman" w:hAnsi="Times New Roman" w:cs="Times New Roman"/>
          <w:sz w:val="28"/>
        </w:rPr>
        <w:t xml:space="preserve">22,8 млрд.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>).</w:t>
      </w:r>
    </w:p>
    <w:p w:rsidR="00AA1F1C" w:rsidRPr="00A07104" w:rsidRDefault="00AA1F1C" w:rsidP="00A228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07104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1984"/>
        <w:gridCol w:w="1085"/>
        <w:gridCol w:w="992"/>
      </w:tblGrid>
      <w:tr w:rsidR="001040AE" w:rsidRPr="001040AE" w:rsidTr="00292C58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040AE" w:rsidRPr="001040AE" w:rsidRDefault="001040AE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Январь-май </w:t>
            </w:r>
          </w:p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040AE" w:rsidRPr="001040AE" w:rsidRDefault="001040AE" w:rsidP="0010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Январь-май </w:t>
            </w:r>
          </w:p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040A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2017/2018гг</w:t>
            </w:r>
          </w:p>
        </w:tc>
      </w:tr>
      <w:tr w:rsidR="001040AE" w:rsidRPr="001040AE" w:rsidTr="009C7825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1040AE" w:rsidRPr="001040AE" w:rsidRDefault="001040AE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040AE" w:rsidRPr="001040AE" w:rsidRDefault="001040A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8 274,5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8 465,9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2,3%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2 993,6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2 621,1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-372,5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-12,4%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1 444,9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1 302,3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-142,6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-9,9%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1 058,6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1 028,3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-30,3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-2,9%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2 771,2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2 953,9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182,7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6,6%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3 335,1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3 081,3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-253,8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-7,6%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865,9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997,2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131,3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15,2%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C7825" w:rsidRPr="001040AE" w:rsidRDefault="009C7825" w:rsidP="001040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7825" w:rsidRPr="001040AE" w:rsidRDefault="009C7825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2130,5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 xml:space="preserve">129,2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0AE">
              <w:rPr>
                <w:rFonts w:ascii="Times New Roman" w:hAnsi="Times New Roman" w:cs="Times New Roman"/>
              </w:rPr>
              <w:t>6,1%</w:t>
            </w:r>
          </w:p>
        </w:tc>
      </w:tr>
      <w:tr w:rsidR="009C7825" w:rsidRPr="001040AE" w:rsidTr="009C7825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9C7825" w:rsidRPr="001040AE" w:rsidRDefault="009C7825" w:rsidP="001040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C7825" w:rsidRPr="001040AE" w:rsidRDefault="009C7825" w:rsidP="0010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0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>22 874,3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825" w:rsidRPr="001040AE" w:rsidRDefault="009C7825" w:rsidP="009C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>22 709,7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C7825" w:rsidRPr="001040AE" w:rsidRDefault="009C7825" w:rsidP="00104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 xml:space="preserve">-164,6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825" w:rsidRPr="001040AE" w:rsidRDefault="009C7825" w:rsidP="00104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40AE">
              <w:rPr>
                <w:rFonts w:ascii="Times New Roman" w:hAnsi="Times New Roman" w:cs="Times New Roman"/>
                <w:b/>
              </w:rPr>
              <w:t>-0,7%</w:t>
            </w:r>
          </w:p>
        </w:tc>
      </w:tr>
    </w:tbl>
    <w:p w:rsidR="00AA1F1C" w:rsidRDefault="00AA1F1C" w:rsidP="00A2289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040AE" w:rsidRPr="001040AE" w:rsidRDefault="001040AE" w:rsidP="001040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организациями АО «Самрук-Энерго» в</w:t>
      </w:r>
      <w:r w:rsidRPr="00E36C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январе-мае </w:t>
      </w:r>
      <w:r w:rsidRPr="00E36C33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Pr="00E36C33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E36C33">
        <w:rPr>
          <w:rFonts w:ascii="Times New Roman" w:hAnsi="Times New Roman" w:cs="Times New Roman"/>
          <w:sz w:val="28"/>
        </w:rPr>
        <w:t xml:space="preserve"> составил </w:t>
      </w:r>
      <w:r>
        <w:rPr>
          <w:rFonts w:ascii="Times New Roman" w:hAnsi="Times New Roman" w:cs="Times New Roman"/>
          <w:bCs/>
          <w:sz w:val="28"/>
        </w:rPr>
        <w:t xml:space="preserve">13,9 </w:t>
      </w:r>
      <w:r w:rsidRPr="00E36C33">
        <w:rPr>
          <w:rFonts w:ascii="Times New Roman" w:hAnsi="Times New Roman" w:cs="Times New Roman"/>
          <w:sz w:val="28"/>
        </w:rPr>
        <w:t>мл</w:t>
      </w:r>
      <w:r>
        <w:rPr>
          <w:rFonts w:ascii="Times New Roman" w:hAnsi="Times New Roman" w:cs="Times New Roman"/>
          <w:sz w:val="28"/>
        </w:rPr>
        <w:t>рд</w:t>
      </w:r>
      <w:r w:rsidRPr="00E36C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36C33"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 xml:space="preserve"> или прирост 25,8</w:t>
      </w:r>
      <w:r w:rsidRPr="00E36C33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в сравнении с показателями аналогичного периода 2017 года</w:t>
      </w:r>
      <w:r w:rsidRPr="00E36C33">
        <w:rPr>
          <w:rFonts w:ascii="Times New Roman" w:hAnsi="Times New Roman" w:cs="Times New Roman"/>
          <w:sz w:val="28"/>
        </w:rPr>
        <w:t>.</w:t>
      </w:r>
    </w:p>
    <w:p w:rsidR="00AA1F1C" w:rsidRPr="00A07104" w:rsidRDefault="00AA1F1C" w:rsidP="00A2289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07104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1134"/>
        <w:gridCol w:w="993"/>
        <w:gridCol w:w="991"/>
        <w:gridCol w:w="1085"/>
        <w:gridCol w:w="992"/>
      </w:tblGrid>
      <w:tr w:rsidR="00AA1F1C" w:rsidRPr="00A07104" w:rsidTr="00292C58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A07104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2017/2018гг</w:t>
            </w:r>
          </w:p>
        </w:tc>
      </w:tr>
      <w:tr w:rsidR="00AA1F1C" w:rsidRPr="00A07104" w:rsidTr="00292C58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янв.-май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A1F1C" w:rsidRPr="00A07104" w:rsidTr="00292C58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11 040,2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25,6%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13 893,1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29,9%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2 852,8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104">
              <w:rPr>
                <w:rFonts w:ascii="Times New Roman" w:hAnsi="Times New Roman" w:cs="Times New Roman"/>
                <w:b/>
              </w:rPr>
              <w:t>25,8%</w:t>
            </w:r>
          </w:p>
        </w:tc>
      </w:tr>
      <w:tr w:rsidR="00AA1F1C" w:rsidRPr="00A07104" w:rsidTr="00292C58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«АлЭС»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2 545,9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2 578,7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1,3%</w:t>
            </w:r>
          </w:p>
        </w:tc>
      </w:tr>
      <w:tr w:rsidR="00AA1F1C" w:rsidRPr="00A07104" w:rsidTr="00292C58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5 418,7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12,5%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8 271,1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17,8%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2 852,4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52,6%</w:t>
            </w:r>
          </w:p>
        </w:tc>
      </w:tr>
      <w:tr w:rsidR="00AA1F1C" w:rsidRPr="00A07104" w:rsidTr="00292C5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2 335,7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2 401,5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5,2%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2,8%</w:t>
            </w:r>
          </w:p>
        </w:tc>
      </w:tr>
      <w:tr w:rsidR="00AA1F1C" w:rsidRPr="00A07104" w:rsidTr="00292C5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178,2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-8,5%</w:t>
            </w:r>
          </w:p>
        </w:tc>
      </w:tr>
      <w:tr w:rsidR="00AA1F1C" w:rsidRPr="00A07104" w:rsidTr="00292C5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474,4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399,5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-15,8%</w:t>
            </w:r>
          </w:p>
        </w:tc>
      </w:tr>
      <w:tr w:rsidR="00AA1F1C" w:rsidRPr="00A07104" w:rsidTr="00292C5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-1,3%</w:t>
            </w:r>
          </w:p>
        </w:tc>
      </w:tr>
      <w:tr w:rsidR="00AA1F1C" w:rsidRPr="00A07104" w:rsidTr="00292C5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78,0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7104">
              <w:rPr>
                <w:rFonts w:ascii="Times New Roman" w:hAnsi="Times New Roman" w:cs="Times New Roman"/>
                <w:i/>
              </w:rPr>
              <w:t>-9,4%</w:t>
            </w:r>
          </w:p>
        </w:tc>
      </w:tr>
    </w:tbl>
    <w:p w:rsidR="00AA1F1C" w:rsidRPr="00A07104" w:rsidRDefault="00AA1F1C" w:rsidP="00A2289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F1C" w:rsidRPr="00A07104" w:rsidRDefault="00AA1F1C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516129783"/>
      <w:bookmarkStart w:id="5" w:name="_Toc519083780"/>
      <w:r w:rsidRPr="00A07104">
        <w:rPr>
          <w:rFonts w:ascii="Times New Roman" w:hAnsi="Times New Roman" w:cs="Times New Roman"/>
          <w:b/>
        </w:rPr>
        <w:lastRenderedPageBreak/>
        <w:t>Потребление электрической энергии в ЕЭС Казахстана</w:t>
      </w:r>
      <w:bookmarkEnd w:id="4"/>
      <w:bookmarkEnd w:id="5"/>
    </w:p>
    <w:p w:rsidR="00AA1F1C" w:rsidRPr="00A07104" w:rsidRDefault="00AA1F1C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AA1F1C" w:rsidRPr="00A07104" w:rsidRDefault="00AA1F1C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16129784"/>
      <w:bookmarkStart w:id="7" w:name="_Toc519083781"/>
      <w:r w:rsidRPr="00A07104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AA1F1C" w:rsidRPr="00A07104" w:rsidRDefault="00AA1F1C" w:rsidP="00A22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 xml:space="preserve">По данным Системного оператора, в январе-мае 2018 года наблюдался рост в динамике потребления электрической энергии по всей республике в сравнении с показателями января-мае 2017 года. Так, в северной зоне республики потребление увеличилось на 4%, в западной зоне на 9% и в южной зоне на 9%. </w:t>
      </w:r>
    </w:p>
    <w:p w:rsidR="00AA1F1C" w:rsidRPr="00A07104" w:rsidRDefault="00AA1F1C" w:rsidP="00A2289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A07104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AA1F1C" w:rsidRPr="00A07104" w:rsidTr="00292C58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янв.-май</w:t>
            </w:r>
          </w:p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янв.-май</w:t>
            </w:r>
          </w:p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41364,3</w:t>
            </w:r>
          </w:p>
        </w:tc>
        <w:tc>
          <w:tcPr>
            <w:tcW w:w="1420" w:type="dxa"/>
            <w:shd w:val="clear" w:color="auto" w:fill="17365D" w:themeFill="text2" w:themeFillShade="BF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43864,8</w:t>
            </w:r>
          </w:p>
        </w:tc>
        <w:tc>
          <w:tcPr>
            <w:tcW w:w="1598" w:type="dxa"/>
            <w:shd w:val="clear" w:color="auto" w:fill="17365D" w:themeFill="text2" w:themeFillShade="BF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2500,5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27806,2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29043,7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5161,8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5637,4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8396,3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9183,7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AA1F1C" w:rsidRPr="00A07104" w:rsidTr="00292C58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071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C6D9F1" w:themeFill="text2" w:themeFillTint="33"/>
            <w:vAlign w:val="bottom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C6D9F1" w:themeFill="text2" w:themeFillTint="33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3842,3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7081,4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7382,6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2892,1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1845,7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1962,1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2028,5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2068,9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7967,3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8228,3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2554,8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296,8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2103,2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2496,9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2667,4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871,7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4672,2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Южно-Казахстанская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1880,8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1994,4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1790,6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AA1F1C" w:rsidRPr="00A07104" w:rsidTr="00292C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Default="00C6011E" w:rsidP="00A228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001C" w:rsidRPr="00A07104" w:rsidRDefault="005070DF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19083782"/>
      <w:r w:rsidRPr="00A07104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A07104">
        <w:rPr>
          <w:rFonts w:ascii="Times New Roman" w:hAnsi="Times New Roman" w:cs="Times New Roman"/>
          <w:i/>
          <w:color w:val="auto"/>
          <w:sz w:val="28"/>
        </w:rPr>
        <w:t>тог</w:t>
      </w:r>
      <w:r w:rsidRPr="00A07104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A07104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 w:rsidRPr="00A07104">
        <w:rPr>
          <w:rFonts w:ascii="Times New Roman" w:hAnsi="Times New Roman" w:cs="Times New Roman"/>
          <w:i/>
          <w:color w:val="auto"/>
          <w:sz w:val="28"/>
        </w:rPr>
        <w:t xml:space="preserve">боты промышленности </w:t>
      </w:r>
      <w:r w:rsidR="00125238" w:rsidRPr="00A07104">
        <w:rPr>
          <w:rFonts w:ascii="Times New Roman" w:hAnsi="Times New Roman" w:cs="Times New Roman"/>
          <w:i/>
          <w:color w:val="auto"/>
          <w:sz w:val="28"/>
        </w:rPr>
        <w:t xml:space="preserve">за </w:t>
      </w:r>
      <w:r w:rsidR="00CC5613" w:rsidRPr="00A07104">
        <w:rPr>
          <w:rFonts w:ascii="Times New Roman" w:hAnsi="Times New Roman" w:cs="Times New Roman"/>
          <w:i/>
          <w:color w:val="auto"/>
          <w:sz w:val="28"/>
        </w:rPr>
        <w:t>5</w:t>
      </w:r>
      <w:r w:rsidR="00CC4053" w:rsidRPr="00A07104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="00CC5613" w:rsidRPr="00A07104">
        <w:rPr>
          <w:rFonts w:ascii="Times New Roman" w:hAnsi="Times New Roman" w:cs="Times New Roman"/>
          <w:i/>
          <w:color w:val="auto"/>
          <w:sz w:val="28"/>
        </w:rPr>
        <w:t>ев</w:t>
      </w:r>
      <w:r w:rsidR="0058001C" w:rsidRPr="00A07104">
        <w:rPr>
          <w:rFonts w:ascii="Times New Roman" w:hAnsi="Times New Roman" w:cs="Times New Roman"/>
          <w:i/>
          <w:color w:val="auto"/>
          <w:sz w:val="28"/>
        </w:rPr>
        <w:t xml:space="preserve"> 201</w:t>
      </w:r>
      <w:r w:rsidR="007D00DC" w:rsidRPr="00A07104">
        <w:rPr>
          <w:rFonts w:ascii="Times New Roman" w:hAnsi="Times New Roman" w:cs="Times New Roman"/>
          <w:i/>
          <w:color w:val="auto"/>
          <w:sz w:val="28"/>
        </w:rPr>
        <w:t>8</w:t>
      </w:r>
      <w:r w:rsidR="0058001C" w:rsidRPr="00A07104">
        <w:rPr>
          <w:rFonts w:ascii="Times New Roman" w:hAnsi="Times New Roman" w:cs="Times New Roman"/>
          <w:i/>
          <w:color w:val="auto"/>
          <w:sz w:val="28"/>
        </w:rPr>
        <w:t xml:space="preserve"> года</w:t>
      </w:r>
      <w:bookmarkEnd w:id="8"/>
      <w:r w:rsidR="0058001C" w:rsidRPr="00A07104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A07104" w:rsidRDefault="0058001C" w:rsidP="00A2289E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A07104">
        <w:rPr>
          <w:i/>
          <w:szCs w:val="22"/>
        </w:rPr>
        <w:t>(э</w:t>
      </w:r>
      <w:r w:rsidR="00A5325B" w:rsidRPr="00A07104">
        <w:rPr>
          <w:i/>
          <w:szCs w:val="22"/>
        </w:rPr>
        <w:t>кспресс-информация Комитета по статистике МНЭ РК</w:t>
      </w:r>
      <w:r w:rsidRPr="00A07104">
        <w:rPr>
          <w:i/>
          <w:szCs w:val="22"/>
        </w:rPr>
        <w:t>)</w:t>
      </w:r>
    </w:p>
    <w:p w:rsidR="000620C6" w:rsidRPr="00A07104" w:rsidRDefault="00CC5613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январе-мае 2018 года по сравнению с январем-маем 2017 года индекс промышленного производства составил 105,4%. Увеличение зафиксировано в 14 регионах республики. Снижение объемов производства наблюдалось в </w:t>
      </w:r>
      <w:proofErr w:type="spellStart"/>
      <w:r w:rsidRPr="00A07104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07104">
        <w:rPr>
          <w:rFonts w:ascii="Times New Roman" w:hAnsi="Times New Roman"/>
          <w:sz w:val="28"/>
          <w:szCs w:val="28"/>
        </w:rPr>
        <w:t>Западно-Казахстанской</w:t>
      </w:r>
      <w:proofErr w:type="gramEnd"/>
      <w:r w:rsidRPr="00A07104">
        <w:rPr>
          <w:rFonts w:ascii="Times New Roman" w:hAnsi="Times New Roman"/>
          <w:sz w:val="28"/>
          <w:szCs w:val="28"/>
        </w:rPr>
        <w:t xml:space="preserve"> областях.</w:t>
      </w:r>
    </w:p>
    <w:p w:rsidR="00AA1F1C" w:rsidRPr="00A07104" w:rsidRDefault="00AA1F1C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90F00" w:rsidRPr="00A07104" w:rsidRDefault="00A90F00" w:rsidP="00A2289E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A07104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A90F00" w:rsidRPr="00A07104" w:rsidRDefault="00A90F00" w:rsidP="00A2289E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A07104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A90F00" w:rsidRPr="00A07104" w:rsidRDefault="00A90F00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620C6" w:rsidRPr="00A071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B718F1" wp14:editId="3144CAAA">
            <wp:extent cx="5495290" cy="2961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7104">
        <w:rPr>
          <w:rFonts w:ascii="Times New Roman" w:hAnsi="Times New Roman"/>
          <w:sz w:val="28"/>
          <w:szCs w:val="28"/>
        </w:rPr>
        <w:t>Атырауской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области из-за увеличения объемов добычи сырой нефти индекс промышленного производства составил 113,1%.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7104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области увеличилась добыча железорудных окатышей и концентратов, возросло производство муки, </w:t>
      </w:r>
      <w:proofErr w:type="spellStart"/>
      <w:r w:rsidRPr="00A07104">
        <w:rPr>
          <w:rFonts w:ascii="Times New Roman" w:hAnsi="Times New Roman"/>
          <w:sz w:val="28"/>
          <w:szCs w:val="28"/>
        </w:rPr>
        <w:t>макаронов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и легковых автомобилей (112,4%).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В Жамбылской области возросла добыча фосфатного сырья, увеличилось производство сахара, фосфора, фосфорных удобрений и портландцемента (112,3%).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Восточно-Казахстанской области возросла добыча медных руд и концентратов, увеличилось производство подсолнечного масла, аффинированного </w:t>
      </w:r>
      <w:proofErr w:type="gramStart"/>
      <w:r w:rsidRPr="00A07104">
        <w:rPr>
          <w:rFonts w:ascii="Times New Roman" w:hAnsi="Times New Roman"/>
          <w:sz w:val="28"/>
          <w:szCs w:val="28"/>
        </w:rPr>
        <w:t>золота,  рафинированной</w:t>
      </w:r>
      <w:proofErr w:type="gramEnd"/>
      <w:r w:rsidRPr="00A07104">
        <w:rPr>
          <w:rFonts w:ascii="Times New Roman" w:hAnsi="Times New Roman"/>
          <w:sz w:val="28"/>
          <w:szCs w:val="28"/>
        </w:rPr>
        <w:t xml:space="preserve"> меди и легковых автомобилей (107,2%).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Актюбинской области увеличилась добыча хромовых руд и концентратов, цинковых концентратов 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и медно-цинковых руд, возросло производство феррохрома и бихромата натрия (104,8%).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Алматинской области увеличилось производство обработанного молока, сахара, безалкогольных напитков 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и электрических аккумуляторов (104,4%).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В Павлодарской области увеличилась добыча медного концентрата, возросло производство дизельного топлива и стальных труб (104,3%).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7104">
        <w:rPr>
          <w:rFonts w:ascii="Times New Roman" w:hAnsi="Times New Roman"/>
          <w:sz w:val="28"/>
          <w:szCs w:val="28"/>
        </w:rPr>
        <w:t>г.Алматы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увеличилось производство подсолнечного масла, переработанного чая и кофе, и телевизионных приемников (103,8%).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В Южно-Казахстанской области возросло производство муки, бензина, керосина и портландцемента (103,3%).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В Северо-Казахстанской области увеличилось производство нерафинированного рапсового масла, обработанного молока и муки (103,1%).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В Карагандинской области возросло производство плоского проката, аффинированного золота, нелегированной стали и изолированного провода (103%).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В Акмолинской области увеличилась добыча золотосодержащих руд, возросло производство муки, шариковых и роликовых подшипников (102,8%).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Мангистауской области за счет увеличения объемов добычи сырой нефти индекс промышленного производства составил 101,5%. 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A07104">
        <w:rPr>
          <w:rFonts w:ascii="Times New Roman" w:hAnsi="Times New Roman"/>
          <w:sz w:val="28"/>
          <w:szCs w:val="28"/>
        </w:rPr>
        <w:t>г.Астана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возросло производство безалкогольных напитков, товарного бетона, аффинированного золота 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>и конструкций из черных металлов и алюминия (100,2%).</w:t>
      </w:r>
    </w:p>
    <w:p w:rsidR="000620C6" w:rsidRPr="00A07104" w:rsidRDefault="000620C6" w:rsidP="00A2289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0710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07104">
        <w:rPr>
          <w:rFonts w:ascii="Times New Roman" w:hAnsi="Times New Roman"/>
          <w:sz w:val="28"/>
          <w:szCs w:val="28"/>
        </w:rPr>
        <w:t>Западно-Казахстанской</w:t>
      </w:r>
      <w:proofErr w:type="gramEnd"/>
      <w:r w:rsidRPr="00A07104">
        <w:rPr>
          <w:rFonts w:ascii="Times New Roman" w:hAnsi="Times New Roman"/>
          <w:sz w:val="28"/>
          <w:szCs w:val="28"/>
        </w:rPr>
        <w:t xml:space="preserve"> области из-за снижения добычи газового конденсата индекс промышленного производства составил 98%.</w:t>
      </w:r>
    </w:p>
    <w:p w:rsidR="00A90F00" w:rsidRPr="00A07104" w:rsidRDefault="000620C6" w:rsidP="00A2289E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A0710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7104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Pr="00A07104">
        <w:rPr>
          <w:rFonts w:ascii="Times New Roman" w:hAnsi="Times New Roman"/>
          <w:sz w:val="28"/>
          <w:szCs w:val="28"/>
        </w:rPr>
        <w:t xml:space="preserve"> области за счет снижения добычи сырой нефти индекс промышленного производства составил 95,6%.</w:t>
      </w:r>
    </w:p>
    <w:p w:rsidR="00A5325B" w:rsidRPr="00A07104" w:rsidRDefault="00A5325B" w:rsidP="00A2289E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A07104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A07104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0" w:history="1">
        <w:r w:rsidRPr="00A07104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A07104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A07104" w:rsidRDefault="00BC7CB8" w:rsidP="00A2289E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1447DB" w:rsidRPr="00A07104" w:rsidRDefault="00596C30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9083783"/>
      <w:r w:rsidRPr="00A07104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A07104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A07104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9"/>
    </w:p>
    <w:p w:rsidR="00535451" w:rsidRPr="00A07104" w:rsidRDefault="00535451" w:rsidP="00A2289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За </w:t>
      </w:r>
      <w:r w:rsidR="00C27884" w:rsidRPr="00A07104">
        <w:rPr>
          <w:rFonts w:ascii="Times New Roman" w:eastAsiaTheme="minorHAnsi" w:hAnsi="Times New Roman"/>
          <w:sz w:val="28"/>
          <w:szCs w:val="22"/>
          <w:lang w:eastAsia="en-US"/>
        </w:rPr>
        <w:t>январь</w:t>
      </w:r>
      <w:r w:rsidR="008B2E50" w:rsidRPr="00A07104">
        <w:rPr>
          <w:rFonts w:ascii="Times New Roman" w:eastAsiaTheme="minorHAnsi" w:hAnsi="Times New Roman"/>
          <w:sz w:val="28"/>
          <w:szCs w:val="22"/>
          <w:lang w:eastAsia="en-US"/>
        </w:rPr>
        <w:t>-</w:t>
      </w:r>
      <w:r w:rsidR="00A721DF" w:rsidRPr="00A07104">
        <w:rPr>
          <w:rFonts w:ascii="Times New Roman" w:eastAsiaTheme="minorHAnsi" w:hAnsi="Times New Roman"/>
          <w:sz w:val="28"/>
          <w:szCs w:val="22"/>
          <w:lang w:eastAsia="en-US"/>
        </w:rPr>
        <w:t>май</w:t>
      </w: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201</w:t>
      </w:r>
      <w:r w:rsidR="00C27884" w:rsidRPr="00A07104">
        <w:rPr>
          <w:rFonts w:ascii="Times New Roman" w:eastAsiaTheme="minorHAnsi" w:hAnsi="Times New Roman"/>
          <w:sz w:val="28"/>
          <w:szCs w:val="22"/>
          <w:lang w:eastAsia="en-US"/>
        </w:rPr>
        <w:t>8</w:t>
      </w: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года по отношению к аналогичному периоду 201</w:t>
      </w:r>
      <w:r w:rsidR="00C27884" w:rsidRPr="00A07104">
        <w:rPr>
          <w:rFonts w:ascii="Times New Roman" w:eastAsiaTheme="minorHAnsi" w:hAnsi="Times New Roman"/>
          <w:sz w:val="28"/>
          <w:szCs w:val="22"/>
          <w:lang w:eastAsia="en-US"/>
        </w:rPr>
        <w:t>7</w:t>
      </w: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года наблюдался рост потребления электроэнергии по</w:t>
      </w:r>
      <w:r w:rsidR="00C27884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всем</w:t>
      </w: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крупным потребителям</w:t>
      </w:r>
      <w:r w:rsidR="00C27884" w:rsidRPr="00A07104">
        <w:rPr>
          <w:rFonts w:ascii="Times New Roman" w:eastAsiaTheme="minorHAnsi" w:hAnsi="Times New Roman"/>
          <w:sz w:val="28"/>
          <w:szCs w:val="22"/>
          <w:lang w:eastAsia="en-US"/>
        </w:rPr>
        <w:t>,</w:t>
      </w: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за исключением АО АЗФ (</w:t>
      </w:r>
      <w:proofErr w:type="spellStart"/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>Аксуйский</w:t>
      </w:r>
      <w:proofErr w:type="spellEnd"/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) </w:t>
      </w:r>
      <w:r w:rsidR="00BD7F80" w:rsidRPr="00A07104">
        <w:rPr>
          <w:rFonts w:ascii="Times New Roman" w:eastAsiaTheme="minorHAnsi" w:hAnsi="Times New Roman"/>
          <w:sz w:val="28"/>
          <w:szCs w:val="22"/>
          <w:lang w:eastAsia="en-US"/>
        </w:rPr>
        <w:t>«</w:t>
      </w:r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ТНК </w:t>
      </w:r>
      <w:proofErr w:type="spellStart"/>
      <w:r w:rsidRPr="00A07104">
        <w:rPr>
          <w:rFonts w:ascii="Times New Roman" w:eastAsiaTheme="minorHAnsi" w:hAnsi="Times New Roman"/>
          <w:sz w:val="28"/>
          <w:szCs w:val="22"/>
          <w:lang w:eastAsia="en-US"/>
        </w:rPr>
        <w:t>Казхром</w:t>
      </w:r>
      <w:proofErr w:type="spellEnd"/>
      <w:r w:rsidR="00BD7F80" w:rsidRPr="00A07104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, ТОО «Корпорация </w:t>
      </w:r>
      <w:proofErr w:type="spellStart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>» (</w:t>
      </w:r>
      <w:proofErr w:type="spellStart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>Жезказганская</w:t>
      </w:r>
      <w:proofErr w:type="spellEnd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площадка), ТОО «</w:t>
      </w:r>
      <w:proofErr w:type="spellStart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A721DF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, РГП «Канал им. </w:t>
      </w:r>
      <w:proofErr w:type="spellStart"/>
      <w:r w:rsidR="00A721DF" w:rsidRPr="00A07104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="00A721DF" w:rsidRPr="00A07104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93791F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и</w:t>
      </w:r>
      <w:r w:rsidR="008B2E50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 ТОО «</w:t>
      </w:r>
      <w:proofErr w:type="spellStart"/>
      <w:r w:rsidR="008B2E50" w:rsidRPr="00A07104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="008B2E50" w:rsidRPr="00A07104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ED2209" w:rsidRPr="00A07104">
        <w:rPr>
          <w:rFonts w:ascii="Times New Roman" w:eastAsiaTheme="minorHAnsi" w:hAnsi="Times New Roman"/>
          <w:sz w:val="28"/>
          <w:szCs w:val="22"/>
          <w:lang w:eastAsia="en-US"/>
        </w:rPr>
        <w:t xml:space="preserve">. </w:t>
      </w:r>
    </w:p>
    <w:p w:rsidR="00A42AA0" w:rsidRPr="00A07104" w:rsidRDefault="006C6971" w:rsidP="00A228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07104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A07104">
        <w:rPr>
          <w:rFonts w:ascii="Times New Roman" w:hAnsi="Times New Roman" w:cs="Times New Roman"/>
          <w:i/>
          <w:sz w:val="24"/>
          <w:szCs w:val="24"/>
        </w:rPr>
        <w:t>. кВтч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A07104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A07104" w:rsidRDefault="00854D8B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A07104" w:rsidRDefault="00854D8B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A07104" w:rsidRDefault="00D479C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54D8B"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="00F216EC"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721DF"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54D8B" w:rsidRPr="00A07104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A07104" w:rsidRDefault="00854D8B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A07104" w:rsidRDefault="00854D8B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A07104" w:rsidRDefault="00DE70E9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54D8B"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A07104" w:rsidRDefault="00854D8B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A07104" w:rsidRDefault="00854D8B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1 714,8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1 781,9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2 392,7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2 297,8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Жезказганская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447,1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434,4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395,7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1 107,5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1 129,6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733,9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748,1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«Корпорация Казахмыс» Балхашская площадка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89,8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1 164,8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1 273,7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87,9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532,1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840,3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711,5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93,0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229,9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783,5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792,8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395,6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1 499,1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1 528,3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1 370,7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1 089,3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</w:tc>
      </w:tr>
      <w:tr w:rsidR="00A721DF" w:rsidRPr="00A07104" w:rsidTr="00A721DF">
        <w:trPr>
          <w:trHeight w:val="360"/>
        </w:trPr>
        <w:tc>
          <w:tcPr>
            <w:tcW w:w="567" w:type="dxa"/>
            <w:vAlign w:val="center"/>
          </w:tcPr>
          <w:p w:rsidR="00A721DF" w:rsidRPr="00A07104" w:rsidRDefault="00A721DF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2 038,1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2 067,4 </w:t>
            </w:r>
          </w:p>
        </w:tc>
        <w:tc>
          <w:tcPr>
            <w:tcW w:w="1087" w:type="dxa"/>
            <w:vAlign w:val="bottom"/>
          </w:tcPr>
          <w:p w:rsidR="00A721DF" w:rsidRPr="00A07104" w:rsidRDefault="00A721DF" w:rsidP="00A2289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AA1F1C" w:rsidRPr="00A07104" w:rsidRDefault="00AA1F1C" w:rsidP="00A2289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3B36BC" w:rsidRPr="00A07104" w:rsidRDefault="00A32670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0" w:name="_Toc519083784"/>
      <w:r w:rsidRPr="00A07104">
        <w:rPr>
          <w:rFonts w:ascii="Times New Roman" w:hAnsi="Times New Roman" w:cs="Times New Roman"/>
          <w:b/>
        </w:rPr>
        <w:t>Уголь</w:t>
      </w:r>
      <w:bookmarkEnd w:id="10"/>
    </w:p>
    <w:p w:rsidR="0001110C" w:rsidRPr="00A07104" w:rsidRDefault="0001110C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A07104" w:rsidRDefault="00E23C2C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19083785"/>
      <w:r w:rsidRPr="00A07104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A07104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A07104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A07104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A07104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1"/>
    </w:p>
    <w:p w:rsidR="00535451" w:rsidRPr="00A07104" w:rsidRDefault="00535451" w:rsidP="00A228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По </w:t>
      </w:r>
      <w:r w:rsidR="00523770" w:rsidRPr="00A07104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A0710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9424F" w:rsidRPr="00A0710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A07104">
        <w:rPr>
          <w:rFonts w:ascii="Times New Roman" w:hAnsi="Times New Roman" w:cs="Times New Roman"/>
          <w:sz w:val="28"/>
          <w:szCs w:val="28"/>
        </w:rPr>
        <w:t xml:space="preserve">по статистике МНЭ РК, в Казахстане </w:t>
      </w:r>
      <w:r w:rsidR="00BC79FE" w:rsidRPr="00A07104">
        <w:rPr>
          <w:rFonts w:ascii="Times New Roman" w:hAnsi="Times New Roman" w:cs="Times New Roman"/>
          <w:sz w:val="28"/>
          <w:szCs w:val="28"/>
        </w:rPr>
        <w:t>в январе</w:t>
      </w:r>
      <w:r w:rsidR="008B2E50" w:rsidRPr="00A07104">
        <w:rPr>
          <w:rFonts w:ascii="Times New Roman" w:hAnsi="Times New Roman" w:cs="Times New Roman"/>
          <w:sz w:val="28"/>
          <w:szCs w:val="28"/>
        </w:rPr>
        <w:t>-</w:t>
      </w:r>
      <w:r w:rsidR="007C3A8C" w:rsidRPr="00A07104">
        <w:rPr>
          <w:rFonts w:ascii="Times New Roman" w:hAnsi="Times New Roman" w:cs="Times New Roman"/>
          <w:sz w:val="28"/>
          <w:szCs w:val="28"/>
        </w:rPr>
        <w:t>мае</w:t>
      </w:r>
      <w:r w:rsidR="00BC79FE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Pr="00A07104">
        <w:rPr>
          <w:rFonts w:ascii="Times New Roman" w:hAnsi="Times New Roman" w:cs="Times New Roman"/>
          <w:sz w:val="28"/>
          <w:szCs w:val="28"/>
        </w:rPr>
        <w:t>201</w:t>
      </w:r>
      <w:r w:rsidR="00BC79FE" w:rsidRPr="00A07104">
        <w:rPr>
          <w:rFonts w:ascii="Times New Roman" w:hAnsi="Times New Roman" w:cs="Times New Roman"/>
          <w:sz w:val="28"/>
          <w:szCs w:val="28"/>
        </w:rPr>
        <w:t>8</w:t>
      </w:r>
      <w:r w:rsidRPr="00A07104">
        <w:rPr>
          <w:rFonts w:ascii="Times New Roman" w:hAnsi="Times New Roman" w:cs="Times New Roman"/>
          <w:sz w:val="28"/>
          <w:szCs w:val="28"/>
        </w:rPr>
        <w:t xml:space="preserve"> год</w:t>
      </w:r>
      <w:r w:rsidR="00BC79FE" w:rsidRPr="00A07104">
        <w:rPr>
          <w:rFonts w:ascii="Times New Roman" w:hAnsi="Times New Roman" w:cs="Times New Roman"/>
          <w:sz w:val="28"/>
          <w:szCs w:val="28"/>
        </w:rPr>
        <w:t>а</w:t>
      </w:r>
      <w:r w:rsidRPr="00A07104">
        <w:rPr>
          <w:rFonts w:ascii="Times New Roman" w:hAnsi="Times New Roman" w:cs="Times New Roman"/>
          <w:sz w:val="28"/>
          <w:szCs w:val="28"/>
        </w:rPr>
        <w:t xml:space="preserve"> добыто </w:t>
      </w:r>
      <w:r w:rsidR="007C3A8C" w:rsidRPr="00A07104">
        <w:rPr>
          <w:rFonts w:ascii="Times New Roman" w:hAnsi="Times New Roman" w:cs="Times New Roman"/>
          <w:sz w:val="28"/>
          <w:szCs w:val="28"/>
        </w:rPr>
        <w:t>46,9</w:t>
      </w:r>
      <w:r w:rsidRPr="00A07104">
        <w:rPr>
          <w:rFonts w:ascii="Times New Roman" w:hAnsi="Times New Roman" w:cs="Times New Roman"/>
          <w:sz w:val="28"/>
          <w:szCs w:val="28"/>
        </w:rPr>
        <w:t xml:space="preserve"> млн. тонн </w:t>
      </w:r>
      <w:r w:rsidR="001D39F6" w:rsidRPr="00A07104">
        <w:rPr>
          <w:rFonts w:ascii="Times New Roman" w:hAnsi="Times New Roman" w:cs="Times New Roman"/>
          <w:sz w:val="28"/>
          <w:szCs w:val="28"/>
        </w:rPr>
        <w:t xml:space="preserve">каменного </w:t>
      </w:r>
      <w:r w:rsidRPr="00A07104">
        <w:rPr>
          <w:rFonts w:ascii="Times New Roman" w:hAnsi="Times New Roman" w:cs="Times New Roman"/>
          <w:sz w:val="28"/>
          <w:szCs w:val="28"/>
        </w:rPr>
        <w:t>угля, что на </w:t>
      </w:r>
      <w:r w:rsidR="00422191" w:rsidRPr="00A07104">
        <w:rPr>
          <w:rFonts w:ascii="Times New Roman" w:hAnsi="Times New Roman" w:cs="Times New Roman"/>
          <w:sz w:val="28"/>
          <w:szCs w:val="28"/>
        </w:rPr>
        <w:t>4</w:t>
      </w:r>
      <w:r w:rsidR="001D39F6" w:rsidRPr="00A07104">
        <w:rPr>
          <w:rFonts w:ascii="Times New Roman" w:hAnsi="Times New Roman" w:cs="Times New Roman"/>
          <w:sz w:val="28"/>
          <w:szCs w:val="28"/>
        </w:rPr>
        <w:t xml:space="preserve">% </w:t>
      </w:r>
      <w:r w:rsidR="00422191" w:rsidRPr="00A07104">
        <w:rPr>
          <w:rFonts w:ascii="Times New Roman" w:hAnsi="Times New Roman" w:cs="Times New Roman"/>
          <w:sz w:val="28"/>
          <w:szCs w:val="28"/>
        </w:rPr>
        <w:t>больше</w:t>
      </w:r>
      <w:r w:rsidR="001D39F6" w:rsidRPr="00A07104">
        <w:rPr>
          <w:rFonts w:ascii="Times New Roman" w:hAnsi="Times New Roman" w:cs="Times New Roman"/>
          <w:sz w:val="28"/>
          <w:szCs w:val="28"/>
        </w:rPr>
        <w:t>, чем за</w:t>
      </w:r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BC79FE" w:rsidRPr="00A07104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Pr="00A07104">
        <w:rPr>
          <w:rFonts w:ascii="Times New Roman" w:hAnsi="Times New Roman" w:cs="Times New Roman"/>
          <w:sz w:val="28"/>
          <w:szCs w:val="28"/>
        </w:rPr>
        <w:t>201</w:t>
      </w:r>
      <w:r w:rsidR="00BC79FE" w:rsidRPr="00A07104">
        <w:rPr>
          <w:rFonts w:ascii="Times New Roman" w:hAnsi="Times New Roman" w:cs="Times New Roman"/>
          <w:sz w:val="28"/>
          <w:szCs w:val="28"/>
        </w:rPr>
        <w:t>7</w:t>
      </w:r>
      <w:r w:rsidRPr="00A07104">
        <w:rPr>
          <w:rFonts w:ascii="Times New Roman" w:hAnsi="Times New Roman" w:cs="Times New Roman"/>
          <w:sz w:val="28"/>
          <w:szCs w:val="28"/>
        </w:rPr>
        <w:t xml:space="preserve"> год</w:t>
      </w:r>
      <w:r w:rsidR="00BC79FE" w:rsidRPr="00A07104">
        <w:rPr>
          <w:rFonts w:ascii="Times New Roman" w:hAnsi="Times New Roman" w:cs="Times New Roman"/>
          <w:sz w:val="28"/>
          <w:szCs w:val="28"/>
        </w:rPr>
        <w:t>а</w:t>
      </w:r>
      <w:r w:rsidRPr="00A07104">
        <w:rPr>
          <w:rFonts w:ascii="Times New Roman" w:hAnsi="Times New Roman" w:cs="Times New Roman"/>
          <w:sz w:val="28"/>
          <w:szCs w:val="28"/>
        </w:rPr>
        <w:t xml:space="preserve"> (</w:t>
      </w:r>
      <w:r w:rsidR="00422191" w:rsidRPr="00A07104">
        <w:rPr>
          <w:rFonts w:ascii="Times New Roman" w:hAnsi="Times New Roman" w:cs="Times New Roman"/>
          <w:sz w:val="28"/>
          <w:szCs w:val="28"/>
        </w:rPr>
        <w:t>45,2</w:t>
      </w:r>
      <w:r w:rsidRPr="00A07104">
        <w:rPr>
          <w:rFonts w:ascii="Times New Roman" w:hAnsi="Times New Roman" w:cs="Times New Roman"/>
          <w:sz w:val="28"/>
          <w:szCs w:val="28"/>
        </w:rPr>
        <w:t xml:space="preserve"> млн. тонн)</w:t>
      </w:r>
      <w:r w:rsidR="00E23C2C" w:rsidRPr="00A07104">
        <w:rPr>
          <w:rFonts w:ascii="Times New Roman" w:hAnsi="Times New Roman" w:cs="Times New Roman"/>
          <w:sz w:val="28"/>
          <w:szCs w:val="28"/>
        </w:rPr>
        <w:t>.</w:t>
      </w:r>
    </w:p>
    <w:p w:rsidR="00B34E61" w:rsidRPr="00A07104" w:rsidRDefault="0039177D" w:rsidP="00A2289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A07104">
        <w:rPr>
          <w:rFonts w:ascii="Times New Roman" w:hAnsi="Times New Roman" w:cs="Times New Roman"/>
          <w:i/>
          <w:sz w:val="24"/>
          <w:szCs w:val="24"/>
        </w:rPr>
        <w:lastRenderedPageBreak/>
        <w:t>тыс</w:t>
      </w:r>
      <w:r w:rsidR="00B34E61" w:rsidRPr="00A07104">
        <w:rPr>
          <w:rFonts w:ascii="Times New Roman" w:hAnsi="Times New Roman" w:cs="Times New Roman"/>
          <w:i/>
          <w:sz w:val="24"/>
          <w:szCs w:val="24"/>
        </w:rPr>
        <w:t>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A07104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A07104" w:rsidRDefault="00B34E61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A07104" w:rsidRDefault="00B34E61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A07104" w:rsidRDefault="00D479C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B34E61"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нварь</w:t>
            </w:r>
            <w:r w:rsidR="008B2E50"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22191"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A07104" w:rsidRDefault="00B34E61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A07104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A07104" w:rsidRDefault="00B34E61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A07104" w:rsidRDefault="00B34E61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A07104" w:rsidRDefault="00BC79FE" w:rsidP="00A22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B34E61"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A07104" w:rsidRDefault="00BC79FE" w:rsidP="00A22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A07104" w:rsidRDefault="00B34E61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57" w:rsidRPr="00A07104" w:rsidTr="00292C58">
        <w:trPr>
          <w:trHeight w:val="333"/>
        </w:trPr>
        <w:tc>
          <w:tcPr>
            <w:tcW w:w="566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27 236,4</w:t>
            </w:r>
          </w:p>
        </w:tc>
        <w:tc>
          <w:tcPr>
            <w:tcW w:w="1938" w:type="dxa"/>
            <w:vAlign w:val="bottom"/>
          </w:tcPr>
          <w:p w:rsidR="00F94157" w:rsidRPr="00A07104" w:rsidRDefault="00444D23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28 692</w:t>
            </w:r>
            <w:r w:rsidR="00F94157"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38" w:type="dxa"/>
            <w:vAlign w:val="center"/>
          </w:tcPr>
          <w:p w:rsidR="00F94157" w:rsidRPr="00A07104" w:rsidRDefault="00444D23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F94157" w:rsidRPr="00A07104" w:rsidTr="00292C58">
        <w:trPr>
          <w:trHeight w:val="333"/>
        </w:trPr>
        <w:tc>
          <w:tcPr>
            <w:tcW w:w="566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15 506,9</w:t>
            </w:r>
          </w:p>
        </w:tc>
        <w:tc>
          <w:tcPr>
            <w:tcW w:w="1938" w:type="dxa"/>
            <w:vAlign w:val="bottom"/>
          </w:tcPr>
          <w:p w:rsidR="00F94157" w:rsidRPr="00A07104" w:rsidRDefault="00444D23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15 334,2</w:t>
            </w:r>
          </w:p>
        </w:tc>
        <w:tc>
          <w:tcPr>
            <w:tcW w:w="1938" w:type="dxa"/>
            <w:vAlign w:val="center"/>
          </w:tcPr>
          <w:p w:rsidR="00F94157" w:rsidRPr="00A07104" w:rsidRDefault="00444D23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F94157" w:rsidRPr="00A07104" w:rsidTr="00292C58">
        <w:trPr>
          <w:trHeight w:val="333"/>
        </w:trPr>
        <w:tc>
          <w:tcPr>
            <w:tcW w:w="566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F94157" w:rsidRPr="00A07104" w:rsidRDefault="00F94157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2 181,9</w:t>
            </w:r>
          </w:p>
        </w:tc>
        <w:tc>
          <w:tcPr>
            <w:tcW w:w="1938" w:type="dxa"/>
            <w:vAlign w:val="bottom"/>
          </w:tcPr>
          <w:p w:rsidR="00F94157" w:rsidRPr="00A07104" w:rsidRDefault="00444D23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2 907,3</w:t>
            </w:r>
          </w:p>
        </w:tc>
        <w:tc>
          <w:tcPr>
            <w:tcW w:w="1938" w:type="dxa"/>
            <w:vAlign w:val="center"/>
          </w:tcPr>
          <w:p w:rsidR="00F94157" w:rsidRPr="00A07104" w:rsidRDefault="00444D23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  <w:tr w:rsidR="00441B04" w:rsidRPr="00A07104" w:rsidTr="00441B04">
        <w:trPr>
          <w:trHeight w:val="333"/>
        </w:trPr>
        <w:tc>
          <w:tcPr>
            <w:tcW w:w="566" w:type="dxa"/>
            <w:vAlign w:val="center"/>
          </w:tcPr>
          <w:p w:rsidR="00441B04" w:rsidRPr="00A07104" w:rsidRDefault="00441B04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41B04" w:rsidRPr="00A07104" w:rsidRDefault="00441B04" w:rsidP="00A228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441B04" w:rsidRPr="00A07104" w:rsidRDefault="007C3A8C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45 193,8</w:t>
            </w:r>
          </w:p>
        </w:tc>
        <w:tc>
          <w:tcPr>
            <w:tcW w:w="1938" w:type="dxa"/>
            <w:vAlign w:val="center"/>
          </w:tcPr>
          <w:p w:rsidR="00441B04" w:rsidRPr="00A07104" w:rsidRDefault="007C3A8C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46 980,4</w:t>
            </w:r>
          </w:p>
        </w:tc>
        <w:tc>
          <w:tcPr>
            <w:tcW w:w="1938" w:type="dxa"/>
            <w:vAlign w:val="center"/>
          </w:tcPr>
          <w:p w:rsidR="00441B04" w:rsidRPr="00A07104" w:rsidRDefault="007C3A8C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441B04"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C7CB8" w:rsidRPr="00A07104" w:rsidRDefault="00BC7CB8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A07104" w:rsidRDefault="00E23C2C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19083786"/>
      <w:r w:rsidRPr="00A07104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A07104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A07104">
        <w:rPr>
          <w:rFonts w:ascii="Times New Roman" w:hAnsi="Times New Roman" w:cs="Times New Roman"/>
          <w:i/>
          <w:color w:val="auto"/>
          <w:sz w:val="28"/>
        </w:rPr>
        <w:t>«</w:t>
      </w:r>
      <w:r w:rsidR="00B34E61" w:rsidRPr="00A07104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A07104">
        <w:rPr>
          <w:rFonts w:ascii="Times New Roman" w:hAnsi="Times New Roman" w:cs="Times New Roman"/>
          <w:i/>
          <w:color w:val="auto"/>
          <w:sz w:val="28"/>
        </w:rPr>
        <w:t>»</w:t>
      </w:r>
      <w:bookmarkEnd w:id="12"/>
    </w:p>
    <w:p w:rsidR="00B34E61" w:rsidRPr="00A07104" w:rsidRDefault="00FF25FC" w:rsidP="00A228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>В</w:t>
      </w:r>
      <w:r w:rsidR="005E65ED" w:rsidRPr="00A07104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8B2E50" w:rsidRPr="00A07104">
        <w:rPr>
          <w:rFonts w:ascii="Times New Roman" w:hAnsi="Times New Roman" w:cs="Times New Roman"/>
          <w:sz w:val="28"/>
          <w:szCs w:val="28"/>
        </w:rPr>
        <w:t>-</w:t>
      </w:r>
      <w:r w:rsidR="00F94157" w:rsidRPr="00A07104">
        <w:rPr>
          <w:rFonts w:ascii="Times New Roman" w:hAnsi="Times New Roman" w:cs="Times New Roman"/>
          <w:sz w:val="28"/>
          <w:szCs w:val="28"/>
        </w:rPr>
        <w:t>мае</w:t>
      </w:r>
      <w:r w:rsidR="005E65ED" w:rsidRPr="00A07104">
        <w:rPr>
          <w:rFonts w:ascii="Times New Roman" w:hAnsi="Times New Roman" w:cs="Times New Roman"/>
          <w:sz w:val="28"/>
          <w:szCs w:val="28"/>
        </w:rPr>
        <w:t xml:space="preserve"> 2018</w:t>
      </w:r>
      <w:r w:rsidR="00A067AB" w:rsidRPr="00A07104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ED" w:rsidRPr="00A07104">
        <w:rPr>
          <w:rFonts w:ascii="Times New Roman" w:hAnsi="Times New Roman" w:cs="Times New Roman"/>
          <w:sz w:val="28"/>
          <w:szCs w:val="28"/>
        </w:rPr>
        <w:t>а</w:t>
      </w:r>
      <w:r w:rsidR="00A067AB" w:rsidRPr="00A07104">
        <w:rPr>
          <w:rFonts w:ascii="Times New Roman" w:hAnsi="Times New Roman" w:cs="Times New Roman"/>
          <w:sz w:val="28"/>
          <w:szCs w:val="28"/>
        </w:rPr>
        <w:t xml:space="preserve"> ТОО «Богатырь Комир» добыто </w:t>
      </w:r>
      <w:r w:rsidR="00F94157" w:rsidRPr="00A07104">
        <w:rPr>
          <w:rFonts w:ascii="Times New Roman" w:hAnsi="Times New Roman" w:cs="Times New Roman"/>
          <w:sz w:val="28"/>
          <w:szCs w:val="28"/>
        </w:rPr>
        <w:t xml:space="preserve">18 857,4 </w:t>
      </w:r>
      <w:r w:rsidR="005E65ED" w:rsidRPr="00A07104">
        <w:rPr>
          <w:rFonts w:ascii="Times New Roman" w:hAnsi="Times New Roman" w:cs="Times New Roman"/>
          <w:sz w:val="28"/>
          <w:szCs w:val="28"/>
        </w:rPr>
        <w:t>тыс</w:t>
      </w:r>
      <w:r w:rsidR="00A067AB" w:rsidRPr="00A07104">
        <w:rPr>
          <w:rFonts w:ascii="Times New Roman" w:hAnsi="Times New Roman" w:cs="Times New Roman"/>
          <w:sz w:val="28"/>
          <w:szCs w:val="28"/>
        </w:rPr>
        <w:t xml:space="preserve">. тонн, что на </w:t>
      </w:r>
      <w:r w:rsidR="008B2E50" w:rsidRPr="00A07104">
        <w:rPr>
          <w:rFonts w:ascii="Times New Roman" w:hAnsi="Times New Roman" w:cs="Times New Roman"/>
          <w:sz w:val="28"/>
          <w:szCs w:val="28"/>
        </w:rPr>
        <w:t>1</w:t>
      </w:r>
      <w:r w:rsidR="00F94157" w:rsidRPr="00A07104">
        <w:rPr>
          <w:rFonts w:ascii="Times New Roman" w:hAnsi="Times New Roman" w:cs="Times New Roman"/>
          <w:sz w:val="28"/>
          <w:szCs w:val="28"/>
        </w:rPr>
        <w:t>9</w:t>
      </w:r>
      <w:r w:rsidR="00A067AB" w:rsidRPr="00A07104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</w:t>
      </w:r>
      <w:r w:rsidR="005E65ED" w:rsidRPr="00A07104">
        <w:rPr>
          <w:rFonts w:ascii="Times New Roman" w:hAnsi="Times New Roman" w:cs="Times New Roman"/>
          <w:sz w:val="28"/>
          <w:szCs w:val="28"/>
        </w:rPr>
        <w:t>7</w:t>
      </w:r>
      <w:r w:rsidR="00A067AB" w:rsidRPr="00A0710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94157" w:rsidRPr="00A07104">
        <w:rPr>
          <w:rFonts w:ascii="Times New Roman" w:hAnsi="Times New Roman" w:cs="Times New Roman"/>
          <w:sz w:val="28"/>
          <w:szCs w:val="28"/>
        </w:rPr>
        <w:t xml:space="preserve">15 816 </w:t>
      </w:r>
      <w:r w:rsidR="005E65ED" w:rsidRPr="00A07104">
        <w:rPr>
          <w:rFonts w:ascii="Times New Roman" w:hAnsi="Times New Roman" w:cs="Times New Roman"/>
          <w:sz w:val="28"/>
          <w:szCs w:val="28"/>
        </w:rPr>
        <w:t>тыс</w:t>
      </w:r>
      <w:r w:rsidR="00A067AB" w:rsidRPr="00A07104">
        <w:rPr>
          <w:rFonts w:ascii="Times New Roman" w:hAnsi="Times New Roman" w:cs="Times New Roman"/>
          <w:sz w:val="28"/>
          <w:szCs w:val="28"/>
        </w:rPr>
        <w:t>. тонн)</w:t>
      </w:r>
      <w:r w:rsidR="00395E64" w:rsidRPr="00A07104">
        <w:rPr>
          <w:rFonts w:ascii="Times New Roman" w:hAnsi="Times New Roman" w:cs="Times New Roman"/>
          <w:sz w:val="28"/>
          <w:szCs w:val="28"/>
        </w:rPr>
        <w:t>.</w:t>
      </w:r>
    </w:p>
    <w:p w:rsidR="00BC7CB8" w:rsidRPr="00A07104" w:rsidRDefault="00BC7CB8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A07104" w:rsidRDefault="00B34E61" w:rsidP="00A2289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519083787"/>
      <w:r w:rsidRPr="00A07104">
        <w:rPr>
          <w:rFonts w:ascii="Times New Roman" w:hAnsi="Times New Roman" w:cs="Times New Roman"/>
          <w:i/>
          <w:color w:val="auto"/>
          <w:sz w:val="28"/>
        </w:rPr>
        <w:t xml:space="preserve">Реализация угля АО </w:t>
      </w:r>
      <w:r w:rsidR="00A23008" w:rsidRPr="00A07104">
        <w:rPr>
          <w:rFonts w:ascii="Times New Roman" w:hAnsi="Times New Roman" w:cs="Times New Roman"/>
          <w:i/>
          <w:color w:val="auto"/>
          <w:sz w:val="28"/>
        </w:rPr>
        <w:t>«</w:t>
      </w:r>
      <w:r w:rsidRPr="00A07104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A07104">
        <w:rPr>
          <w:rFonts w:ascii="Times New Roman" w:hAnsi="Times New Roman" w:cs="Times New Roman"/>
          <w:i/>
          <w:color w:val="auto"/>
          <w:sz w:val="28"/>
        </w:rPr>
        <w:t>»</w:t>
      </w:r>
      <w:bookmarkEnd w:id="13"/>
    </w:p>
    <w:p w:rsidR="00B34E61" w:rsidRPr="00A07104" w:rsidRDefault="00FF25FC" w:rsidP="00A228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В </w:t>
      </w:r>
      <w:r w:rsidR="005E65ED" w:rsidRPr="00A07104">
        <w:rPr>
          <w:rFonts w:ascii="Times New Roman" w:hAnsi="Times New Roman" w:cs="Times New Roman"/>
          <w:sz w:val="28"/>
          <w:szCs w:val="28"/>
        </w:rPr>
        <w:t>январе</w:t>
      </w:r>
      <w:r w:rsidR="008B2E50" w:rsidRPr="00A07104">
        <w:rPr>
          <w:rFonts w:ascii="Times New Roman" w:hAnsi="Times New Roman" w:cs="Times New Roman"/>
          <w:sz w:val="28"/>
          <w:szCs w:val="28"/>
        </w:rPr>
        <w:t>-</w:t>
      </w:r>
      <w:r w:rsidR="00F94157" w:rsidRPr="00A07104">
        <w:rPr>
          <w:rFonts w:ascii="Times New Roman" w:hAnsi="Times New Roman" w:cs="Times New Roman"/>
          <w:sz w:val="28"/>
          <w:szCs w:val="28"/>
        </w:rPr>
        <w:t>мае</w:t>
      </w:r>
      <w:r w:rsidR="005E65ED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B34E61" w:rsidRPr="00A07104">
        <w:rPr>
          <w:rFonts w:ascii="Times New Roman" w:hAnsi="Times New Roman" w:cs="Times New Roman"/>
          <w:sz w:val="28"/>
          <w:szCs w:val="28"/>
        </w:rPr>
        <w:t>201</w:t>
      </w:r>
      <w:r w:rsidR="005E65ED" w:rsidRPr="00A07104">
        <w:rPr>
          <w:rFonts w:ascii="Times New Roman" w:hAnsi="Times New Roman" w:cs="Times New Roman"/>
          <w:sz w:val="28"/>
          <w:szCs w:val="28"/>
        </w:rPr>
        <w:t>8</w:t>
      </w:r>
      <w:r w:rsidR="00B34E61" w:rsidRPr="00A07104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ED" w:rsidRPr="00A07104">
        <w:rPr>
          <w:rFonts w:ascii="Times New Roman" w:hAnsi="Times New Roman" w:cs="Times New Roman"/>
          <w:sz w:val="28"/>
          <w:szCs w:val="28"/>
        </w:rPr>
        <w:t>а</w:t>
      </w:r>
      <w:r w:rsidR="00B34E61" w:rsidRPr="00A07104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F94157" w:rsidRPr="00A07104">
        <w:rPr>
          <w:rFonts w:ascii="Times New Roman" w:hAnsi="Times New Roman" w:cs="Times New Roman"/>
          <w:sz w:val="28"/>
          <w:szCs w:val="28"/>
        </w:rPr>
        <w:t>19 036</w:t>
      </w:r>
      <w:r w:rsidR="00BD7F80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A07104">
        <w:rPr>
          <w:rFonts w:ascii="Times New Roman" w:hAnsi="Times New Roman" w:cs="Times New Roman"/>
          <w:sz w:val="28"/>
          <w:szCs w:val="28"/>
        </w:rPr>
        <w:t>тыс</w:t>
      </w:r>
      <w:r w:rsidR="00B34E61" w:rsidRPr="00A07104">
        <w:rPr>
          <w:rFonts w:ascii="Times New Roman" w:hAnsi="Times New Roman" w:cs="Times New Roman"/>
          <w:sz w:val="28"/>
          <w:szCs w:val="28"/>
        </w:rPr>
        <w:t xml:space="preserve">. тонн, в </w:t>
      </w:r>
      <w:proofErr w:type="spellStart"/>
      <w:r w:rsidR="00B34E61" w:rsidRPr="00A0710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34E61" w:rsidRPr="00A07104">
        <w:rPr>
          <w:rFonts w:ascii="Times New Roman" w:hAnsi="Times New Roman" w:cs="Times New Roman"/>
          <w:sz w:val="28"/>
          <w:szCs w:val="28"/>
        </w:rPr>
        <w:t>.:</w:t>
      </w:r>
    </w:p>
    <w:p w:rsidR="00B34E61" w:rsidRPr="00A07104" w:rsidRDefault="00B34E61" w:rsidP="00A228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- на внутренний рынок РК </w:t>
      </w:r>
      <w:r w:rsidR="00F94157" w:rsidRPr="00A07104">
        <w:rPr>
          <w:rFonts w:ascii="Times New Roman" w:hAnsi="Times New Roman" w:cs="Times New Roman"/>
          <w:sz w:val="28"/>
          <w:szCs w:val="28"/>
        </w:rPr>
        <w:t>15 490</w:t>
      </w:r>
      <w:r w:rsidR="00A067AB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A07104">
        <w:rPr>
          <w:rFonts w:ascii="Times New Roman" w:hAnsi="Times New Roman" w:cs="Times New Roman"/>
          <w:sz w:val="28"/>
          <w:szCs w:val="28"/>
        </w:rPr>
        <w:t>тыс</w:t>
      </w:r>
      <w:r w:rsidR="00A067AB" w:rsidRPr="00A07104">
        <w:rPr>
          <w:rFonts w:ascii="Times New Roman" w:hAnsi="Times New Roman" w:cs="Times New Roman"/>
          <w:sz w:val="28"/>
          <w:szCs w:val="28"/>
        </w:rPr>
        <w:t xml:space="preserve">. тонн, что на </w:t>
      </w:r>
      <w:r w:rsidR="00411C12" w:rsidRPr="00A07104">
        <w:rPr>
          <w:rFonts w:ascii="Times New Roman" w:hAnsi="Times New Roman" w:cs="Times New Roman"/>
          <w:sz w:val="28"/>
          <w:szCs w:val="28"/>
        </w:rPr>
        <w:t>2</w:t>
      </w:r>
      <w:r w:rsidR="00F540DB" w:rsidRPr="00A07104">
        <w:rPr>
          <w:rFonts w:ascii="Times New Roman" w:hAnsi="Times New Roman" w:cs="Times New Roman"/>
          <w:sz w:val="28"/>
          <w:szCs w:val="28"/>
        </w:rPr>
        <w:t>3</w:t>
      </w:r>
      <w:r w:rsidRPr="00A07104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</w:t>
      </w:r>
      <w:r w:rsidR="005E65ED" w:rsidRPr="00A07104">
        <w:rPr>
          <w:rFonts w:ascii="Times New Roman" w:hAnsi="Times New Roman" w:cs="Times New Roman"/>
          <w:sz w:val="28"/>
          <w:szCs w:val="28"/>
        </w:rPr>
        <w:t>7</w:t>
      </w:r>
      <w:r w:rsidRPr="00A0710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94157" w:rsidRPr="00A07104">
        <w:rPr>
          <w:rFonts w:ascii="Times New Roman" w:hAnsi="Times New Roman" w:cs="Times New Roman"/>
          <w:sz w:val="28"/>
          <w:szCs w:val="28"/>
        </w:rPr>
        <w:t>12</w:t>
      </w:r>
      <w:r w:rsidR="00411C12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F94157" w:rsidRPr="00A07104">
        <w:rPr>
          <w:rFonts w:ascii="Times New Roman" w:hAnsi="Times New Roman" w:cs="Times New Roman"/>
          <w:sz w:val="28"/>
          <w:szCs w:val="28"/>
        </w:rPr>
        <w:t>566</w:t>
      </w:r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A07104">
        <w:rPr>
          <w:rFonts w:ascii="Times New Roman" w:hAnsi="Times New Roman" w:cs="Times New Roman"/>
          <w:sz w:val="28"/>
          <w:szCs w:val="28"/>
        </w:rPr>
        <w:t>тыс</w:t>
      </w:r>
      <w:r w:rsidRPr="00A07104">
        <w:rPr>
          <w:rFonts w:ascii="Times New Roman" w:hAnsi="Times New Roman" w:cs="Times New Roman"/>
          <w:sz w:val="28"/>
          <w:szCs w:val="28"/>
        </w:rPr>
        <w:t>. тонн);</w:t>
      </w:r>
    </w:p>
    <w:p w:rsidR="00B34E61" w:rsidRPr="00A07104" w:rsidRDefault="00B34E61" w:rsidP="00A228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- на экспорт (РФ) – </w:t>
      </w:r>
      <w:r w:rsidR="00F94157" w:rsidRPr="00A07104">
        <w:rPr>
          <w:rFonts w:ascii="Times New Roman" w:hAnsi="Times New Roman" w:cs="Times New Roman"/>
          <w:sz w:val="28"/>
          <w:szCs w:val="28"/>
        </w:rPr>
        <w:t>3</w:t>
      </w:r>
      <w:r w:rsidR="005C5322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F94157" w:rsidRPr="00A07104">
        <w:rPr>
          <w:rFonts w:ascii="Times New Roman" w:hAnsi="Times New Roman" w:cs="Times New Roman"/>
          <w:sz w:val="28"/>
          <w:szCs w:val="28"/>
        </w:rPr>
        <w:t>546</w:t>
      </w:r>
      <w:r w:rsidRPr="00A07104">
        <w:rPr>
          <w:rFonts w:ascii="Times New Roman" w:hAnsi="Times New Roman" w:cs="Times New Roman"/>
          <w:sz w:val="28"/>
          <w:szCs w:val="28"/>
        </w:rPr>
        <w:t xml:space="preserve"> млн. тонн, что на </w:t>
      </w:r>
      <w:r w:rsidR="003E3F8D" w:rsidRPr="00A07104">
        <w:rPr>
          <w:rFonts w:ascii="Times New Roman" w:hAnsi="Times New Roman" w:cs="Times New Roman"/>
          <w:sz w:val="28"/>
          <w:szCs w:val="28"/>
        </w:rPr>
        <w:t>9</w:t>
      </w:r>
      <w:r w:rsidRPr="00A07104">
        <w:rPr>
          <w:rFonts w:ascii="Times New Roman" w:hAnsi="Times New Roman" w:cs="Times New Roman"/>
          <w:sz w:val="28"/>
          <w:szCs w:val="28"/>
        </w:rPr>
        <w:t xml:space="preserve">% </w:t>
      </w:r>
      <w:r w:rsidR="005E65ED" w:rsidRPr="00A07104">
        <w:rPr>
          <w:rFonts w:ascii="Times New Roman" w:hAnsi="Times New Roman" w:cs="Times New Roman"/>
          <w:sz w:val="28"/>
          <w:szCs w:val="28"/>
        </w:rPr>
        <w:t>меньше</w:t>
      </w:r>
      <w:r w:rsidRPr="00A07104">
        <w:rPr>
          <w:rFonts w:ascii="Times New Roman" w:hAnsi="Times New Roman" w:cs="Times New Roman"/>
          <w:sz w:val="28"/>
          <w:szCs w:val="28"/>
        </w:rPr>
        <w:t>, чем за соответствующий период 201</w:t>
      </w:r>
      <w:r w:rsidR="005E65ED" w:rsidRPr="00A07104">
        <w:rPr>
          <w:rFonts w:ascii="Times New Roman" w:hAnsi="Times New Roman" w:cs="Times New Roman"/>
          <w:sz w:val="28"/>
          <w:szCs w:val="28"/>
        </w:rPr>
        <w:t>7</w:t>
      </w:r>
      <w:r w:rsidRPr="00A0710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47E69" w:rsidRPr="00A07104">
        <w:rPr>
          <w:rFonts w:ascii="Times New Roman" w:hAnsi="Times New Roman" w:cs="Times New Roman"/>
          <w:sz w:val="28"/>
          <w:szCs w:val="28"/>
        </w:rPr>
        <w:t>3</w:t>
      </w:r>
      <w:r w:rsidR="005C5322"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F94157" w:rsidRPr="00A07104">
        <w:rPr>
          <w:rFonts w:ascii="Times New Roman" w:hAnsi="Times New Roman" w:cs="Times New Roman"/>
          <w:sz w:val="28"/>
          <w:szCs w:val="28"/>
        </w:rPr>
        <w:t>913</w:t>
      </w:r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A07104">
        <w:rPr>
          <w:rFonts w:ascii="Times New Roman" w:hAnsi="Times New Roman" w:cs="Times New Roman"/>
          <w:sz w:val="28"/>
          <w:szCs w:val="28"/>
        </w:rPr>
        <w:t>тыс</w:t>
      </w:r>
      <w:r w:rsidRPr="00A07104">
        <w:rPr>
          <w:rFonts w:ascii="Times New Roman" w:hAnsi="Times New Roman" w:cs="Times New Roman"/>
          <w:sz w:val="28"/>
          <w:szCs w:val="28"/>
        </w:rPr>
        <w:t>. тонн).</w:t>
      </w:r>
    </w:p>
    <w:p w:rsidR="00B34E61" w:rsidRPr="00A07104" w:rsidRDefault="00B34E61" w:rsidP="00A2289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07104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4252"/>
        <w:gridCol w:w="1937"/>
        <w:gridCol w:w="1938"/>
        <w:gridCol w:w="1938"/>
      </w:tblGrid>
      <w:tr w:rsidR="001040AE" w:rsidRPr="00A07104" w:rsidTr="009C7825">
        <w:trPr>
          <w:trHeight w:val="515"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A07104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2018/2017гг</w:t>
            </w:r>
          </w:p>
        </w:tc>
      </w:tr>
      <w:tr w:rsidR="001040AE" w:rsidRPr="00A07104" w:rsidTr="009C7825">
        <w:trPr>
          <w:trHeight w:val="355"/>
        </w:trPr>
        <w:tc>
          <w:tcPr>
            <w:tcW w:w="4252" w:type="dxa"/>
            <w:vMerge/>
            <w:shd w:val="clear" w:color="auto" w:fill="B6DDE8" w:themeFill="accent5" w:themeFillTint="66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 2017г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 2018г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40AE" w:rsidRPr="00A07104" w:rsidRDefault="001040AE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D" w:rsidRPr="0075008C" w:rsidTr="001040AE">
        <w:trPr>
          <w:trHeight w:val="315"/>
        </w:trPr>
        <w:tc>
          <w:tcPr>
            <w:tcW w:w="4252" w:type="dxa"/>
            <w:shd w:val="clear" w:color="auto" w:fill="auto"/>
            <w:vAlign w:val="center"/>
          </w:tcPr>
          <w:p w:rsidR="0039177D" w:rsidRPr="0075008C" w:rsidRDefault="001040AE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77D" w:rsidRPr="0075008C">
              <w:rPr>
                <w:rFonts w:ascii="Times New Roman" w:hAnsi="Times New Roman" w:cs="Times New Roman"/>
                <w:sz w:val="24"/>
                <w:szCs w:val="24"/>
              </w:rPr>
              <w:t>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9177D" w:rsidRPr="0075008C" w:rsidRDefault="003E3F8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12 566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39177D" w:rsidRPr="0075008C" w:rsidRDefault="003E3F8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15 490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39177D" w:rsidRPr="0075008C" w:rsidRDefault="003E3F8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123,3%</w:t>
            </w:r>
          </w:p>
        </w:tc>
      </w:tr>
      <w:tr w:rsidR="0039177D" w:rsidRPr="0075008C" w:rsidTr="001040AE">
        <w:trPr>
          <w:trHeight w:val="315"/>
        </w:trPr>
        <w:tc>
          <w:tcPr>
            <w:tcW w:w="4252" w:type="dxa"/>
            <w:shd w:val="clear" w:color="auto" w:fill="auto"/>
            <w:vAlign w:val="center"/>
          </w:tcPr>
          <w:p w:rsidR="0039177D" w:rsidRPr="0075008C" w:rsidRDefault="001040AE" w:rsidP="00A22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9177D" w:rsidRPr="0075008C">
              <w:rPr>
                <w:rFonts w:ascii="Times New Roman" w:hAnsi="Times New Roman" w:cs="Times New Roman"/>
                <w:sz w:val="24"/>
                <w:szCs w:val="24"/>
              </w:rPr>
              <w:t>кспорт в РФ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9177D" w:rsidRPr="0075008C" w:rsidRDefault="003E3F8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3 913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39177D" w:rsidRPr="0075008C" w:rsidRDefault="003E3F8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3 546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39177D" w:rsidRPr="0075008C" w:rsidRDefault="003E3F8D" w:rsidP="00A22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C">
              <w:rPr>
                <w:rFonts w:ascii="Times New Roman" w:hAnsi="Times New Roman" w:cs="Times New Roman"/>
                <w:sz w:val="24"/>
                <w:szCs w:val="24"/>
              </w:rPr>
              <w:t>90,6%</w:t>
            </w:r>
          </w:p>
        </w:tc>
      </w:tr>
    </w:tbl>
    <w:p w:rsidR="00BC7CB8" w:rsidRPr="00A07104" w:rsidRDefault="00BC7CB8" w:rsidP="00A228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6BC" w:rsidRPr="00A07104" w:rsidRDefault="00541D3A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519083788"/>
      <w:r w:rsidRPr="00A07104">
        <w:rPr>
          <w:rFonts w:ascii="Times New Roman" w:hAnsi="Times New Roman" w:cs="Times New Roman"/>
          <w:b/>
        </w:rPr>
        <w:t>Возобновляемые источники энергии</w:t>
      </w:r>
      <w:bookmarkEnd w:id="14"/>
    </w:p>
    <w:p w:rsidR="00A2289E" w:rsidRPr="00A07104" w:rsidRDefault="00A2289E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2289E" w:rsidRPr="00A07104" w:rsidRDefault="00A2289E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малые ГЭС мощностью до 35 МВт) за 5 месяцев 2018 года составил 481,8 млн. кВтч или прирост 16,2% в сравнении с показателями 2017 года.</w:t>
      </w:r>
    </w:p>
    <w:p w:rsidR="00A2289E" w:rsidRPr="00A07104" w:rsidRDefault="00A2289E" w:rsidP="00A2289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A07104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458"/>
        <w:gridCol w:w="1003"/>
        <w:gridCol w:w="1050"/>
        <w:gridCol w:w="1120"/>
        <w:gridCol w:w="993"/>
        <w:gridCol w:w="960"/>
        <w:gridCol w:w="917"/>
      </w:tblGrid>
      <w:tr w:rsidR="00A2289E" w:rsidRPr="00A07104" w:rsidTr="00292C5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A2289E" w:rsidRPr="00A07104" w:rsidTr="00292C5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 май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43 181,7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46 519,5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3 337,8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7,7%</w:t>
            </w:r>
          </w:p>
        </w:tc>
      </w:tr>
      <w:tr w:rsidR="00A2289E" w:rsidRPr="00A07104" w:rsidTr="00292C58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414,5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8,2%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19,6%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A2289E" w:rsidRPr="00A07104" w:rsidTr="00292C58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6,0%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14,9%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18,5%</w:t>
            </w:r>
          </w:p>
        </w:tc>
      </w:tr>
    </w:tbl>
    <w:p w:rsidR="00A2289E" w:rsidRPr="00A07104" w:rsidRDefault="00A2289E" w:rsidP="00A2289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lastRenderedPageBreak/>
        <w:t xml:space="preserve">Как видно из таблицы, по сравнению с другими энергетическими зонами ЕЭС Казахстана преобладает доля выработки электроэнергии объектами ВИЭ, находящимися в Южной зоне (в Западной зоне объекты ВИЭ не введены).  </w:t>
      </w:r>
    </w:p>
    <w:p w:rsidR="00A2289E" w:rsidRPr="00A07104" w:rsidRDefault="00A2289E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за январь-май 2018г. составила 142,1 млн. кВтч или 29,5% от общего объема вырабатываемой объектами ВИЭ электроэнергии, что по сравнению с аналогичным периодом 2017 года ниже на 10,9% (за 5 месяцев 2017г. выработка ВИЭ Общества составила 159,5 млн. кВтч, доля ВИЭ Общества – 38,5%). Снижение показателей выработки электроэнергии ВИЭ Общества связано с </w:t>
      </w:r>
      <w:r w:rsidRPr="00A07104">
        <w:rPr>
          <w:rFonts w:ascii="Times New Roman" w:hAnsi="Times New Roman" w:cs="Times New Roman"/>
          <w:sz w:val="28"/>
          <w:szCs w:val="28"/>
          <w:lang w:val="kk-KZ"/>
        </w:rPr>
        <w:t xml:space="preserve">повреждением главного редуктора ВЭУ </w:t>
      </w:r>
      <w:r w:rsidRPr="00A07104">
        <w:rPr>
          <w:rFonts w:ascii="Times New Roman" w:hAnsi="Times New Roman" w:cs="Times New Roman"/>
          <w:sz w:val="28"/>
          <w:szCs w:val="28"/>
        </w:rPr>
        <w:t>№21 ТОО «ПВЭС» (вывод с</w:t>
      </w:r>
      <w:r w:rsidRPr="00A07104">
        <w:rPr>
          <w:rFonts w:ascii="Times New Roman" w:hAnsi="Times New Roman" w:cs="Times New Roman"/>
          <w:sz w:val="28"/>
          <w:szCs w:val="28"/>
          <w:lang w:val="kk-KZ"/>
        </w:rPr>
        <w:t xml:space="preserve"> 19.02.2018г.), </w:t>
      </w:r>
      <w:r w:rsidRPr="00A07104">
        <w:rPr>
          <w:rFonts w:ascii="Times New Roman" w:hAnsi="Times New Roman" w:cs="Times New Roman"/>
          <w:sz w:val="28"/>
        </w:rPr>
        <w:t xml:space="preserve">снижением притока большого </w:t>
      </w:r>
      <w:proofErr w:type="spellStart"/>
      <w:r w:rsidRPr="00A07104">
        <w:rPr>
          <w:rFonts w:ascii="Times New Roman" w:hAnsi="Times New Roman" w:cs="Times New Roman"/>
          <w:sz w:val="28"/>
        </w:rPr>
        <w:t>алматинского</w:t>
      </w:r>
      <w:proofErr w:type="spellEnd"/>
      <w:r w:rsidRPr="00A07104">
        <w:rPr>
          <w:rFonts w:ascii="Times New Roman" w:hAnsi="Times New Roman" w:cs="Times New Roman"/>
          <w:sz w:val="28"/>
        </w:rPr>
        <w:t xml:space="preserve"> озера (БАО) </w:t>
      </w:r>
      <w:r w:rsidRPr="00A07104">
        <w:rPr>
          <w:rFonts w:ascii="Times New Roman" w:hAnsi="Times New Roman" w:cs="Times New Roman"/>
          <w:sz w:val="28"/>
          <w:szCs w:val="28"/>
        </w:rPr>
        <w:t xml:space="preserve">на </w:t>
      </w:r>
      <w:r w:rsidRPr="00A07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Каскаде малых ГЭС АО «АлЭС»</w:t>
      </w:r>
      <w:r w:rsidRPr="00A07104">
        <w:rPr>
          <w:rFonts w:ascii="Times New Roman" w:hAnsi="Times New Roman" w:cs="Times New Roman"/>
          <w:sz w:val="28"/>
          <w:szCs w:val="28"/>
        </w:rPr>
        <w:t>, а также увеличением объемов производства электроэнергии другими объе</w:t>
      </w:r>
      <w:r w:rsidRPr="00A07104">
        <w:rPr>
          <w:rFonts w:ascii="Times New Roman" w:hAnsi="Times New Roman" w:cs="Times New Roman"/>
          <w:sz w:val="28"/>
        </w:rPr>
        <w:t>ктами ВИЭ вследствие ввода новых мощностей ВИЭ в РК.</w:t>
      </w:r>
    </w:p>
    <w:p w:rsidR="00A2289E" w:rsidRPr="00A07104" w:rsidRDefault="00A2289E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 xml:space="preserve">За январь-май 2018г. по сравнению с аналогичным периодом 2017г. наблюдается снижение производства электроэнергии крупными и малыми ГЭС, в то время как производство электроэнергии объектами ВЭС и СЭС выросло. </w:t>
      </w:r>
    </w:p>
    <w:p w:rsidR="00A2289E" w:rsidRDefault="00A2289E" w:rsidP="00A2289E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A2289E" w:rsidRPr="00A07104" w:rsidRDefault="00A2289E" w:rsidP="00A22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A07104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38"/>
        <w:gridCol w:w="1052"/>
        <w:gridCol w:w="1051"/>
        <w:gridCol w:w="1109"/>
        <w:gridCol w:w="993"/>
        <w:gridCol w:w="986"/>
        <w:gridCol w:w="917"/>
      </w:tblGrid>
      <w:tr w:rsidR="00A2289E" w:rsidRPr="00A07104" w:rsidTr="00292C5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A2289E" w:rsidRPr="00A07104" w:rsidTr="00292C5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 май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 май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43 181,7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46 519,5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3 337,80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10,0%</w:t>
            </w:r>
          </w:p>
        </w:tc>
      </w:tr>
      <w:tr w:rsidR="00A2289E" w:rsidRPr="00A07104" w:rsidTr="00292C58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9E" w:rsidRPr="00A07104" w:rsidRDefault="00A2289E" w:rsidP="00A2289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4 946,1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4 461,4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9,6%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-484,7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-9,8%</w:t>
            </w:r>
          </w:p>
        </w:tc>
      </w:tr>
      <w:tr w:rsidR="00A2289E" w:rsidRPr="00A07104" w:rsidTr="00292C58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9E" w:rsidRPr="00A07104" w:rsidRDefault="00A2289E" w:rsidP="00A2289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16,2%</w:t>
            </w:r>
          </w:p>
        </w:tc>
      </w:tr>
    </w:tbl>
    <w:p w:rsidR="00A2289E" w:rsidRPr="00A07104" w:rsidRDefault="00A2289E" w:rsidP="00A228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289E" w:rsidRPr="0075008C" w:rsidRDefault="00A2289E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008C">
        <w:rPr>
          <w:rFonts w:ascii="Times New Roman" w:hAnsi="Times New Roman" w:cs="Times New Roman"/>
          <w:sz w:val="28"/>
        </w:rPr>
        <w:t>Доля Общества в производстве «чистой» электроэнергии (крупные, малые ГЭС, ВЭС, СЭС) за 5 месяцев 2018г. снизилась до 27,1% (1 209,2 млн. кВтч) в сравнении с аналогичным периодом 2017г. (29,0% или 1 432,1 млн. кВтч).</w:t>
      </w:r>
    </w:p>
    <w:p w:rsidR="00A2289E" w:rsidRPr="0075008C" w:rsidRDefault="00A2289E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008C">
        <w:rPr>
          <w:rFonts w:ascii="Times New Roman" w:hAnsi="Times New Roman" w:cs="Times New Roman"/>
          <w:sz w:val="28"/>
        </w:rPr>
        <w:t>Доля Общества в производстве электроэнергии объектами ВИЭ (малые ГЭС, ВЭС, СЭС) за январь-май 2018г. составила 29,5%.</w:t>
      </w:r>
    </w:p>
    <w:p w:rsidR="00A2289E" w:rsidRPr="00A07104" w:rsidRDefault="00A2289E" w:rsidP="00A228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7104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741"/>
        <w:gridCol w:w="1003"/>
        <w:gridCol w:w="1051"/>
        <w:gridCol w:w="1010"/>
        <w:gridCol w:w="995"/>
        <w:gridCol w:w="960"/>
        <w:gridCol w:w="918"/>
      </w:tblGrid>
      <w:tr w:rsidR="00A2289E" w:rsidRPr="00A07104" w:rsidTr="00292C5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A2289E" w:rsidRPr="00A07104" w:rsidTr="00292C5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кВтч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2289E" w:rsidRPr="00A07104" w:rsidTr="00292C58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 xml:space="preserve">АО «Самрук-Энерго» «чистой» электроэнергии (с учетом крупных и малых ГЭС, ВЭС и СЭС)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1 432,1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29,0%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1 209,2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27,1%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-15,6%</w:t>
            </w:r>
          </w:p>
        </w:tc>
      </w:tr>
      <w:tr w:rsidR="00A2289E" w:rsidRPr="00A07104" w:rsidTr="00292C58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АО «Самрук-Энерго» «чистой» электроэнергии (с учетом малых ГЭС, ВЭС и СЭС) (согласно Закону о ВИЭ), в </w:t>
            </w:r>
            <w:proofErr w:type="spellStart"/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159,5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38,5%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29,5%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-17,4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lang w:eastAsia="ru-RU"/>
              </w:rPr>
              <w:t>-10,9%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«АлЭС»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45,3%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-12,9%</w:t>
            </w:r>
          </w:p>
        </w:tc>
      </w:tr>
      <w:tr w:rsidR="00A2289E" w:rsidRPr="00A07104" w:rsidTr="00292C5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  <w:tr w:rsidR="00A2289E" w:rsidRPr="00A07104" w:rsidTr="00292C58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07104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9E" w:rsidRPr="00A07104" w:rsidRDefault="00A2289E" w:rsidP="00A2289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9E" w:rsidRPr="00A07104" w:rsidRDefault="00A2289E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-9,4%</w:t>
            </w:r>
          </w:p>
        </w:tc>
      </w:tr>
    </w:tbl>
    <w:p w:rsidR="00A2289E" w:rsidRPr="00A07104" w:rsidRDefault="00A2289E" w:rsidP="00A228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A07104" w:rsidRDefault="00541D3A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5" w:name="_Toc519083789"/>
      <w:r w:rsidRPr="00A07104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A07104">
        <w:rPr>
          <w:rFonts w:ascii="Times New Roman" w:hAnsi="Times New Roman" w:cs="Times New Roman"/>
          <w:b/>
        </w:rPr>
        <w:t xml:space="preserve">АО </w:t>
      </w:r>
      <w:r w:rsidR="00A23008" w:rsidRPr="00A07104">
        <w:rPr>
          <w:rFonts w:ascii="Times New Roman" w:hAnsi="Times New Roman" w:cs="Times New Roman"/>
          <w:b/>
        </w:rPr>
        <w:t>«</w:t>
      </w:r>
      <w:r w:rsidR="00596C30" w:rsidRPr="00A07104">
        <w:rPr>
          <w:rFonts w:ascii="Times New Roman" w:hAnsi="Times New Roman" w:cs="Times New Roman"/>
          <w:b/>
        </w:rPr>
        <w:t>КОРЭМ</w:t>
      </w:r>
      <w:r w:rsidR="00A23008" w:rsidRPr="00A07104">
        <w:rPr>
          <w:rFonts w:ascii="Times New Roman" w:hAnsi="Times New Roman" w:cs="Times New Roman"/>
          <w:b/>
        </w:rPr>
        <w:t>»</w:t>
      </w:r>
      <w:bookmarkEnd w:id="15"/>
    </w:p>
    <w:p w:rsidR="00BC7CB8" w:rsidRPr="0058673C" w:rsidRDefault="0058673C" w:rsidP="0058673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8673C">
        <w:rPr>
          <w:rFonts w:ascii="Times New Roman" w:hAnsi="Times New Roman" w:cs="Times New Roman"/>
          <w:i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п</w:t>
      </w:r>
      <w:r w:rsidRPr="0058673C">
        <w:rPr>
          <w:rFonts w:ascii="Times New Roman" w:hAnsi="Times New Roman" w:cs="Times New Roman"/>
          <w:i/>
          <w:sz w:val="24"/>
          <w:szCs w:val="28"/>
        </w:rPr>
        <w:t>о данным АО «КОРЭМ»)</w:t>
      </w:r>
    </w:p>
    <w:p w:rsidR="003417C6" w:rsidRPr="00A07104" w:rsidRDefault="003417C6" w:rsidP="00A2289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6" w:name="_Toc519083790"/>
      <w:r w:rsidRPr="00A07104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6"/>
    </w:p>
    <w:p w:rsidR="00210D30" w:rsidRPr="00A07104" w:rsidRDefault="003D60D6" w:rsidP="00A22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мае 2018 года были заключены 1907</w:t>
      </w:r>
      <w:r w:rsidR="00A07104" w:rsidRPr="00A07104">
        <w:rPr>
          <w:rFonts w:ascii="Times New Roman" w:hAnsi="Times New Roman" w:cs="Times New Roman"/>
          <w:sz w:val="28"/>
          <w:szCs w:val="28"/>
        </w:rPr>
        <w:t xml:space="preserve"> сделок объеме 917 247 тыс. кВт</w:t>
      </w:r>
      <w:r w:rsidRPr="00A07104">
        <w:rPr>
          <w:rFonts w:ascii="Times New Roman" w:hAnsi="Times New Roman" w:cs="Times New Roman"/>
          <w:sz w:val="28"/>
          <w:szCs w:val="28"/>
        </w:rPr>
        <w:t>ч на общую сумму 5 772 997,074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</w:p>
    <w:p w:rsidR="00210D30" w:rsidRPr="00A07104" w:rsidRDefault="003D60D6" w:rsidP="00A2289E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</w:t>
      </w:r>
      <w:r w:rsidR="00A07104" w:rsidRPr="00A07104">
        <w:rPr>
          <w:rFonts w:ascii="Times New Roman" w:hAnsi="Times New Roman" w:cs="Times New Roman"/>
          <w:sz w:val="28"/>
          <w:szCs w:val="28"/>
        </w:rPr>
        <w:t>8 сделок в объеме 2400 тыс. кВт</w:t>
      </w:r>
      <w:r w:rsidRPr="00A07104">
        <w:rPr>
          <w:rFonts w:ascii="Times New Roman" w:hAnsi="Times New Roman" w:cs="Times New Roman"/>
          <w:sz w:val="28"/>
          <w:szCs w:val="28"/>
        </w:rPr>
        <w:t>ч на общую сумму 17280 тыс. тенге. Минимальная цена на спот-торгах в режиме «за день</w:t>
      </w:r>
      <w:r w:rsidR="00A07104" w:rsidRPr="00A07104">
        <w:rPr>
          <w:rFonts w:ascii="Times New Roman" w:hAnsi="Times New Roman" w:cs="Times New Roman"/>
          <w:sz w:val="28"/>
          <w:szCs w:val="28"/>
        </w:rPr>
        <w:t xml:space="preserve"> вперед» составила – 4,5 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A07104"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</w:t>
      </w:r>
      <w:r w:rsidRPr="00A0710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</w:t>
      </w:r>
      <w:r w:rsidR="00A07104" w:rsidRPr="00A07104">
        <w:rPr>
          <w:rFonts w:ascii="Times New Roman" w:hAnsi="Times New Roman" w:cs="Times New Roman"/>
          <w:sz w:val="28"/>
          <w:szCs w:val="28"/>
        </w:rPr>
        <w:t xml:space="preserve">з НДС), максимальная – 9 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A07104"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</w:t>
      </w:r>
      <w:r w:rsidRPr="00A0710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210D30" w:rsidRPr="00A07104">
        <w:rPr>
          <w:rFonts w:ascii="Times New Roman" w:hAnsi="Times New Roman" w:cs="Times New Roman"/>
          <w:sz w:val="28"/>
          <w:szCs w:val="28"/>
        </w:rPr>
        <w:t>;</w:t>
      </w:r>
    </w:p>
    <w:p w:rsidR="00210D30" w:rsidRPr="00A07104" w:rsidRDefault="003D60D6" w:rsidP="00A2289E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спот-торги «в течение операционных суток» - было заключено 1869 сделок в объеме 13407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 xml:space="preserve"> на общую сумму 8653,074 тыс. тенге. Минимальная цена на спот-торгах «в течение операционных суток» составила 4,5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НДС), а максимальная цена – 11,13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A07104"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</w:t>
      </w:r>
      <w:r w:rsidRPr="00A0710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210D30" w:rsidRPr="00A07104">
        <w:rPr>
          <w:rFonts w:ascii="Times New Roman" w:hAnsi="Times New Roman" w:cs="Times New Roman"/>
          <w:sz w:val="28"/>
          <w:szCs w:val="28"/>
        </w:rPr>
        <w:t>;</w:t>
      </w:r>
    </w:p>
    <w:p w:rsidR="00210D30" w:rsidRPr="00A07104" w:rsidRDefault="003D60D6" w:rsidP="00A2289E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было заключено 30</w:t>
      </w:r>
      <w:r w:rsidR="00A07104" w:rsidRPr="00A07104">
        <w:rPr>
          <w:rFonts w:ascii="Times New Roman" w:hAnsi="Times New Roman" w:cs="Times New Roman"/>
          <w:sz w:val="28"/>
          <w:szCs w:val="28"/>
        </w:rPr>
        <w:t xml:space="preserve"> сделок объемом 901440 тыс. кВт</w:t>
      </w:r>
      <w:r w:rsidRPr="00A07104">
        <w:rPr>
          <w:rFonts w:ascii="Times New Roman" w:hAnsi="Times New Roman" w:cs="Times New Roman"/>
          <w:sz w:val="28"/>
          <w:szCs w:val="28"/>
        </w:rPr>
        <w:t xml:space="preserve">ч на общую сумму 5747064 тыс. тенге. Минимальная цена по данному виду централизованных торгов составила 4,5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НДС), максимальная – 9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210D30" w:rsidRPr="00A07104">
        <w:rPr>
          <w:rFonts w:ascii="Times New Roman" w:hAnsi="Times New Roman" w:cs="Times New Roman"/>
          <w:sz w:val="28"/>
          <w:szCs w:val="28"/>
        </w:rPr>
        <w:t>.</w:t>
      </w:r>
    </w:p>
    <w:p w:rsidR="003417C6" w:rsidRPr="00A07104" w:rsidRDefault="003D60D6" w:rsidP="00A2289E">
      <w:pPr>
        <w:pStyle w:val="a3"/>
        <w:spacing w:after="0" w:line="240" w:lineRule="auto"/>
        <w:ind w:left="0" w:firstLine="709"/>
        <w:jc w:val="both"/>
        <w:rPr>
          <w:color w:val="333399"/>
          <w:sz w:val="2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За аналогичный период 2017 года общий объем централизованных торгов составил 523 929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>. В таблице 4 приведена динамика цен сделок, заключенных на централизованных торгах в мае 2017 и 2018 года</w:t>
      </w:r>
      <w:r w:rsidR="00210D30" w:rsidRPr="00A07104">
        <w:rPr>
          <w:rFonts w:ascii="Times New Roman" w:hAnsi="Times New Roman" w:cs="Times New Roman"/>
          <w:sz w:val="28"/>
          <w:szCs w:val="28"/>
        </w:rPr>
        <w:t>.</w:t>
      </w:r>
    </w:p>
    <w:p w:rsidR="00210D30" w:rsidRPr="00A07104" w:rsidRDefault="00210D30" w:rsidP="00A2289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17C6" w:rsidRPr="00A07104" w:rsidRDefault="003417C6" w:rsidP="00A2289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Динамика цен, сложившихся по итогам централизованных торгов </w:t>
      </w:r>
    </w:p>
    <w:p w:rsidR="003417C6" w:rsidRPr="00A07104" w:rsidRDefault="003417C6" w:rsidP="00A2289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в </w:t>
      </w:r>
      <w:r w:rsidR="003D60D6" w:rsidRPr="00A07104">
        <w:rPr>
          <w:rFonts w:ascii="Times New Roman" w:hAnsi="Times New Roman" w:cs="Times New Roman"/>
          <w:sz w:val="28"/>
          <w:szCs w:val="28"/>
        </w:rPr>
        <w:t>мае</w:t>
      </w:r>
      <w:r w:rsidRPr="00A07104">
        <w:rPr>
          <w:rFonts w:ascii="Times New Roman" w:hAnsi="Times New Roman" w:cs="Times New Roman"/>
          <w:sz w:val="28"/>
          <w:szCs w:val="28"/>
        </w:rPr>
        <w:t xml:space="preserve"> 201</w:t>
      </w:r>
      <w:r w:rsidR="003E6BEE" w:rsidRPr="00A07104">
        <w:rPr>
          <w:rFonts w:ascii="Times New Roman" w:hAnsi="Times New Roman" w:cs="Times New Roman"/>
          <w:sz w:val="28"/>
          <w:szCs w:val="28"/>
        </w:rPr>
        <w:t>7</w:t>
      </w:r>
      <w:r w:rsidRPr="00A07104">
        <w:rPr>
          <w:rFonts w:ascii="Times New Roman" w:hAnsi="Times New Roman" w:cs="Times New Roman"/>
          <w:sz w:val="28"/>
          <w:szCs w:val="28"/>
        </w:rPr>
        <w:t>-201</w:t>
      </w:r>
      <w:r w:rsidR="003E6BEE" w:rsidRPr="00A07104">
        <w:rPr>
          <w:rFonts w:ascii="Times New Roman" w:hAnsi="Times New Roman" w:cs="Times New Roman"/>
          <w:sz w:val="28"/>
          <w:szCs w:val="28"/>
        </w:rPr>
        <w:t>8</w:t>
      </w:r>
      <w:r w:rsidRPr="00A0710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479" w:type="dxa"/>
        <w:tblInd w:w="279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275"/>
      </w:tblGrid>
      <w:tr w:rsidR="003D60D6" w:rsidRPr="00A07104" w:rsidTr="003D60D6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3D60D6" w:rsidRPr="00A07104" w:rsidTr="003D60D6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3D60D6" w:rsidRPr="00A07104" w:rsidTr="00292C58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A07104"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кВтч</w:t>
            </w:r>
            <w:proofErr w:type="spellEnd"/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3D60D6" w:rsidRPr="00A07104" w:rsidTr="00292C58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D60D6" w:rsidRPr="00A07104" w:rsidTr="00292C58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D60D6" w:rsidRPr="00A07104" w:rsidRDefault="003D60D6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11.13</w:t>
            </w:r>
          </w:p>
        </w:tc>
      </w:tr>
    </w:tbl>
    <w:p w:rsidR="003D60D6" w:rsidRPr="00A07104" w:rsidRDefault="003D60D6" w:rsidP="00A2289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17C6" w:rsidRPr="00A07104" w:rsidRDefault="003417C6" w:rsidP="00A2289E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7" w:name="_Toc519083791"/>
      <w:r w:rsidRPr="00A07104">
        <w:rPr>
          <w:rFonts w:ascii="Times New Roman" w:hAnsi="Times New Roman" w:cs="Times New Roman"/>
          <w:i/>
          <w:color w:val="auto"/>
          <w:sz w:val="28"/>
        </w:rPr>
        <w:t>Итоги спот-торгов в режиме «за день вперед»</w:t>
      </w:r>
      <w:bookmarkEnd w:id="17"/>
    </w:p>
    <w:p w:rsidR="00210D30" w:rsidRPr="00A07104" w:rsidRDefault="00237930" w:rsidP="00A22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По итогам проведенных спот-торгов в мае 2018 года было заключено 8 сделок в объеме 2400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 xml:space="preserve">, клиринговая цена составила 7,2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210D30" w:rsidRPr="00A07104" w:rsidRDefault="00210D30" w:rsidP="00A22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В таблице ниже представлены итоговые результаты спот-торгов в режиме «за день вперед» за </w:t>
      </w:r>
      <w:r w:rsidR="00237930" w:rsidRPr="00A07104">
        <w:rPr>
          <w:rFonts w:ascii="Times New Roman" w:hAnsi="Times New Roman" w:cs="Times New Roman"/>
          <w:sz w:val="28"/>
          <w:szCs w:val="28"/>
        </w:rPr>
        <w:t>май</w:t>
      </w:r>
      <w:r w:rsidRPr="00A07104">
        <w:rPr>
          <w:rFonts w:ascii="Times New Roman" w:hAnsi="Times New Roman" w:cs="Times New Roman"/>
          <w:sz w:val="28"/>
          <w:szCs w:val="28"/>
        </w:rPr>
        <w:t xml:space="preserve"> месяц текущего года. </w:t>
      </w:r>
    </w:p>
    <w:p w:rsidR="003417C6" w:rsidRPr="00A07104" w:rsidRDefault="00237930" w:rsidP="00A071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07104">
        <w:rPr>
          <w:noProof/>
          <w:lang w:eastAsia="ru-RU"/>
        </w:rPr>
        <w:lastRenderedPageBreak/>
        <w:drawing>
          <wp:inline distT="0" distB="0" distL="0" distR="0" wp14:anchorId="371FB1ED" wp14:editId="55F9A697">
            <wp:extent cx="6120130" cy="63476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96" w:rsidRPr="00A07104" w:rsidRDefault="00237930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Из таблицы видно, что суммарный объем спроса составил 66096 тыс. </w:t>
      </w:r>
      <w:proofErr w:type="gram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07104">
        <w:rPr>
          <w:rFonts w:ascii="Times New Roman" w:hAnsi="Times New Roman" w:cs="Times New Roman"/>
          <w:sz w:val="28"/>
          <w:szCs w:val="28"/>
        </w:rPr>
        <w:t xml:space="preserve"> при этом суммарный объем предложения составил 2400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 xml:space="preserve">. Неудовлетворенный объем спроса в мае 2018 года составил 63696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тыс.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. В процессе спот-торгов в торговую систему всего было принято заявок в количестве - 152, из них 147 заявок от покупателей и 5 заявок от продавцов</w:t>
      </w:r>
      <w:r w:rsidR="00210D30" w:rsidRPr="00A07104">
        <w:rPr>
          <w:rFonts w:ascii="Times New Roman" w:hAnsi="Times New Roman" w:cs="Times New Roman"/>
          <w:sz w:val="28"/>
          <w:szCs w:val="28"/>
        </w:rPr>
        <w:t>.</w:t>
      </w:r>
    </w:p>
    <w:p w:rsidR="00F6638F" w:rsidRPr="00DE6CAB" w:rsidRDefault="00F6638F" w:rsidP="00DE6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A07104" w:rsidRDefault="003417C6" w:rsidP="00A2289E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8" w:name="_Toc519083792"/>
      <w:r w:rsidRPr="00A07104">
        <w:rPr>
          <w:rFonts w:ascii="Times New Roman" w:hAnsi="Times New Roman" w:cs="Times New Roman"/>
          <w:i/>
          <w:color w:val="auto"/>
          <w:sz w:val="28"/>
        </w:rPr>
        <w:t>Итоги спот-торгов «в течение операционных суток»</w:t>
      </w:r>
      <w:bookmarkEnd w:id="18"/>
    </w:p>
    <w:p w:rsidR="00CF64DA" w:rsidRPr="00A07104" w:rsidRDefault="00237930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По итогам проведенных торгов в мае 2018 года было заключено 1869 сделок в объеме 13407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 xml:space="preserve"> на общую сумму 8653,074 тыс. тенге. Минимальная цена на спот-торгах «в течение операционных суток» составила 4,5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НДС), а максимальная цена – 11,13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НДС). По итогам спот-торгов «в течение операционных суток» в мае 2017 года было заключено 706 сделок в объеме 7545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 xml:space="preserve">, диапазон клиринговых цен составил 4,5 – 6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533342" w:rsidRPr="00A07104">
        <w:rPr>
          <w:rFonts w:ascii="Times New Roman" w:hAnsi="Times New Roman" w:cs="Times New Roman"/>
          <w:sz w:val="28"/>
          <w:szCs w:val="28"/>
        </w:rPr>
        <w:t>.</w:t>
      </w:r>
    </w:p>
    <w:p w:rsidR="003417C6" w:rsidRPr="00A07104" w:rsidRDefault="003417C6" w:rsidP="00A2289E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9" w:name="_Toc519083793"/>
      <w:r w:rsidRPr="00A07104">
        <w:rPr>
          <w:rFonts w:ascii="Times New Roman" w:hAnsi="Times New Roman" w:cs="Times New Roman"/>
          <w:i/>
          <w:color w:val="auto"/>
          <w:sz w:val="28"/>
        </w:rPr>
        <w:lastRenderedPageBreak/>
        <w:t>Итоги торгов на средне- и долгосрочный период</w:t>
      </w:r>
      <w:bookmarkEnd w:id="19"/>
    </w:p>
    <w:p w:rsidR="00533342" w:rsidRPr="00A07104" w:rsidRDefault="00237930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В мае 2018 года по итогам торгов на средне- и долгосрочный периоды было заключено 30 сделок объемом 901440 тыс. 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r w:rsidRPr="00A07104">
        <w:rPr>
          <w:rFonts w:ascii="Times New Roman" w:hAnsi="Times New Roman" w:cs="Times New Roman"/>
          <w:sz w:val="28"/>
          <w:szCs w:val="28"/>
        </w:rPr>
        <w:t xml:space="preserve"> на общую сумму 5747064 тыс. тенге, в том числе:</w:t>
      </w:r>
    </w:p>
    <w:p w:rsidR="00237930" w:rsidRPr="00A07104" w:rsidRDefault="00237930" w:rsidP="00A2289E">
      <w:pPr>
        <w:pStyle w:val="a3"/>
        <w:numPr>
          <w:ilvl w:val="0"/>
          <w:numId w:val="2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9 недельных контрактов общим объемом 176400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тыс.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. Максимальная цена составила 9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НДС), а минимальная цена – 4,5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НДС);</w:t>
      </w:r>
    </w:p>
    <w:p w:rsidR="00237930" w:rsidRPr="00A07104" w:rsidRDefault="00237930" w:rsidP="00A2289E">
      <w:pPr>
        <w:pStyle w:val="a3"/>
        <w:numPr>
          <w:ilvl w:val="0"/>
          <w:numId w:val="2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21 контракт с поставкой на июнь месяц общим объемом 725040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тыс.</w:t>
      </w:r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. Максимальная цена составила 8,3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НДС), а минимальная цена – 4,5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7104" w:rsidRPr="00A0710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AA1F1C" w:rsidRPr="00A07104" w:rsidRDefault="00AA1F1C" w:rsidP="00A2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F1C" w:rsidRPr="00A07104" w:rsidRDefault="00AA1F1C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0" w:name="_Toc519083794"/>
      <w:r w:rsidRPr="00A07104">
        <w:rPr>
          <w:rFonts w:ascii="Times New Roman" w:hAnsi="Times New Roman" w:cs="Times New Roman"/>
          <w:b/>
        </w:rPr>
        <w:t>Экспорт-импорт электрической энергии</w:t>
      </w:r>
      <w:bookmarkEnd w:id="20"/>
      <w:r w:rsidRPr="00A07104">
        <w:rPr>
          <w:rFonts w:ascii="Times New Roman" w:hAnsi="Times New Roman" w:cs="Times New Roman"/>
          <w:b/>
        </w:rPr>
        <w:t xml:space="preserve"> 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7104">
        <w:rPr>
          <w:rFonts w:ascii="Times New Roman" w:hAnsi="Times New Roman" w:cs="Times New Roman"/>
          <w:sz w:val="28"/>
          <w:szCs w:val="28"/>
        </w:rPr>
        <w:t>В январе-мае 2018 года основным направлением экспорта-импорта электроэнергии РК стала РФ (экспорт в РФ – 3,2 млрд. кВтч, импорт из РФ – 0,5 млрд. кВтч). Экибастузской ГРЭС-1 экспортировано в РФ 2,7 млрд. кВтч, АО «</w:t>
      </w:r>
      <w:r w:rsidRPr="00A07104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A07104">
        <w:rPr>
          <w:rFonts w:ascii="Times New Roman" w:hAnsi="Times New Roman" w:cs="Times New Roman"/>
          <w:sz w:val="28"/>
          <w:szCs w:val="28"/>
        </w:rPr>
        <w:t>» – 0,4 млрд. кВтч в целях балансирования производства-потребления электроэнергии. Импорт электроэнергии из РФ за отчетный период в объеме 0,4 млрд. кВтч осуществлялся в целях балансирования производства-потребления электроэнергии.</w:t>
      </w:r>
    </w:p>
    <w:p w:rsidR="00AA1F1C" w:rsidRPr="00A07104" w:rsidRDefault="00AA1F1C" w:rsidP="00A228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07104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AA1F1C" w:rsidRPr="00A07104" w:rsidTr="00292C58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янв.-май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 май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2018/2017гг</w:t>
            </w:r>
          </w:p>
        </w:tc>
      </w:tr>
      <w:tr w:rsidR="00AA1F1C" w:rsidRPr="00A07104" w:rsidTr="00292C58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1F1C" w:rsidRPr="00A07104" w:rsidRDefault="00AA1F1C" w:rsidP="00A22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A1F1C" w:rsidRPr="00A07104" w:rsidTr="00292C58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-2 308,5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-3 186,6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38,0%</w:t>
            </w:r>
          </w:p>
        </w:tc>
      </w:tr>
      <w:tr w:rsidR="00AA1F1C" w:rsidRPr="00A07104" w:rsidTr="00292C58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-2 304,9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-3 183,7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-878,8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38,1%</w:t>
            </w:r>
          </w:p>
        </w:tc>
      </w:tr>
      <w:tr w:rsidR="00AA1F1C" w:rsidRPr="00A07104" w:rsidTr="00292C58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-20,0%</w:t>
            </w:r>
          </w:p>
        </w:tc>
      </w:tr>
      <w:tr w:rsidR="00AA1F1C" w:rsidRPr="00A07104" w:rsidTr="00292C58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8,3%</w:t>
            </w:r>
          </w:p>
        </w:tc>
      </w:tr>
      <w:tr w:rsidR="00AA1F1C" w:rsidRPr="00A07104" w:rsidTr="00292C58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489,2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531,1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8,6%</w:t>
            </w:r>
          </w:p>
        </w:tc>
      </w:tr>
      <w:tr w:rsidR="00AA1F1C" w:rsidRPr="00A07104" w:rsidTr="00292C58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iCs/>
                <w:sz w:val="24"/>
                <w:szCs w:val="24"/>
              </w:rPr>
              <w:t>-57,2%</w:t>
            </w:r>
          </w:p>
        </w:tc>
      </w:tr>
      <w:tr w:rsidR="00AA1F1C" w:rsidRPr="00A07104" w:rsidTr="00292C58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1F1C" w:rsidRPr="00A07104" w:rsidRDefault="00AA1F1C" w:rsidP="00A2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A0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-1 817,4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-2 654,7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46,1%</w:t>
            </w:r>
          </w:p>
        </w:tc>
      </w:tr>
    </w:tbl>
    <w:p w:rsidR="00AA1F1C" w:rsidRPr="00A07104" w:rsidRDefault="00AA1F1C" w:rsidP="00A2289E">
      <w:pPr>
        <w:spacing w:after="0" w:line="240" w:lineRule="auto"/>
      </w:pPr>
    </w:p>
    <w:p w:rsidR="000D031A" w:rsidRPr="00A07104" w:rsidRDefault="00B94F51" w:rsidP="00A2289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21" w:name="_Toc519083795"/>
      <w:r w:rsidRPr="00A07104">
        <w:rPr>
          <w:rFonts w:ascii="Times New Roman" w:hAnsi="Times New Roman" w:cs="Times New Roman"/>
          <w:b/>
        </w:rPr>
        <w:t>РАЗДЕЛ II</w:t>
      </w:r>
      <w:bookmarkEnd w:id="21"/>
    </w:p>
    <w:p w:rsidR="00387115" w:rsidRPr="00A07104" w:rsidRDefault="00387115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2" w:name="_Toc519083796"/>
      <w:r w:rsidRPr="00A07104">
        <w:rPr>
          <w:rFonts w:ascii="Times New Roman" w:hAnsi="Times New Roman" w:cs="Times New Roman"/>
          <w:b/>
        </w:rPr>
        <w:t>Статус формировани</w:t>
      </w:r>
      <w:r w:rsidR="005070DF" w:rsidRPr="00A07104">
        <w:rPr>
          <w:rFonts w:ascii="Times New Roman" w:hAnsi="Times New Roman" w:cs="Times New Roman"/>
          <w:b/>
        </w:rPr>
        <w:t>я</w:t>
      </w:r>
      <w:r w:rsidRPr="00A07104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22"/>
    </w:p>
    <w:p w:rsidR="00C82DFF" w:rsidRPr="00A07104" w:rsidRDefault="00C82DFF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1F1C" w:rsidRPr="00A07104" w:rsidRDefault="00AA1F1C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AA1F1C" w:rsidRPr="00A07104" w:rsidRDefault="00AA1F1C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AA1F1C" w:rsidRPr="00A07104" w:rsidRDefault="00AA1F1C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странами-участницами ЕАЭС Соглашения об ОЭР ЕАЭС. </w:t>
      </w:r>
    </w:p>
    <w:p w:rsidR="00AA1F1C" w:rsidRDefault="00AA1F1C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lastRenderedPageBreak/>
        <w:t>15-16.01.2018г., 02.02.2018г., 26-27.02.2018г., 01.03.2018г., 19-20.03.2018г.</w:t>
      </w:r>
      <w:r w:rsidR="00A07104">
        <w:rPr>
          <w:rFonts w:ascii="Times New Roman" w:hAnsi="Times New Roman" w:cs="Times New Roman"/>
          <w:sz w:val="28"/>
        </w:rPr>
        <w:t>, 11.05.2018г., 24-25.05.2018г.</w:t>
      </w:r>
      <w:r w:rsidRPr="00A07104">
        <w:rPr>
          <w:rFonts w:ascii="Times New Roman" w:hAnsi="Times New Roman" w:cs="Times New Roman"/>
          <w:sz w:val="28"/>
        </w:rPr>
        <w:t xml:space="preserve"> проведен ряд совещаний уполномоченных представителей государств-членов ЕАЭС по вопросу согласования проекта Соглашения и Правил взаимной торговли на ОЭР ЕАЭС. По итогам проведенных заседаний и совещаний имеются ряд спорных вопросов в части формулировок норм. проекта Соглашения и Правил взаимной торговли на ОЭР ЕАЭС.</w:t>
      </w:r>
    </w:p>
    <w:p w:rsidR="0075008C" w:rsidRPr="00A07104" w:rsidRDefault="0075008C" w:rsidP="00A2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1F1C" w:rsidRPr="00A07104" w:rsidRDefault="00AA1F1C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3" w:name="_Toc516129803"/>
      <w:bookmarkStart w:id="24" w:name="_Toc519083797"/>
      <w:r w:rsidRPr="00A07104">
        <w:rPr>
          <w:rFonts w:ascii="Times New Roman" w:hAnsi="Times New Roman" w:cs="Times New Roman"/>
          <w:b/>
        </w:rPr>
        <w:t>Статус формирования Электроэнергетического рынка СНГ</w:t>
      </w:r>
      <w:bookmarkEnd w:id="23"/>
      <w:bookmarkEnd w:id="24"/>
    </w:p>
    <w:p w:rsidR="00AA1F1C" w:rsidRPr="00A07104" w:rsidRDefault="00AA1F1C" w:rsidP="00A228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A1F1C" w:rsidRPr="00A07104" w:rsidRDefault="00AA1F1C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 xml:space="preserve">С 1992 года проведено 51 заседание Электроэнергетического Совета Содружества Независимых Государств (далее – ЭЭС СНГ). </w:t>
      </w:r>
    </w:p>
    <w:p w:rsidR="00AA1F1C" w:rsidRPr="00A07104" w:rsidRDefault="00AA1F1C" w:rsidP="00A2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104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158"/>
        <w:gridCol w:w="1662"/>
        <w:gridCol w:w="5045"/>
      </w:tblGrid>
      <w:tr w:rsidR="00AA1F1C" w:rsidRPr="00A07104" w:rsidTr="00292C58">
        <w:trPr>
          <w:trHeight w:val="845"/>
        </w:trPr>
        <w:tc>
          <w:tcPr>
            <w:tcW w:w="217" w:type="pct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AA1F1C" w:rsidRPr="00A07104" w:rsidTr="00292C58">
        <w:trPr>
          <w:trHeight w:val="1560"/>
        </w:trPr>
        <w:tc>
          <w:tcPr>
            <w:tcW w:w="217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A0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AA1F1C" w:rsidRPr="00A07104" w:rsidRDefault="00AA1F1C" w:rsidP="00A2289E">
            <w:pPr>
              <w:pStyle w:val="ae"/>
              <w:jc w:val="both"/>
              <w:rPr>
                <w:sz w:val="24"/>
                <w:szCs w:val="24"/>
              </w:rPr>
            </w:pPr>
            <w:r w:rsidRPr="00A07104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AA1F1C" w:rsidRPr="00A07104" w:rsidRDefault="00AA1F1C" w:rsidP="00A2289E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A1F1C" w:rsidRPr="00A07104" w:rsidTr="00292C58">
        <w:trPr>
          <w:trHeight w:val="560"/>
        </w:trPr>
        <w:tc>
          <w:tcPr>
            <w:tcW w:w="217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AA1F1C" w:rsidRPr="00A07104" w:rsidTr="00292C58">
        <w:trPr>
          <w:trHeight w:val="2088"/>
        </w:trPr>
        <w:tc>
          <w:tcPr>
            <w:tcW w:w="217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</w:t>
            </w:r>
            <w:r w:rsidRPr="00A0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AA1F1C" w:rsidRPr="00A07104" w:rsidTr="00292C58">
        <w:trPr>
          <w:trHeight w:val="1410"/>
        </w:trPr>
        <w:tc>
          <w:tcPr>
            <w:tcW w:w="217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AA1F1C" w:rsidRPr="00A07104" w:rsidRDefault="00AA1F1C" w:rsidP="00A2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AA1F1C" w:rsidRPr="00A07104" w:rsidTr="00292C58">
        <w:trPr>
          <w:trHeight w:val="2404"/>
        </w:trPr>
        <w:tc>
          <w:tcPr>
            <w:tcW w:w="217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AA1F1C" w:rsidRPr="00A07104" w:rsidRDefault="00AA1F1C" w:rsidP="00A2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AA1F1C" w:rsidRPr="00A07104" w:rsidRDefault="00AA1F1C" w:rsidP="00A2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AA1F1C" w:rsidRPr="00A07104" w:rsidRDefault="00AA1F1C" w:rsidP="00A2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04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AA1F1C" w:rsidRPr="00A07104" w:rsidRDefault="00AA1F1C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07104">
        <w:rPr>
          <w:rFonts w:ascii="Times New Roman" w:hAnsi="Times New Roman" w:cs="Times New Roman"/>
          <w:b/>
        </w:rPr>
        <w:t xml:space="preserve"> </w:t>
      </w:r>
      <w:bookmarkStart w:id="25" w:name="_Toc516129804"/>
      <w:bookmarkStart w:id="26" w:name="_Toc519083798"/>
      <w:r w:rsidRPr="00A07104">
        <w:rPr>
          <w:rFonts w:ascii="Times New Roman" w:hAnsi="Times New Roman" w:cs="Times New Roman"/>
          <w:b/>
        </w:rPr>
        <w:t>Статус реализации проекта CASA-1000</w:t>
      </w:r>
      <w:bookmarkEnd w:id="25"/>
      <w:bookmarkEnd w:id="26"/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A07104">
        <w:rPr>
          <w:rStyle w:val="body-c-c0"/>
          <w:i/>
          <w:color w:val="000000"/>
          <w:sz w:val="28"/>
        </w:rPr>
        <w:t>Описание проекта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A07104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A07104">
        <w:rPr>
          <w:rStyle w:val="body-c-c0"/>
          <w:color w:val="00000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A07104">
        <w:rPr>
          <w:bCs/>
          <w:sz w:val="28"/>
        </w:rPr>
        <w:t>Процесс финансирования проекта управляется Всемирным банком.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A07104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AA1F1C" w:rsidRPr="00A07104" w:rsidRDefault="00AA1F1C" w:rsidP="00A2289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A07104">
        <w:rPr>
          <w:rStyle w:val="body-c-c0"/>
          <w:color w:val="00000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A07104" w:rsidDel="00473F4C">
        <w:rPr>
          <w:rStyle w:val="body-c-c0"/>
          <w:color w:val="000000"/>
          <w:sz w:val="28"/>
          <w:szCs w:val="28"/>
        </w:rPr>
        <w:t xml:space="preserve"> </w:t>
      </w:r>
      <w:r w:rsidRPr="00A07104">
        <w:rPr>
          <w:rStyle w:val="body-c-c0"/>
          <w:color w:val="000000"/>
          <w:sz w:val="28"/>
          <w:szCs w:val="28"/>
        </w:rPr>
        <w:t>и Пакистане;</w:t>
      </w:r>
    </w:p>
    <w:p w:rsidR="00AA1F1C" w:rsidRPr="00A07104" w:rsidRDefault="00AA1F1C" w:rsidP="00A2289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A07104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A07104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A07104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A07104">
        <w:rPr>
          <w:rStyle w:val="body-c-c0"/>
          <w:color w:val="000000"/>
          <w:sz w:val="28"/>
        </w:rPr>
        <w:lastRenderedPageBreak/>
        <w:t xml:space="preserve">Тендерные процедуры по первому пакету завершены, ведется работа по определению победителя тендера на </w:t>
      </w:r>
      <w:r w:rsidRPr="00A07104">
        <w:rPr>
          <w:rStyle w:val="body-c-c0"/>
          <w:color w:val="000000"/>
          <w:sz w:val="28"/>
          <w:szCs w:val="28"/>
        </w:rPr>
        <w:t xml:space="preserve">поставку и установку линий электропередачи и расширение соответствующих ячеек в Таджикистане и Кыргызстане. 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  <w:r w:rsidRPr="00A07104">
        <w:rPr>
          <w:rStyle w:val="body-c-c0"/>
          <w:sz w:val="28"/>
          <w:szCs w:val="28"/>
        </w:rPr>
        <w:t>Срок строительства после подписания контракта – 42 месяца (2021г).</w:t>
      </w:r>
    </w:p>
    <w:p w:rsidR="001A4A89" w:rsidRPr="00A07104" w:rsidRDefault="001A4A89" w:rsidP="00A2289E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3B36BC" w:rsidRPr="00A07104" w:rsidRDefault="00BD35CB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07104">
        <w:rPr>
          <w:rFonts w:ascii="Times New Roman" w:hAnsi="Times New Roman" w:cs="Times New Roman"/>
          <w:b/>
        </w:rPr>
        <w:t xml:space="preserve"> </w:t>
      </w:r>
      <w:bookmarkStart w:id="27" w:name="_Toc519083799"/>
      <w:r w:rsidR="00A32670" w:rsidRPr="00A07104">
        <w:rPr>
          <w:rFonts w:ascii="Times New Roman" w:hAnsi="Times New Roman" w:cs="Times New Roman"/>
          <w:b/>
        </w:rPr>
        <w:t>Новости в сфере электроэнергетики</w:t>
      </w:r>
      <w:r w:rsidR="00981D05" w:rsidRPr="00A07104">
        <w:rPr>
          <w:rFonts w:ascii="Times New Roman" w:hAnsi="Times New Roman" w:cs="Times New Roman"/>
          <w:b/>
        </w:rPr>
        <w:t xml:space="preserve"> РК</w:t>
      </w:r>
      <w:bookmarkEnd w:id="27"/>
    </w:p>
    <w:p w:rsidR="0001110C" w:rsidRPr="00A07104" w:rsidRDefault="0001110C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правила индексации аукционных цен для проектов ВИЭ внесены изменения</w:t>
      </w:r>
      <w:r w:rsidR="0001110C"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10C" w:rsidRPr="00A07104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</w:t>
      </w:r>
      <w:r w:rsidR="0001110C" w:rsidRPr="00A071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14.05.2018г)</w:t>
      </w:r>
      <w:r w:rsidR="0001110C"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Казахстана своим постановлением от 10 мая 2018 года внесло изменения в Правила определения фиксированных тарифов и предельных аукционных цен (Индексация аукционных цен для проектов ВИЭ), 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внесены изменения в действующую формулу индексации аукционных цен, учитывающую изменение обменного курса национальной валюты к конвертируемым валютам на 70%, а к индексу потребительских цен (ИПЦ) на 30%.</w:t>
      </w:r>
    </w:p>
    <w:p w:rsidR="0001110C" w:rsidRPr="00A07104" w:rsidRDefault="001060A6" w:rsidP="0001110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для определения фиксированных тарифов и предельных аукционных цен для проектов, имеющих кредитные обязательства в иностранной валюте,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формуле:</w:t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Tt+1 =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Tt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(1 + 0.3 * (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ИПЦt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100%) / 100% + 0.7 * USDt+1 –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USDt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USDt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Тt+1 – проиндексированная аукционная цена, рассчитанная по вышеуказанной формуле, округляемая до целых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тиынов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уменьшения;</w:t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Tt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аукционная цена с учетом ранее проведенной индексации, если така</w:t>
      </w:r>
      <w:r w:rsidR="0001110C"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индексация ранее проводилась;</w:t>
      </w:r>
    </w:p>
    <w:p w:rsidR="001060A6" w:rsidRPr="00A07104" w:rsidRDefault="001060A6" w:rsidP="0001110C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ИПЦt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органа в области государственной статистики;</w:t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USDt+1 – текущий курс тенге к доллару США на 1 октября года проведения индексации, определяемый по данным Национального Банка Республики Казахстан;</w:t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USDt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 курс тенге к доллару США, рассчитанный за период двенадцать месяцев, предшествующих дате проведения индексации, определяемый по данным Национального Банка Республики Казахстан.</w:t>
      </w:r>
    </w:p>
    <w:p w:rsidR="0001110C" w:rsidRPr="00A07104" w:rsidRDefault="0001110C" w:rsidP="0001110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Бакытжан</w:t>
      </w:r>
      <w:proofErr w:type="spellEnd"/>
      <w:r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Сагинтаев</w:t>
      </w:r>
      <w:proofErr w:type="spellEnd"/>
      <w:r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провел заседание Совета по переходу к «зеленой экономике»</w:t>
      </w:r>
      <w:r w:rsidR="0001110C" w:rsidRPr="00A0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10C" w:rsidRPr="00A07104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(14.05.2018г)</w:t>
      </w:r>
    </w:p>
    <w:p w:rsidR="0001110C" w:rsidRPr="00A07104" w:rsidRDefault="001060A6" w:rsidP="0001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заседание Совета по переходу к «зеленой экономике» при Президенте РК обсуждены вопросы о концептуальных подходах по оздоровлению экологической ситуации и обеспечению качественного перехода к зеленой экономике, реализации Плана мероприятий Концепции по переходу Казахстана к «зеленой экономике» на 2013–2020 годы, а также рассмотрен и утвержден план-</w:t>
      </w: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работ Совета на текущий года и итоги реализации Протокола Совета от 19 октября 2017 г.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повестке дня выступили Председатель Президиума Ассоциации экологических организаций РК А. Назарбаева,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Кызылординской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К.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Кушербаев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первый вице-министр энергетики М.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Досмухамбетов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вице-министр сельского хозяйства Е.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Нысанбаев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правления НПП «Атамекен» А. Мырзахметов, исполнительный директор Казахстанской ассоциации по управлению отходами «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KazWaste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 Мустафина, директор Научно-образовательного центра «Зеленая Академия» Б.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Есекина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Об опыте ПРООН по переходу к «зеленой экономике» рассказал Постоянный представитель Программы развития ООН господин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Норимасе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Шимомура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10C" w:rsidRPr="00A07104" w:rsidRDefault="0001110C" w:rsidP="00011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 xml:space="preserve">Министерство энергетики выставляет объекты ВИЭ на аукцион </w:t>
      </w:r>
      <w:r w:rsidRPr="00A07104">
        <w:rPr>
          <w:rFonts w:ascii="Times New Roman" w:hAnsi="Times New Roman" w:cs="Times New Roman"/>
          <w:i/>
          <w:sz w:val="24"/>
          <w:szCs w:val="28"/>
        </w:rPr>
        <w:t xml:space="preserve">(14.05.2018 </w:t>
      </w:r>
      <w:r w:rsidR="0001110C" w:rsidRPr="00A07104">
        <w:rPr>
          <w:rFonts w:ascii="Times New Roman" w:hAnsi="Times New Roman" w:cs="Times New Roman"/>
          <w:i/>
          <w:sz w:val="24"/>
          <w:szCs w:val="28"/>
        </w:rPr>
        <w:t>г)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Министерство энергетики предложит инвесторам на весенних торгах ветровые парки мощностью 250 МВт и солнечные парки в 150 МВт. Об этом сообщила директор департамента по возобновляемым источникам энергии МЭ РК А.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Соспанова</w:t>
      </w:r>
      <w:proofErr w:type="spellEnd"/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>По ее словам, весенняя серия аукционных торгов начнется 23 мая и закончится 7 июня 2018 года.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«Мы думаем, что рыночный механизм аукционов сделает данный сектор более прозрачным, понятным и привлекательным как для местных компаний, которые начинают нарабатывать опыт в развитии ВИЭ. Также мы ставим задачу привлечь крупных международных игроков. С этой целью на осенние торги мы выставляем достаточно крупные проекты, это 250 МВт ветровых и 150 МВт солнечных парков. Я думаю, что этот год, который является для нас пилотным, позволит нам выработать более правильные и прозрачные процессы отбора проектов и смогут привлечь крупных международных игроков», - сказала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Соспанова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.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>Общий объем мощности, запланированный к отбору в 2018 году, составит 1000 МВТ. Более 600 МВт — это ветровые станции.</w:t>
      </w:r>
    </w:p>
    <w:p w:rsidR="0001110C" w:rsidRPr="00A07104" w:rsidRDefault="0001110C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 xml:space="preserve">Солнечная электростанция мощностью 55 мегаватт появится в </w:t>
      </w:r>
      <w:proofErr w:type="spellStart"/>
      <w:r w:rsidRPr="00A07104">
        <w:rPr>
          <w:rFonts w:ascii="Times New Roman" w:hAnsi="Times New Roman" w:cs="Times New Roman"/>
          <w:b/>
          <w:sz w:val="28"/>
          <w:szCs w:val="28"/>
        </w:rPr>
        <w:t>Кызылординской</w:t>
      </w:r>
      <w:proofErr w:type="spellEnd"/>
      <w:r w:rsidRPr="00A0710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1110C" w:rsidRPr="00A07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0C" w:rsidRPr="00A07104">
        <w:rPr>
          <w:rFonts w:ascii="Times New Roman" w:hAnsi="Times New Roman" w:cs="Times New Roman"/>
          <w:i/>
          <w:sz w:val="24"/>
          <w:szCs w:val="28"/>
        </w:rPr>
        <w:t>(17.05.2018г)</w:t>
      </w:r>
    </w:p>
    <w:p w:rsidR="001060A6" w:rsidRPr="00A07104" w:rsidRDefault="001060A6" w:rsidP="0001110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области появится новая солнечная электростанция. Предположительно, она будет вырабатывать 55 мегаватт электроэнергии. Такого соглашения удалось достичь на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Астанинском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экономическом форуме. Проект планируют реализовать в течение следующего года. 30 миллионов долларов на ее строительство выделит Европейский банк реконструкции и развития и 11 миллионов – Азиатский банк развития, который впервые финансирует подобные проекты в нашей стране.</w:t>
      </w:r>
    </w:p>
    <w:p w:rsidR="0001110C" w:rsidRPr="00A07104" w:rsidRDefault="0001110C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0C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>Фонды ККМ инвестируют порядка 4 млрд тенге в строительство ветровой электростанции в Акмолинской области</w:t>
      </w:r>
      <w:r w:rsidR="0001110C" w:rsidRPr="00A07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0C" w:rsidRPr="00A07104">
        <w:rPr>
          <w:rFonts w:ascii="Times New Roman" w:hAnsi="Times New Roman" w:cs="Times New Roman"/>
          <w:i/>
          <w:sz w:val="24"/>
          <w:szCs w:val="28"/>
        </w:rPr>
        <w:t>(23.05.2018г)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Дочерние структуры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Казына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Капитал Менеджмент - DBK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Equity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C.V и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Baiterek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Venture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- приняли решение о совместном инвестировании в проект по </w:t>
      </w:r>
      <w:r w:rsidRPr="00A0710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 ветровой электростанции в Акмолинской области. Ее мощность - 50 МВт. Оператором проекта выступает - ТОО «ЦАТЭК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>». </w:t>
      </w:r>
    </w:p>
    <w:p w:rsidR="001060A6" w:rsidRPr="00A07104" w:rsidRDefault="001060A6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 xml:space="preserve">Соответствующее соглашение о со-инвестировании DBK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Equity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C.V и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Baiterek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Venture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подписали в г. Астана. Общий объем инвестиций двух фондов составит 3,6 млрд тенге. Окончание строительства намечено на 2-й квартал 2019 г. Поставщиком оборудования является компания </w:t>
      </w:r>
      <w:proofErr w:type="spellStart"/>
      <w:r w:rsidRPr="00A07104">
        <w:rPr>
          <w:rFonts w:ascii="Times New Roman" w:hAnsi="Times New Roman" w:cs="Times New Roman"/>
          <w:sz w:val="28"/>
          <w:szCs w:val="28"/>
        </w:rPr>
        <w:t>Vestas</w:t>
      </w:r>
      <w:proofErr w:type="spellEnd"/>
      <w:r w:rsidRPr="00A07104">
        <w:rPr>
          <w:rFonts w:ascii="Times New Roman" w:hAnsi="Times New Roman" w:cs="Times New Roman"/>
          <w:sz w:val="28"/>
          <w:szCs w:val="28"/>
        </w:rPr>
        <w:t xml:space="preserve"> - один из крупнейших производителей ветровых турбин в мире.</w:t>
      </w:r>
    </w:p>
    <w:p w:rsidR="0001110C" w:rsidRPr="00A07104" w:rsidRDefault="0001110C" w:rsidP="00011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6BC" w:rsidRPr="00A07104" w:rsidRDefault="00A32670" w:rsidP="00A2289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8" w:name="_Toc519083800"/>
      <w:r w:rsidRPr="00A07104">
        <w:rPr>
          <w:rFonts w:ascii="Times New Roman" w:hAnsi="Times New Roman" w:cs="Times New Roman"/>
          <w:b/>
        </w:rPr>
        <w:t xml:space="preserve">Обзор СМИ в странах </w:t>
      </w:r>
      <w:r w:rsidR="00B94F51" w:rsidRPr="00A07104">
        <w:rPr>
          <w:rFonts w:ascii="Times New Roman" w:hAnsi="Times New Roman" w:cs="Times New Roman"/>
          <w:b/>
        </w:rPr>
        <w:t>СНГ</w:t>
      </w:r>
      <w:bookmarkEnd w:id="28"/>
    </w:p>
    <w:p w:rsidR="00E62D3B" w:rsidRPr="00A07104" w:rsidRDefault="00E62D3B" w:rsidP="00A2289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104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AA1F1C" w:rsidRPr="00A07104" w:rsidRDefault="00AA1F1C" w:rsidP="00A22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1F1C" w:rsidRPr="00A07104" w:rsidRDefault="00AA1F1C" w:rsidP="00A22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71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bookmarkStart w:id="29" w:name="txt_1578744_934567519"/>
      <w:bookmarkStart w:id="30" w:name="_Toc518549428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Дорого-зелено</w:t>
      </w:r>
      <w:bookmarkEnd w:id="29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(24.05.2018)</w:t>
      </w:r>
      <w:bookmarkEnd w:id="30"/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Зеленая генерация в РФ станет конкурентоспособной гораздо позже, чем ожидалось: по расчетам «Совета рынка», этого порога солнечная генерация достигнет не раньше 2037 года,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ветрогенерация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- раньше, к 2023 году. Инвесторы в этот сектор продолжают уверять, что за счет технологий и снижения CAPEX проекты достигнут экономической эффективности гораздо раньше. От того, как быстро зеленая энергетика выйдет на окупаемость, зависят и перспективы ее поддержки после 2024 года, когда закончат действие текущие механизмы субсидирования.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Самыми дорогими «Совет рынка» счел СЭС. В 2018 году их LCOE находится в диапазоне 24-26,5 руб. за 1 кВтч, в то время как для ВЭС - 8,8-13 руб., малых ГЭС - 13-15 руб. К 2022 году LCOE СЭС должен снизиться до 20 руб. за 1 кВтч, ВЭС - до 8-10,5 руб., малых ГЭС - до 10-11 руб. LCOE МТЭС составит 11-14 руб. за 1 кВтч. Сокращение выбросов при ДПМ ВИЭ составит до 5,6 млн тонн CO</w:t>
      </w:r>
      <w:r w:rsidRPr="00A07104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vertAlign w:val="subscript"/>
        </w:rPr>
        <w:t>2</w:t>
      </w:r>
      <w:r w:rsidRPr="00A07104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в год (0,2% от эмиссии в РФ). 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31" w:name="txt_1578744_937283736"/>
      <w:bookmarkStart w:id="32" w:name="_Toc518549429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Модернизация через локализацию </w:t>
      </w:r>
      <w:bookmarkEnd w:id="31"/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(29.05.2018г)</w:t>
      </w:r>
      <w:bookmarkEnd w:id="32"/>
      <w:r w:rsidRPr="003C5B43">
        <w:rPr>
          <w:rFonts w:ascii="Times New Roman" w:hAnsi="Times New Roman" w:cs="Times New Roman"/>
          <w:b/>
          <w:color w:val="auto"/>
          <w:sz w:val="24"/>
          <w:szCs w:val="28"/>
          <w:shd w:val="clear" w:color="auto" w:fill="auto"/>
        </w:rPr>
        <w:t xml:space="preserve"> 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04">
        <w:rPr>
          <w:rFonts w:ascii="Times New Roman" w:hAnsi="Times New Roman" w:cs="Times New Roman"/>
          <w:sz w:val="28"/>
          <w:szCs w:val="28"/>
        </w:rPr>
        <w:t>Россия готовится запустить масштабную программу по модернизации старых ТЭС (ДПМ-2), которая должна прийти на смену завершившейся программе строительства новых, и реконструкции устаревших генерирующих мощностей в РФ. Объем программы модернизации должен составить примерно 3,5 млрд руб.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Грядущая программа модернизации старых электростанций требует удовлетворения спроса российской энергетики на локализованные газотурбинные установки большой мощности. Единственный их производитель в РФ, немецкий концерн Siemens, уже достиг 50-процентной локализации своей наиболее востребованной в РФ газовой турбины SGT5-2000E.</w:t>
      </w:r>
      <w:r w:rsidRPr="00A07104">
        <w:t xml:space="preserve"> </w:t>
      </w: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Теперь компания переходит к локализации обслуживания жизненного цикла турбин большой мощности: в рамках Петербургского экономического форума (ПМЭФ-2018) концерн открыл цех по восстановлению лопаток газовых турбин на своем предприятии в Санкт-Петербурге.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33" w:name="txt_1578744_924278792"/>
      <w:bookmarkStart w:id="34" w:name="_Toc518549430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Комиссия сверхвысоко напряжения</w:t>
      </w:r>
      <w:bookmarkEnd w:id="33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(08.05.2018г)</w:t>
      </w:r>
      <w:bookmarkEnd w:id="34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Минэнерго предлагает правительству повысить статус правительственной комиссии по электроэнергетике. Ее полномочия могут резко расширить, например, </w:t>
      </w: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lastRenderedPageBreak/>
        <w:t>комиссии предложено дать право согласовывать итоги отбора инвесторов, претендующих на попадание в программу модернизации энергетики. Кроме того, в нее официально должны входить представители ключевых регуляторов, крупных энергокомпаний, потребителей и отраслевых лобби. В отрасли опасаются, что реформа может оказаться шагом к ручному регулированию.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35" w:name="txt_1578744_933487698"/>
      <w:bookmarkStart w:id="36" w:name="_Toc518549431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Минэнерго: Монголия пока не выразила готовность к поставкам электричества из РФ</w:t>
      </w:r>
      <w:bookmarkEnd w:id="35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(22.05.2018г)</w:t>
      </w:r>
      <w:bookmarkEnd w:id="36"/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«Существующие возможности энергосистем безусловно могут обеспечивать дополнительные поставки в Монголию, и мы видим потенциал. Единственным серьезным сдерживающим фактором у нас является пока отсутствие ярко выраженной позиции коллег из Монголии по поводу покупки электрической энергии из РФ», - сказал Кравченко.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Глава Бурятии Алексей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Цыденов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добавил, что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гидрогенерация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в Монголии на притоках Байкала - это угроза озеру. «Мы против того, чтобы на Селенге строились ГЭС, - подчеркнул глава Бурятии. - Вместе с тем мы понимаем, что наши поставки должны быть экономически выгодными для Монголии: по цене, по объемам, по юридическим обязательствам, гарантиям надежности». По словам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Цыденова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, положительное решение вопроса принесет пользу Бурятии, где в цене для потребителей электроэнергии самая большая составляющая - это сетевая.</w:t>
      </w:r>
    </w:p>
    <w:p w:rsidR="00AA1F1C" w:rsidRPr="00A07104" w:rsidRDefault="00AA1F1C" w:rsidP="00A2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37" w:name="txt_1578744_936138236"/>
      <w:bookmarkStart w:id="38" w:name="_Toc518549432"/>
      <w:proofErr w:type="spellStart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Ростех</w:t>
      </w:r>
      <w:proofErr w:type="spellEnd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рассчитывает получить до 30% акций «</w:t>
      </w:r>
      <w:proofErr w:type="spellStart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Россетей</w:t>
      </w:r>
      <w:proofErr w:type="spellEnd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» через </w:t>
      </w:r>
      <w:proofErr w:type="spellStart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допэмиссию</w:t>
      </w:r>
      <w:bookmarkEnd w:id="37"/>
      <w:proofErr w:type="spellEnd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(26.05.2018г)</w:t>
      </w:r>
      <w:bookmarkEnd w:id="38"/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Госкорпорация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«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Ростех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» рассчитывает получить до 30% в уставном капитале «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Россетей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» через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допэмиссию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акций. Формат вхождения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Ростеха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в капитал электросетевой компании еще обсуждается, могут быть созданы несколько совместных предприятий, сообщил журналистам глава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госкорпорации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Сергей Чемезов в кулуарах Петербургского международного экономического форума.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F1C" w:rsidRPr="00A07104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39" w:name="txt_1578751_936212571"/>
      <w:bookmarkStart w:id="40" w:name="_Toc518549433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Цифровизация сетевого комплекса сдержит рост тарифа на передачу электроэнергии</w:t>
      </w:r>
      <w:bookmarkEnd w:id="39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(26.05.2018г)</w:t>
      </w:r>
      <w:bookmarkEnd w:id="40"/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Цифровизация электросетевого комплекса страны, проект которой готовит холдинг «Россети», поможет почти на треть снизить потери в электросетях и затраты на их обслуживание и в результате окажет сдерживающее влияние на рост тарифа на передачу электроэнергии. Об этом сообщил глава «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Россетей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» Павел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Ливинский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в рамках ПМЭФ-2018.</w:t>
      </w:r>
    </w:p>
    <w:p w:rsidR="00AA1F1C" w:rsidRPr="00A07104" w:rsidRDefault="00AA1F1C" w:rsidP="00A2289E">
      <w:pPr>
        <w:pStyle w:val="aff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b w:val="0"/>
          <w:color w:val="auto"/>
          <w:sz w:val="28"/>
          <w:shd w:val="clear" w:color="auto" w:fill="auto"/>
        </w:rPr>
        <w:t>«Первый приоритет - это снижение издержек. Основной и самый важнейший. Мы руководствуемся формулой «30-30-30» - на треть планируем, что у нас уменьшатся потери, на треть - операционные затраты на содержание энергетической инфраструктуры и на треть снизятся в денежном выражении капитальные затраты на тот же объем сопоставимый по вводу трансформаторной мощности, протяженностям кабельных линий», - сказал он.</w:t>
      </w:r>
    </w:p>
    <w:p w:rsidR="00AA1F1C" w:rsidRPr="00A07104" w:rsidRDefault="00AA1F1C" w:rsidP="00A2289E">
      <w:pPr>
        <w:pStyle w:val="aff0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1" w:name="txt_1578751_931419913"/>
    </w:p>
    <w:p w:rsidR="00AA1F1C" w:rsidRPr="00A07104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2" w:name="_Toc518549434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Законопроект о развитии «зеленой» </w:t>
      </w:r>
      <w:proofErr w:type="spellStart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микрогенерации</w:t>
      </w:r>
      <w:proofErr w:type="spellEnd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внесен в правительство – </w:t>
      </w:r>
      <w:r w:rsid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М</w:t>
      </w:r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инэнерго РФ</w:t>
      </w:r>
      <w:bookmarkEnd w:id="41"/>
      <w:r w:rsidRPr="00A071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(18.05.2018г)</w:t>
      </w:r>
      <w:bookmarkEnd w:id="42"/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lastRenderedPageBreak/>
        <w:t xml:space="preserve">Законопроект по стимулированию развития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микрогенерации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на основе возобновляемых источников энергии внесен в правительство, заявила замглавы Минэнерго РФ Анастасия Бондаренко в рамках выступления на Петербургском юридическом форуме-2018.</w:t>
      </w:r>
    </w:p>
    <w:p w:rsidR="00AA1F1C" w:rsidRPr="00A07104" w:rsidRDefault="00AA1F1C" w:rsidP="00A2289E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hd w:val="clear" w:color="auto" w:fill="auto"/>
        </w:rPr>
      </w:pPr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Среди предлагаемых мер поддержки числится льготная процедура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техприсоединения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 xml:space="preserve"> к сети и льготные требования к владельцам оборудования в части коммерческого учета произведенной электроэнергии. По словам Бондаренко, законопроект вводит определение </w:t>
      </w:r>
      <w:proofErr w:type="spellStart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микрогенерации</w:t>
      </w:r>
      <w:proofErr w:type="spellEnd"/>
      <w:r w:rsidRPr="00A07104">
        <w:rPr>
          <w:rFonts w:ascii="Times New Roman" w:hAnsi="Times New Roman" w:cs="Times New Roman"/>
          <w:color w:val="auto"/>
          <w:sz w:val="28"/>
          <w:shd w:val="clear" w:color="auto" w:fill="auto"/>
        </w:rPr>
        <w:t>. Согласно проекту, это объект по производству электроэнергии мощностью 15 кВт и ниже и который используется потребителями для собственного энергоснабжения.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A07104">
        <w:rPr>
          <w:b/>
          <w:color w:val="000000"/>
          <w:sz w:val="32"/>
          <w:szCs w:val="32"/>
        </w:rPr>
        <w:t>Республика Беларусь</w:t>
      </w: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3" w:name="_Toc518549435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Семашко рассказал о тарифах на электроэнергию после запуска </w:t>
      </w:r>
      <w:proofErr w:type="spellStart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БелАЭС</w:t>
      </w:r>
      <w:proofErr w:type="spellEnd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</w:t>
      </w:r>
      <w:hyperlink r:id="rId12" w:tooltip="15:58" w:history="1">
        <w:r w:rsidRPr="003C5B43">
          <w:rPr>
            <w:rFonts w:ascii="Times New Roman" w:hAnsi="Times New Roman" w:cs="Times New Roman"/>
            <w:i/>
            <w:color w:val="auto"/>
            <w:sz w:val="24"/>
            <w:szCs w:val="28"/>
            <w:shd w:val="clear" w:color="auto" w:fill="auto"/>
          </w:rPr>
          <w:t>14.05.2018</w:t>
        </w:r>
      </w:hyperlink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)</w:t>
      </w:r>
      <w:bookmarkEnd w:id="43"/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Беларуси после запуска АЭС будут стремиться к снижению тарифов на электроэнергию для реального сектора экономики, однако многое будет зависеть от договоренностей с Россией по газу, сообщил сегодня журналистам заместитель премьер-министра Беларуси Владимир Семашко на форуме «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Атомэкспо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Сочи.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реальном секторе экономики нужно идти к снижению тарифов - хотя бы до 10 центов за 1 кВтч (сейчас 11 центов за 1 кВтч). В перспективе Беларусь будет стараться привести тарифы на электроэнергию к уровню действующих в России.</w:t>
      </w:r>
    </w:p>
    <w:p w:rsidR="00AA1F1C" w:rsidRPr="00A07104" w:rsidRDefault="00AA1F1C" w:rsidP="00A2289E">
      <w:pPr>
        <w:spacing w:after="0" w:line="240" w:lineRule="auto"/>
        <w:ind w:right="57"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4" w:name="_Toc518549436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Беларусь в 2018 году заметно увеличила экспорт электроэнергии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(14.05.2018)</w:t>
      </w:r>
      <w:bookmarkEnd w:id="44"/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информации вице-премьера, с начала нынешнего года страна экспортировала около 420 млн кВтч Ранее Министерство энергетики информировало, что в 2017 году экспорт был около 150 млн кВтч, в 2016-м - на уровне 160 млн кВтч.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экспорта происходит на фоне полного отказа от импорта электроэнергии. «У нас 5-10 лет назад при нашем энергопотреблении в 32-33 млрд кВтч в год импортировали из России до 7,5 млрд кВтч. Еще 2,5 млрд кВтч - из Украины. С 2018 года мы прекратили импорт электроэнергии, потому что модернизировали свою энергетику. Мы самодостаточны, чтобы обеспечить себя своей энергией», - подчеркнул Владимир Семашко.</w:t>
      </w:r>
      <w:r w:rsidRPr="00A0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Беларусь намерена сохранить статус экспортера и после создания общего электроэнергетического рынка ЕАЭС. Этому должен поспособствовать в том числе запуск собственной атомной электростанции.</w:t>
      </w:r>
    </w:p>
    <w:p w:rsidR="00AA1F1C" w:rsidRPr="00A07104" w:rsidRDefault="00AA1F1C" w:rsidP="00A2289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1F1C" w:rsidRPr="00A07104" w:rsidRDefault="00AA1F1C" w:rsidP="00A2289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04">
        <w:rPr>
          <w:rFonts w:ascii="Times New Roman" w:hAnsi="Times New Roman" w:cs="Times New Roman"/>
          <w:b/>
          <w:sz w:val="28"/>
          <w:szCs w:val="24"/>
        </w:rPr>
        <w:t>Квоты на создание установок по использованию ВИЭ в 2019-2021 годах составят 132,7 МВт</w:t>
      </w:r>
      <w:r w:rsidRPr="00A07104">
        <w:rPr>
          <w:rFonts w:ascii="Times New Roman" w:hAnsi="Times New Roman" w:cs="Times New Roman"/>
          <w:i/>
          <w:sz w:val="24"/>
          <w:szCs w:val="24"/>
        </w:rPr>
        <w:t xml:space="preserve"> (18.05.2018г)</w:t>
      </w:r>
    </w:p>
    <w:p w:rsidR="00AA1F1C" w:rsidRPr="00A07104" w:rsidRDefault="00AA1F1C" w:rsidP="00A2289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07104">
        <w:rPr>
          <w:rFonts w:ascii="Times New Roman" w:hAnsi="Times New Roman" w:cs="Times New Roman"/>
          <w:sz w:val="28"/>
          <w:szCs w:val="24"/>
        </w:rPr>
        <w:t>В Беларуси установлены квоты на создание установок по использованию возобновляемых источников энергии (ВИЭ) в 2019-2021 годах суммарной электрической мощностью 132,7 МВт, сообщили БЕЛТА в пресс-службе Министерства энергетики. В том числе на 2019 год установлены квоты суммарной мощностью 15,9 МВт, на 2020 год - 34,3 МВт, на 2021 год - 82,5 МВт.</w:t>
      </w:r>
    </w:p>
    <w:p w:rsidR="00AA1F1C" w:rsidRPr="00A07104" w:rsidRDefault="00AA1F1C" w:rsidP="00A22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F1C" w:rsidRPr="003C5B43" w:rsidRDefault="00AA1F1C" w:rsidP="003C5B43">
      <w:pPr>
        <w:pStyle w:val="NormalExpor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5" w:name="_Toc518549437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lastRenderedPageBreak/>
        <w:t>Республика Молдова</w:t>
      </w:r>
      <w:bookmarkEnd w:id="45"/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</w:pPr>
      <w:bookmarkStart w:id="46" w:name="_Toc518549438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Румынская </w:t>
      </w:r>
      <w:proofErr w:type="spellStart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Transelectrica</w:t>
      </w:r>
      <w:proofErr w:type="spellEnd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готова инвестировать в Молдову и стать владельцем компании </w:t>
      </w:r>
      <w:proofErr w:type="spellStart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Moldelectricа</w:t>
      </w:r>
      <w:proofErr w:type="spellEnd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(08.05.18)</w:t>
      </w:r>
      <w:bookmarkEnd w:id="46"/>
    </w:p>
    <w:p w:rsidR="00AA1F1C" w:rsidRPr="00A07104" w:rsidRDefault="00AA1F1C" w:rsidP="00A2289E">
      <w:pPr>
        <w:pStyle w:val="ad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A07104">
        <w:rPr>
          <w:sz w:val="28"/>
        </w:rPr>
        <w:t xml:space="preserve">Об этом пишут румынские СМИ, отмечая, что, как заявляют в руководстве компании </w:t>
      </w:r>
      <w:proofErr w:type="spellStart"/>
      <w:r w:rsidRPr="00A07104">
        <w:rPr>
          <w:sz w:val="28"/>
        </w:rPr>
        <w:t>Transelectrica</w:t>
      </w:r>
      <w:proofErr w:type="spellEnd"/>
      <w:r w:rsidRPr="00A07104">
        <w:rPr>
          <w:sz w:val="28"/>
        </w:rPr>
        <w:t xml:space="preserve">, если правительство Молдовы внесет изменения в действующее законодательство для выставления на приватизацию компании </w:t>
      </w:r>
      <w:proofErr w:type="spellStart"/>
      <w:r w:rsidRPr="00A07104">
        <w:rPr>
          <w:sz w:val="28"/>
        </w:rPr>
        <w:t>Moldelectricа</w:t>
      </w:r>
      <w:proofErr w:type="spellEnd"/>
      <w:r w:rsidRPr="00A07104">
        <w:rPr>
          <w:sz w:val="28"/>
        </w:rPr>
        <w:t xml:space="preserve">, то румынский оператор </w:t>
      </w:r>
      <w:proofErr w:type="spellStart"/>
      <w:r w:rsidRPr="00A07104">
        <w:rPr>
          <w:sz w:val="28"/>
        </w:rPr>
        <w:t>Transelectrica</w:t>
      </w:r>
      <w:proofErr w:type="spellEnd"/>
      <w:r w:rsidRPr="00A07104">
        <w:rPr>
          <w:sz w:val="28"/>
        </w:rPr>
        <w:t xml:space="preserve"> заинтересован стать ее главным акционером. Вопрос о возможных инвестициях в Молдову румынской компании </w:t>
      </w:r>
      <w:proofErr w:type="spellStart"/>
      <w:r w:rsidRPr="00A07104">
        <w:rPr>
          <w:sz w:val="28"/>
        </w:rPr>
        <w:t>Transelectrica</w:t>
      </w:r>
      <w:proofErr w:type="spellEnd"/>
      <w:r w:rsidRPr="00A07104">
        <w:rPr>
          <w:sz w:val="28"/>
        </w:rPr>
        <w:t xml:space="preserve"> был поднят одним из ее миноритарных акционеров в ходе годового общего собрания в контексте обсуждения аспектов </w:t>
      </w:r>
      <w:proofErr w:type="spellStart"/>
      <w:r w:rsidRPr="00A07104">
        <w:rPr>
          <w:sz w:val="28"/>
        </w:rPr>
        <w:t>взаимоподключения</w:t>
      </w:r>
      <w:proofErr w:type="spellEnd"/>
      <w:r w:rsidRPr="00A07104">
        <w:rPr>
          <w:sz w:val="28"/>
        </w:rPr>
        <w:t xml:space="preserve"> сетей транспортировки электроэнергии между Молдовой и Румынией.</w:t>
      </w:r>
      <w:r w:rsidRPr="00A07104">
        <w:t xml:space="preserve"> </w:t>
      </w:r>
    </w:p>
    <w:p w:rsidR="00AA1F1C" w:rsidRPr="00A07104" w:rsidRDefault="00AA1F1C" w:rsidP="00A2289E">
      <w:pPr>
        <w:pStyle w:val="ad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A07104">
        <w:rPr>
          <w:sz w:val="28"/>
        </w:rPr>
        <w:t xml:space="preserve">ГП </w:t>
      </w:r>
      <w:proofErr w:type="spellStart"/>
      <w:r w:rsidRPr="00A07104">
        <w:rPr>
          <w:sz w:val="28"/>
        </w:rPr>
        <w:t>Moldelectrica</w:t>
      </w:r>
      <w:proofErr w:type="spellEnd"/>
      <w:r w:rsidRPr="00A07104">
        <w:rPr>
          <w:sz w:val="28"/>
        </w:rPr>
        <w:t xml:space="preserve"> является на 100% госпредприятием, подведомственным </w:t>
      </w:r>
      <w:proofErr w:type="spellStart"/>
      <w:r w:rsidRPr="00A07104">
        <w:rPr>
          <w:sz w:val="28"/>
        </w:rPr>
        <w:t>Минэкономинфраструктуры</w:t>
      </w:r>
      <w:proofErr w:type="spellEnd"/>
      <w:r w:rsidRPr="00A07104">
        <w:rPr>
          <w:sz w:val="28"/>
        </w:rPr>
        <w:t>. Основными функциями предприятия являются: транспортировка электроэнергии по высоковольтным электросетям; оперативное централизованное управление на уровне центральной диспетчерской службы; эксплуатация межсистемных связей по транзиту электроэнергии параллельно с энергосистемами других стран и т.д.</w:t>
      </w:r>
    </w:p>
    <w:p w:rsidR="00AA1F1C" w:rsidRPr="00A07104" w:rsidRDefault="00AA1F1C" w:rsidP="00A2289E">
      <w:pPr>
        <w:pStyle w:val="ad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sz w:val="32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7" w:name="_Toc518549439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Импорт в Молдову энергоресурсов в I квартале 2018 г. увеличился на 28,8% - до $226,1 млн. 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(21.05.18)</w:t>
      </w:r>
      <w:bookmarkEnd w:id="47"/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сообщили агентству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InfoMarket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Национальном бюро статистики, в частности, в первые 3 месяца 2018 г., в сравнении с тем же периодом предыдущего года, импорт нефти и нефтепродуктов в стоимостном выражении повысился на 16,9% - до $110,6 млн., а природного газа – вырос на 36,3% - до $105,7 млн. Импорт электроэнергии вырос почти в 7,6 тыс. раз, составив $8,13 млн.</w:t>
      </w:r>
    </w:p>
    <w:p w:rsidR="00AA1F1C" w:rsidRPr="00A07104" w:rsidRDefault="00AA1F1C" w:rsidP="00A2289E">
      <w:pPr>
        <w:keepNext/>
        <w:keepLine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8" w:name="_Toc518549440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Молдова обязалась производить до 20% энергии из возобновляемых источников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(08.05.18)</w:t>
      </w:r>
      <w:bookmarkEnd w:id="48"/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Получать ее намерены от солнечных панелей, которые установят на здании Технического университета. 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Финансирование для проекта предоставят инвесторы всемирной онлайн-площадки по торговле и аренде солнечных батарей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Sun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Exchange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Возврат вложений инвесторы будут получать в самой известной виртуальной валюте -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биткоин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 в Молдове получит распространение еще одна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криптовалюта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соларкоин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. Виртуальные средства можно будет инвестировать повторно или обменять на обычные деньги. </w:t>
      </w:r>
    </w:p>
    <w:p w:rsidR="00AA1F1C" w:rsidRPr="00A07104" w:rsidRDefault="00AA1F1C" w:rsidP="00A2289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49" w:name="_Toc518549441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Сколько электроэнергии Молдова закупила у Украины?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(15.05.18)</w:t>
      </w:r>
      <w:bookmarkEnd w:id="49"/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bookmarkStart w:id="50" w:name="_Toc518549442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Молдова в январе-апреле 2018 г. закупила у Украины электроэнергии на сумму $ 10,94 млн., заняв 3-е место по объему закупки украинского электричества в этот период с долей 10,01% от общего объема.</w:t>
      </w:r>
      <w:bookmarkEnd w:id="50"/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С 1 июля может подешеветь электроэнергия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(28.05.18)</w:t>
      </w: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bookmarkStart w:id="51" w:name="_Toc518549443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Национальное агентство по регулированию в энергетике (НАРЭ) планирует с 1 июля 2018 года снизить тарифы на поставку электроэнергии на 13%. Согласно порталу mold-street.com, удешевление электроэнергии вызвано запросами, </w:t>
      </w:r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lastRenderedPageBreak/>
        <w:t xml:space="preserve">поданными еще в конце апреля в НАРЭ группой </w:t>
      </w:r>
      <w:proofErr w:type="spellStart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Gas</w:t>
      </w:r>
      <w:proofErr w:type="spellEnd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proofErr w:type="spellStart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Natural</w:t>
      </w:r>
      <w:proofErr w:type="spellEnd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proofErr w:type="spellStart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Fenosa</w:t>
      </w:r>
      <w:proofErr w:type="spellEnd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и затем FEE </w:t>
      </w:r>
      <w:proofErr w:type="spellStart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Nord</w:t>
      </w:r>
      <w:proofErr w:type="spellEnd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и RED </w:t>
      </w:r>
      <w:proofErr w:type="spellStart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Nord</w:t>
      </w:r>
      <w:proofErr w:type="spellEnd"/>
      <w:r w:rsidRPr="003C5B43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  <w:bookmarkEnd w:id="51"/>
    </w:p>
    <w:p w:rsidR="00AA1F1C" w:rsidRPr="00A07104" w:rsidRDefault="00AA1F1C" w:rsidP="00A2289E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</w:p>
    <w:p w:rsidR="00AA1F1C" w:rsidRPr="00A07104" w:rsidRDefault="00AA1F1C" w:rsidP="00A2289E">
      <w:pPr>
        <w:tabs>
          <w:tab w:val="left" w:pos="2655"/>
          <w:tab w:val="center" w:pos="51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>Кыргызская республика</w:t>
      </w: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52" w:name="_Toc518549444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Модернизация? Из</w:t>
      </w:r>
      <w:r w:rsid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нос оборудования в энергетике </w:t>
      </w:r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80 </w:t>
      </w:r>
      <w:r w:rsid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%</w:t>
      </w:r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(28.04.18)</w:t>
      </w:r>
      <w:bookmarkEnd w:id="52"/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Износ оборудования в энергетической отрасли составляет 70-80 процентов, в связи с чем есть необходимость в модернизации существующих электроэнергетических объектов. Об этом на встрече с премьер-министром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Мухаммедкалыем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Абылгазиевым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сообщил председатель Государственного комитета промышленности, энергетики и недропользования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Уланбек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Рыскулов. 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Уланбек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Рыскулов добавил, что дефицит в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энергосекторе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2017 год составил 1,2 миллиарда сомов при плановом показателе 1,7 миллиарда сомов. </w:t>
      </w:r>
    </w:p>
    <w:p w:rsidR="003C5B43" w:rsidRDefault="003C5B43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07104">
        <w:rPr>
          <w:rFonts w:ascii="Times New Roman" w:hAnsi="Times New Roman" w:cs="Times New Roman"/>
          <w:b/>
          <w:sz w:val="28"/>
          <w:szCs w:val="28"/>
        </w:rPr>
        <w:t>Северэлектро</w:t>
      </w:r>
      <w:proofErr w:type="spellEnd"/>
      <w:r w:rsidRPr="00A07104">
        <w:rPr>
          <w:rFonts w:ascii="Times New Roman" w:hAnsi="Times New Roman" w:cs="Times New Roman"/>
          <w:b/>
          <w:sz w:val="28"/>
          <w:szCs w:val="28"/>
        </w:rPr>
        <w:t>» летом введет в эксплуатацию новую подстанцию «Бишкек»</w:t>
      </w:r>
      <w:r w:rsidRPr="00A07104">
        <w:rPr>
          <w:rFonts w:ascii="Arial" w:hAnsi="Arial" w:cs="Arial"/>
          <w:b/>
          <w:sz w:val="24"/>
          <w:szCs w:val="24"/>
        </w:rPr>
        <w:t xml:space="preserve"> </w:t>
      </w:r>
      <w:r w:rsidRPr="00A07104">
        <w:rPr>
          <w:rFonts w:ascii="Times New Roman" w:hAnsi="Times New Roman" w:cs="Times New Roman"/>
          <w:i/>
          <w:sz w:val="24"/>
          <w:szCs w:val="24"/>
        </w:rPr>
        <w:t>(12.05.2018)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07104">
        <w:rPr>
          <w:rFonts w:ascii="Times New Roman" w:hAnsi="Times New Roman" w:cs="Times New Roman"/>
          <w:sz w:val="28"/>
          <w:szCs w:val="24"/>
        </w:rPr>
        <w:t>Tazabek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 - ОАО «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Северэлектро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» летом планирует ввести в строй новую высоковольтную подстанцию «Бишкек» напряжением 110/35/6 (10)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кВ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, построенной на участке улиц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Т.Айтматова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Салиевой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, Саратовской в городе Бишкеке, сообщается на сайте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распредкомпании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>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7104">
        <w:rPr>
          <w:rFonts w:ascii="Times New Roman" w:hAnsi="Times New Roman" w:cs="Times New Roman"/>
          <w:sz w:val="28"/>
          <w:szCs w:val="24"/>
        </w:rPr>
        <w:t xml:space="preserve">Для подачи напряжения новому объекту в настоящее время ведутся работы по прокладке кабельной линии 110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кВ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 протяжённостью более трёх километров от подстанции «ТЭЦ-Бишкек» до подстанции «Бишкек». Линия тянется от подстанции «ТЭЦ-Бишкек» по проспекту Чуй до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ул.Будённого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, далее по ул. Будённого до ул.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Огонбаева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, затем по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ул.Огонбаева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ул.Т.Айтматова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, и, наконец, по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ул.Т.Айтматова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 до подстанции «Бишкек»</w:t>
      </w:r>
    </w:p>
    <w:p w:rsidR="00AA1F1C" w:rsidRPr="00A07104" w:rsidRDefault="00AA1F1C" w:rsidP="00A22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>НЭСК в 2018 году запланировала работы по капстроительству на 900 млн сомов</w:t>
      </w:r>
      <w:r w:rsidRPr="00A07104">
        <w:rPr>
          <w:rFonts w:ascii="Arial" w:hAnsi="Arial" w:cs="Arial"/>
          <w:b/>
          <w:sz w:val="24"/>
          <w:szCs w:val="24"/>
        </w:rPr>
        <w:t xml:space="preserve"> </w:t>
      </w:r>
      <w:r w:rsidRPr="00A07104">
        <w:rPr>
          <w:rFonts w:ascii="Times New Roman" w:hAnsi="Times New Roman" w:cs="Times New Roman"/>
          <w:i/>
          <w:sz w:val="24"/>
          <w:szCs w:val="24"/>
        </w:rPr>
        <w:t>(24.05.2018)</w:t>
      </w:r>
    </w:p>
    <w:p w:rsidR="00AA1F1C" w:rsidRPr="00A07104" w:rsidRDefault="00AA1F1C" w:rsidP="00A2289E">
      <w:pPr>
        <w:spacing w:after="0" w:line="240" w:lineRule="auto"/>
        <w:ind w:firstLine="708"/>
        <w:jc w:val="both"/>
        <w:rPr>
          <w:sz w:val="24"/>
        </w:rPr>
      </w:pPr>
      <w:r w:rsidRPr="00A07104">
        <w:rPr>
          <w:rFonts w:ascii="Times New Roman" w:hAnsi="Times New Roman" w:cs="Times New Roman"/>
          <w:sz w:val="28"/>
          <w:szCs w:val="24"/>
        </w:rPr>
        <w:t xml:space="preserve">ОАО «Национальная электрическая сеть Кыргызстана» по капитальному строительству по подготовке к осенне-зимнему периоду в 2018 году запланировало план работ из собственных средств на сумму в более 900 млн сомов. Об этом сообщил заместитель генерального директора ОАО «Национальная электрическая сеть Кыргызстана» по капитальному строительству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Алтынбек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Рысбеков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>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7104">
        <w:rPr>
          <w:rFonts w:ascii="Times New Roman" w:hAnsi="Times New Roman" w:cs="Times New Roman"/>
          <w:sz w:val="28"/>
          <w:szCs w:val="24"/>
        </w:rPr>
        <w:t>Как он информирует, к плану действий относятся такие виды работ как увеличение мощности, силовых трансформаторов, замена устаревшего оборудования на современные. На данный момент все идет по плану.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53" w:name="_Toc518549445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Обязательства «НЭСК» по иностранным кредитам составили 50,5 млрд сомов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(04.05.18)</w:t>
      </w:r>
      <w:bookmarkEnd w:id="53"/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Обязательства «НЭСК» по иностранным кредитам на 1 декабря 2017 года (курс 1 доллар США – 69,7400 сом) составили 50,5 млрд сомов или 724,4 млн долларов США, полученных от международных доноров (АБР, ИБР, СФР, КФАЭР, Правительства Швейцарии,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Туркэксимбанка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Эксимбанка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КНР). Из имеющейся суммы задолженности 42,5 млрд сомов составляют обязательства перед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Эксимбанком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двум проектам: «Модернизация ЛЭП на юге Кыргызстана, </w:t>
      </w: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строительство ПС 500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Датка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«Строительство ВЛ 500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Датка-Кемин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ПС 500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Кемин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Максимальная сумма выплат по кредитам прогнозируется в 2022 году и достигнет 4 млрд 758 млн сомов (в том числе кредиты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Эксимбанка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млрд 161 млн сомов), для обслуживания которых потребуется установление максимального тарифа на уровне 35,89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тыйын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на 16,89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тыйын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выше ныне установленного тарифа в 19,0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тыйын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том числе на погашение обязательств по кредитам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Эксимбанка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потребуется установление тарифа на уровне 31,4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тыйын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составляет 87,49% от общего тарифа на погашение всех обязательств по кредитам).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F1C" w:rsidRPr="003C5B43" w:rsidRDefault="00AA1F1C" w:rsidP="003C5B43">
      <w:pPr>
        <w:pStyle w:val="NormalExport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54" w:name="_Toc518549446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 xml:space="preserve">КР предлагает Катару совместно реализовать проекты в гидроэнергетике и промышленности </w:t>
      </w:r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(</w:t>
      </w:r>
      <w:hyperlink r:id="rId13" w:tooltip="Все новости этого дня" w:history="1">
        <w:r w:rsidRPr="003C5B43">
          <w:rPr>
            <w:rFonts w:ascii="Times New Roman" w:hAnsi="Times New Roman" w:cs="Times New Roman"/>
            <w:i/>
            <w:color w:val="auto"/>
            <w:sz w:val="24"/>
            <w:szCs w:val="28"/>
            <w:shd w:val="clear" w:color="auto" w:fill="auto"/>
          </w:rPr>
          <w:t>12.05.18</w:t>
        </w:r>
      </w:hyperlink>
      <w:r w:rsidRPr="003C5B43">
        <w:rPr>
          <w:rFonts w:ascii="Times New Roman" w:hAnsi="Times New Roman" w:cs="Times New Roman"/>
          <w:i/>
          <w:color w:val="auto"/>
          <w:sz w:val="24"/>
          <w:szCs w:val="28"/>
          <w:shd w:val="clear" w:color="auto" w:fill="auto"/>
        </w:rPr>
        <w:t>)</w:t>
      </w:r>
      <w:bookmarkEnd w:id="54"/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г.Доха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состоялась встреча Чрезвычайного и Полномочного Посла КР в Государстве Катар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Нурана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Ниязалиева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министром энергетики и промышленности Государства Катар д-ром Мухаммедом бин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Салехом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Аль-Сада.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Отмечая наличие большого потенциала для партнерства в сфере гидроэнергетики и перерабатывающей промышленности,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Ниязалиев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предложил совместно реализовать инвестиционные проекты по интересующим сторон направлениям.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свою очередь министр Мухаммед бин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Салех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Аль-Сада подтвердил заинтересованность в укреплении тесных отношений между двумя государствами и предложил осуществлять обмен информацией и делегациями на различном уровне для ознакомления с инвестиционными возможностями.</w:t>
      </w: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A1F1C" w:rsidRPr="00A07104" w:rsidRDefault="00AA1F1C" w:rsidP="00A228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04">
        <w:rPr>
          <w:rFonts w:ascii="Times New Roman" w:hAnsi="Times New Roman" w:cs="Times New Roman"/>
          <w:b/>
          <w:sz w:val="28"/>
          <w:szCs w:val="28"/>
        </w:rPr>
        <w:t>ЕАБР и «</w:t>
      </w:r>
      <w:proofErr w:type="spellStart"/>
      <w:r w:rsidRPr="00A07104">
        <w:rPr>
          <w:rFonts w:ascii="Times New Roman" w:hAnsi="Times New Roman" w:cs="Times New Roman"/>
          <w:b/>
          <w:sz w:val="28"/>
          <w:szCs w:val="28"/>
        </w:rPr>
        <w:t>Интер</w:t>
      </w:r>
      <w:proofErr w:type="spellEnd"/>
      <w:r w:rsidRPr="00A07104">
        <w:rPr>
          <w:rFonts w:ascii="Times New Roman" w:hAnsi="Times New Roman" w:cs="Times New Roman"/>
          <w:b/>
          <w:sz w:val="28"/>
          <w:szCs w:val="28"/>
        </w:rPr>
        <w:t xml:space="preserve"> РАО» будут вместе реализовывать проекты в Кыргызстане и Казахстане</w:t>
      </w:r>
      <w:r w:rsidRPr="00A071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7104">
        <w:rPr>
          <w:rFonts w:ascii="Times New Roman" w:hAnsi="Times New Roman" w:cs="Times New Roman"/>
          <w:i/>
          <w:sz w:val="24"/>
          <w:szCs w:val="24"/>
        </w:rPr>
        <w:t>(25.05.18)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07104">
        <w:rPr>
          <w:sz w:val="28"/>
        </w:rPr>
        <w:t>Евразийский банк развития (ЕАБР) и «</w:t>
      </w:r>
      <w:proofErr w:type="spellStart"/>
      <w:r w:rsidRPr="00A07104">
        <w:rPr>
          <w:sz w:val="28"/>
        </w:rPr>
        <w:t>Интер</w:t>
      </w:r>
      <w:proofErr w:type="spellEnd"/>
      <w:r w:rsidRPr="00A07104">
        <w:rPr>
          <w:sz w:val="28"/>
        </w:rPr>
        <w:t xml:space="preserve"> РАО» будут вместе развивать проекты в Кыргызстане и Казахстане. Об этом сообщили в пресс-службе ЕАБР.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07104">
        <w:rPr>
          <w:sz w:val="28"/>
        </w:rPr>
        <w:t>Стороны намерены развивать сотрудничество в странах Центрально-азиатского региона, в первую очередь в Казахстане и Кыргызстане.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7104">
        <w:rPr>
          <w:rFonts w:ascii="Times New Roman" w:hAnsi="Times New Roman" w:cs="Times New Roman"/>
          <w:sz w:val="28"/>
          <w:szCs w:val="24"/>
        </w:rPr>
        <w:t>«Кроме того, запланировано сотрудничество в рамках проектов реконструкции тепловых электростанций в странах СНГ. Соглашение открывает перспективы совместной работы и по другим объектам энергетики. Организации намерены взаимодействовать в области поставок продукции энергетического машиностроения, в том числе экспорта оборудования, производимого группой «</w:t>
      </w:r>
      <w:proofErr w:type="spellStart"/>
      <w:r w:rsidRPr="00A07104">
        <w:rPr>
          <w:rFonts w:ascii="Times New Roman" w:hAnsi="Times New Roman" w:cs="Times New Roman"/>
          <w:sz w:val="28"/>
          <w:szCs w:val="24"/>
        </w:rPr>
        <w:t>Интер</w:t>
      </w:r>
      <w:proofErr w:type="spellEnd"/>
      <w:r w:rsidRPr="00A07104">
        <w:rPr>
          <w:rFonts w:ascii="Times New Roman" w:hAnsi="Times New Roman" w:cs="Times New Roman"/>
          <w:sz w:val="28"/>
          <w:szCs w:val="24"/>
        </w:rPr>
        <w:t xml:space="preserve"> РАО», в государства — участники ЕАБР», — говорится в сообщении.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07104">
        <w:rPr>
          <w:sz w:val="28"/>
        </w:rPr>
        <w:t>Напомним, что именно компания «</w:t>
      </w:r>
      <w:proofErr w:type="spellStart"/>
      <w:r w:rsidRPr="00A07104">
        <w:rPr>
          <w:sz w:val="28"/>
        </w:rPr>
        <w:t>Интер</w:t>
      </w:r>
      <w:proofErr w:type="spellEnd"/>
      <w:r w:rsidRPr="00A07104">
        <w:rPr>
          <w:sz w:val="28"/>
        </w:rPr>
        <w:t xml:space="preserve"> РАО» должна была строить в Кыргызстане </w:t>
      </w:r>
      <w:proofErr w:type="spellStart"/>
      <w:r w:rsidRPr="00A07104">
        <w:rPr>
          <w:sz w:val="28"/>
        </w:rPr>
        <w:t>Камбаратинскую</w:t>
      </w:r>
      <w:proofErr w:type="spellEnd"/>
      <w:r w:rsidRPr="00A07104">
        <w:rPr>
          <w:sz w:val="28"/>
        </w:rPr>
        <w:t xml:space="preserve"> ГЭС-1. Однако работы на объекте так и не начались. Тогда президент Кыргызстана </w:t>
      </w:r>
      <w:proofErr w:type="spellStart"/>
      <w:r w:rsidRPr="00A07104">
        <w:rPr>
          <w:sz w:val="28"/>
        </w:rPr>
        <w:t>Алмазбек</w:t>
      </w:r>
      <w:proofErr w:type="spellEnd"/>
      <w:r w:rsidRPr="00A07104">
        <w:rPr>
          <w:sz w:val="28"/>
        </w:rPr>
        <w:t xml:space="preserve"> </w:t>
      </w:r>
      <w:proofErr w:type="spellStart"/>
      <w:r w:rsidRPr="00A07104">
        <w:rPr>
          <w:sz w:val="28"/>
        </w:rPr>
        <w:t>Атамбаев</w:t>
      </w:r>
      <w:proofErr w:type="spellEnd"/>
      <w:r w:rsidRPr="00A07104">
        <w:rPr>
          <w:sz w:val="28"/>
        </w:rPr>
        <w:t xml:space="preserve"> в январе 2016 года подписал закон</w:t>
      </w:r>
      <w:r w:rsidRPr="00A07104">
        <w:rPr>
          <w:rStyle w:val="apple-converted-space"/>
          <w:rFonts w:eastAsiaTheme="majorEastAsia"/>
          <w:sz w:val="28"/>
        </w:rPr>
        <w:t> </w:t>
      </w:r>
      <w:hyperlink r:id="rId14" w:history="1">
        <w:r w:rsidRPr="00A07104">
          <w:rPr>
            <w:rStyle w:val="aa"/>
            <w:sz w:val="28"/>
          </w:rPr>
          <w:t>о денонсации</w:t>
        </w:r>
      </w:hyperlink>
      <w:r w:rsidRPr="00A07104">
        <w:rPr>
          <w:sz w:val="28"/>
        </w:rPr>
        <w:t xml:space="preserve"> соглашений с Россией о совместном строительстве </w:t>
      </w:r>
      <w:proofErr w:type="spellStart"/>
      <w:r w:rsidRPr="00A07104">
        <w:rPr>
          <w:sz w:val="28"/>
        </w:rPr>
        <w:t>Верхненарынского</w:t>
      </w:r>
      <w:proofErr w:type="spellEnd"/>
      <w:r w:rsidRPr="00A07104">
        <w:rPr>
          <w:sz w:val="28"/>
        </w:rPr>
        <w:t xml:space="preserve"> каскада ГЭС и ГЭС «Камбарата-1».</w:t>
      </w:r>
    </w:p>
    <w:p w:rsidR="00AA1F1C" w:rsidRPr="00A07104" w:rsidRDefault="00AA1F1C" w:rsidP="00A228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AA1F1C" w:rsidRPr="003C5B43" w:rsidRDefault="00AA1F1C" w:rsidP="003C5B43">
      <w:pPr>
        <w:pStyle w:val="NormalExpor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</w:pPr>
      <w:bookmarkStart w:id="55" w:name="_Toc518549447"/>
      <w:r w:rsidRPr="003C5B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auto"/>
        </w:rPr>
        <w:t>Республика Таджикистан</w:t>
      </w:r>
      <w:bookmarkEnd w:id="55"/>
    </w:p>
    <w:p w:rsidR="00AA1F1C" w:rsidRPr="00A07104" w:rsidRDefault="00AA1F1C" w:rsidP="00A2289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071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Реорганизация: Две новые компании будут созданы на базе «Барки </w:t>
      </w:r>
      <w:proofErr w:type="spellStart"/>
      <w:r w:rsidRPr="00A071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точик</w:t>
      </w:r>
      <w:proofErr w:type="spellEnd"/>
      <w:r w:rsidRPr="00A071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Pr="00A07104">
        <w:rPr>
          <w:rFonts w:ascii="Times New Roman" w:hAnsi="Times New Roman" w:cs="Times New Roman"/>
          <w:i/>
          <w:sz w:val="24"/>
          <w:szCs w:val="24"/>
        </w:rPr>
        <w:t>(17.05.18)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подписанном в конце апреля постановлении правительства страны говорится о создании путем реорганизации под управлением Открытой акционерной холдинговой компании «Барки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точик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» Открытое акционерное общество «Передающие электрические сети» и Открытое акционерное общество «Распределительные электрические сети».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1F1C" w:rsidRPr="003C5B43" w:rsidRDefault="00AA1F1C" w:rsidP="003C5B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56" w:name="_Toc518549448"/>
      <w:r w:rsidRPr="003C5B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CASA-1000 может приносить Таджикистану ежегодный доход в размере свыше $150 млн. </w:t>
      </w:r>
      <w:r w:rsidRPr="003C5B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(24.05.18)</w:t>
      </w:r>
      <w:bookmarkEnd w:id="56"/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Успешная реализация регионального проекта CASA-1000 может принести Таджикистану ежегодный доход в размере свыше $150 млн. По данным профильных ведомств экономического блока, вдобавок республика будет получать доход от транзита киргизской электроэнергии по своей территории в рамках указанного проекта.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Ранее сообщалось, что согласно достигнутым договорённостям по проекту CASA-1000 экспортная цена электроэнергии составит 9,35 цента за киловатт часов.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проекта CASA-1000 Таджикистан будет экспортировать в Пакистан 70% электроэнергии, а в Кыргызстан – 30%. Таким образо</w:t>
      </w:r>
      <w:r w:rsidR="003C5B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м, проект обеспечит транзит до </w:t>
      </w: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5 млрд. кВт/ч электроэнергии из Кыргызстана и Таджикистана в Пакистан. Доля таджикского экспорта электроэнергии составит 3 млрд. кВт/ч электроэнергии.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ТВЕА продолжает строительство высоковольтной ЛЭП 500 </w:t>
      </w:r>
      <w:proofErr w:type="spellStart"/>
      <w:r w:rsidRPr="00A071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кВ</w:t>
      </w:r>
      <w:proofErr w:type="spellEnd"/>
      <w:r w:rsidRPr="00A071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«Душанбе-Оби Гарм»</w:t>
      </w:r>
      <w:r w:rsidRPr="00A07104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A07104">
        <w:rPr>
          <w:rFonts w:ascii="Times New Roman" w:hAnsi="Times New Roman" w:cs="Times New Roman"/>
          <w:i/>
          <w:sz w:val="24"/>
          <w:szCs w:val="24"/>
        </w:rPr>
        <w:t>(30.05.18)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Китайская</w:t>
      </w:r>
      <w:r w:rsidRPr="00A0710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компания</w:t>
      </w:r>
      <w:r w:rsidRPr="00A0710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Tebian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Electric Apparatus Stock Co., Ltd. </w:t>
      </w: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(TBEA) продолжает реализацию проекта по реконструкции и строительству высоковольтной линии электропередачи ЛЭП-500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«Душанбе-Оби Гарм».</w:t>
      </w: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Строительство линии 500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«Душанбе-Обигарм» предназначено для повышения надёжности, улучшения качества поставляемой энергии и снижения потерь в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Раштской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долине Таджикистана, где расположены районы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Нурабад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Рашт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Таджикабад, Тавильдара и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Лахш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(бывший </w:t>
      </w:r>
      <w:proofErr w:type="spellStart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>Джиргатальский</w:t>
      </w:r>
      <w:proofErr w:type="spellEnd"/>
      <w:r w:rsidRPr="00A0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район).</w:t>
      </w:r>
    </w:p>
    <w:p w:rsidR="00AA1F1C" w:rsidRPr="003C5B43" w:rsidRDefault="00AA1F1C" w:rsidP="003C5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1F1C" w:rsidRPr="00A07104" w:rsidRDefault="00AA1F1C" w:rsidP="00A22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04">
        <w:rPr>
          <w:rFonts w:ascii="Times New Roman" w:hAnsi="Times New Roman" w:cs="Times New Roman"/>
          <w:b/>
          <w:spacing w:val="-8"/>
          <w:sz w:val="28"/>
          <w:szCs w:val="24"/>
        </w:rPr>
        <w:t xml:space="preserve">Таджикистан выручил от экспорта электроэнергии в Узбекистан 2,1 миллиона долларов </w:t>
      </w:r>
      <w:r w:rsidRPr="00A07104">
        <w:rPr>
          <w:rFonts w:ascii="Times New Roman" w:hAnsi="Times New Roman" w:cs="Times New Roman"/>
          <w:i/>
          <w:sz w:val="24"/>
          <w:szCs w:val="24"/>
        </w:rPr>
        <w:t>(24.05.18)</w:t>
      </w:r>
    </w:p>
    <w:p w:rsidR="00AA1F1C" w:rsidRPr="003C5B43" w:rsidRDefault="00AA1F1C" w:rsidP="003C5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7" w:name="_Toc518549449"/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«Барки </w:t>
      </w:r>
      <w:proofErr w:type="spellStart"/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точик</w:t>
      </w:r>
      <w:proofErr w:type="spellEnd"/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продает соседям один киловатт час по примерно той же стоимости, что и населению.</w:t>
      </w:r>
      <w:bookmarkEnd w:id="57"/>
    </w:p>
    <w:p w:rsidR="00AA1F1C" w:rsidRPr="003C5B43" w:rsidRDefault="00AA1F1C" w:rsidP="003C5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_Toc518549450"/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аджикистан в апреле этого года экспортировал почти 128 миллионов киловатт-часов электроэнергии. Около 84 процентов от этого объема ушло в Узбекистан.</w:t>
      </w:r>
      <w:bookmarkEnd w:id="58"/>
    </w:p>
    <w:p w:rsidR="00AA1F1C" w:rsidRPr="003C5B43" w:rsidRDefault="00AA1F1C" w:rsidP="003C5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9" w:name="_Toc518549451"/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апреле 2018 года от ГЭС «Сангтуда-1» и «Сангтуда-2» было поставлено в Афганистан </w:t>
      </w:r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12 млн. кВт/ч, в Кыргызстан – 9,9 млн. кВт/ч и в Узбекистан – 106,9 млн. кВт/ч электроэнергии», - говорится в отчете «Мониторинг и раннее оповещение в Таджикистане». Отчет подготавливается ежемесячно министерством экономического развития и торговли РТ при финансовой поддержке ОБСЕ.</w:t>
      </w:r>
      <w:bookmarkEnd w:id="59"/>
    </w:p>
    <w:p w:rsidR="00E04313" w:rsidRPr="00BC7CB8" w:rsidRDefault="00AA1F1C" w:rsidP="00A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0" w:name="_Toc518549452"/>
      <w:r w:rsidRPr="003C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Экспортированная в соседние страны электроэнергия составила около 10% от общего объема выработки в стране в минувшем месяце.</w:t>
      </w:r>
      <w:bookmarkEnd w:id="60"/>
    </w:p>
    <w:sectPr w:rsidR="00E04313" w:rsidRPr="00BC7CB8" w:rsidSect="000C3143">
      <w:headerReference w:type="default" r:id="rId15"/>
      <w:footerReference w:type="default" r:id="rId16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25" w:rsidRDefault="009C7825" w:rsidP="00AD7754">
      <w:pPr>
        <w:spacing w:after="0" w:line="240" w:lineRule="auto"/>
      </w:pPr>
      <w:r>
        <w:separator/>
      </w:r>
    </w:p>
  </w:endnote>
  <w:endnote w:type="continuationSeparator" w:id="0">
    <w:p w:rsidR="009C7825" w:rsidRDefault="009C7825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9C7825" w:rsidRDefault="009C78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825" w:rsidRDefault="009C78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25" w:rsidRDefault="009C7825" w:rsidP="00AD7754">
      <w:pPr>
        <w:spacing w:after="0" w:line="240" w:lineRule="auto"/>
      </w:pPr>
      <w:r>
        <w:separator/>
      </w:r>
    </w:p>
  </w:footnote>
  <w:footnote w:type="continuationSeparator" w:id="0">
    <w:p w:rsidR="009C7825" w:rsidRDefault="009C7825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8"/>
      <w:gridCol w:w="7695"/>
    </w:tblGrid>
    <w:tr w:rsidR="009C7825" w:rsidTr="009437D6">
      <w:tc>
        <w:tcPr>
          <w:tcW w:w="2235" w:type="dxa"/>
        </w:tcPr>
        <w:p w:rsidR="009C7825" w:rsidRDefault="009C7825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1F173880" wp14:editId="58DF36D4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9C7825" w:rsidRDefault="009C7825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9C7825" w:rsidRDefault="009C7825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9C7825" w:rsidRPr="009437D6" w:rsidRDefault="009C7825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7C3835"/>
    <w:multiLevelType w:val="multilevel"/>
    <w:tmpl w:val="FB4A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61F2A"/>
    <w:multiLevelType w:val="multilevel"/>
    <w:tmpl w:val="6A7A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07B4F"/>
    <w:multiLevelType w:val="hybridMultilevel"/>
    <w:tmpl w:val="E24638FC"/>
    <w:lvl w:ilvl="0" w:tplc="98846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11"/>
  </w:num>
  <w:num w:numId="9">
    <w:abstractNumId w:val="9"/>
  </w:num>
  <w:num w:numId="10">
    <w:abstractNumId w:val="32"/>
  </w:num>
  <w:num w:numId="11">
    <w:abstractNumId w:val="24"/>
  </w:num>
  <w:num w:numId="12">
    <w:abstractNumId w:val="18"/>
  </w:num>
  <w:num w:numId="13">
    <w:abstractNumId w:val="8"/>
  </w:num>
  <w:num w:numId="14">
    <w:abstractNumId w:val="12"/>
  </w:num>
  <w:num w:numId="15">
    <w:abstractNumId w:val="31"/>
  </w:num>
  <w:num w:numId="16">
    <w:abstractNumId w:val="21"/>
  </w:num>
  <w:num w:numId="17">
    <w:abstractNumId w:val="34"/>
  </w:num>
  <w:num w:numId="18">
    <w:abstractNumId w:val="4"/>
  </w:num>
  <w:num w:numId="19">
    <w:abstractNumId w:val="29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5"/>
  </w:num>
  <w:num w:numId="25">
    <w:abstractNumId w:val="23"/>
  </w:num>
  <w:num w:numId="26">
    <w:abstractNumId w:val="14"/>
  </w:num>
  <w:num w:numId="27">
    <w:abstractNumId w:val="17"/>
  </w:num>
  <w:num w:numId="28">
    <w:abstractNumId w:val="5"/>
  </w:num>
  <w:num w:numId="29">
    <w:abstractNumId w:val="16"/>
  </w:num>
  <w:num w:numId="30">
    <w:abstractNumId w:val="22"/>
  </w:num>
  <w:num w:numId="31">
    <w:abstractNumId w:val="20"/>
  </w:num>
  <w:num w:numId="32">
    <w:abstractNumId w:val="27"/>
  </w:num>
  <w:num w:numId="33">
    <w:abstractNumId w:val="33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1110C"/>
    <w:rsid w:val="000131F1"/>
    <w:rsid w:val="00014143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8404C"/>
    <w:rsid w:val="00090E98"/>
    <w:rsid w:val="000A1F7A"/>
    <w:rsid w:val="000A2B7B"/>
    <w:rsid w:val="000C3143"/>
    <w:rsid w:val="000D031A"/>
    <w:rsid w:val="000D07D5"/>
    <w:rsid w:val="000D1B96"/>
    <w:rsid w:val="000D31BF"/>
    <w:rsid w:val="000D5340"/>
    <w:rsid w:val="000E3168"/>
    <w:rsid w:val="000F203E"/>
    <w:rsid w:val="000F31A3"/>
    <w:rsid w:val="000F7637"/>
    <w:rsid w:val="001040AE"/>
    <w:rsid w:val="001060A6"/>
    <w:rsid w:val="00112428"/>
    <w:rsid w:val="00120BDE"/>
    <w:rsid w:val="0012324F"/>
    <w:rsid w:val="00125238"/>
    <w:rsid w:val="00127A62"/>
    <w:rsid w:val="001447DB"/>
    <w:rsid w:val="00146C10"/>
    <w:rsid w:val="00147887"/>
    <w:rsid w:val="001621B0"/>
    <w:rsid w:val="0017220E"/>
    <w:rsid w:val="00176FB5"/>
    <w:rsid w:val="001803A7"/>
    <w:rsid w:val="00183A10"/>
    <w:rsid w:val="00184E53"/>
    <w:rsid w:val="00186C38"/>
    <w:rsid w:val="00191D55"/>
    <w:rsid w:val="001963D6"/>
    <w:rsid w:val="001A0120"/>
    <w:rsid w:val="001A4A89"/>
    <w:rsid w:val="001A60DC"/>
    <w:rsid w:val="001B0D6D"/>
    <w:rsid w:val="001B24C6"/>
    <w:rsid w:val="001B57BE"/>
    <w:rsid w:val="001C6B2D"/>
    <w:rsid w:val="001D295E"/>
    <w:rsid w:val="001D39F6"/>
    <w:rsid w:val="001E3127"/>
    <w:rsid w:val="001E69C3"/>
    <w:rsid w:val="001F20CE"/>
    <w:rsid w:val="001F2459"/>
    <w:rsid w:val="001F404F"/>
    <w:rsid w:val="00210D30"/>
    <w:rsid w:val="00217832"/>
    <w:rsid w:val="00217D54"/>
    <w:rsid w:val="00224B90"/>
    <w:rsid w:val="00225ECE"/>
    <w:rsid w:val="002300AE"/>
    <w:rsid w:val="00230F0E"/>
    <w:rsid w:val="00234CEB"/>
    <w:rsid w:val="00237930"/>
    <w:rsid w:val="00242B5A"/>
    <w:rsid w:val="00247170"/>
    <w:rsid w:val="00256A29"/>
    <w:rsid w:val="002601C2"/>
    <w:rsid w:val="002602A8"/>
    <w:rsid w:val="00264833"/>
    <w:rsid w:val="00266D27"/>
    <w:rsid w:val="002676A7"/>
    <w:rsid w:val="00273C4D"/>
    <w:rsid w:val="00282C14"/>
    <w:rsid w:val="00284A27"/>
    <w:rsid w:val="00290A3F"/>
    <w:rsid w:val="00292C58"/>
    <w:rsid w:val="002C14BF"/>
    <w:rsid w:val="002C5519"/>
    <w:rsid w:val="002D2E71"/>
    <w:rsid w:val="002D4807"/>
    <w:rsid w:val="002E17D6"/>
    <w:rsid w:val="002F18C0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507C0"/>
    <w:rsid w:val="00350BC9"/>
    <w:rsid w:val="0035461D"/>
    <w:rsid w:val="003625A7"/>
    <w:rsid w:val="003801ED"/>
    <w:rsid w:val="00387115"/>
    <w:rsid w:val="0039177D"/>
    <w:rsid w:val="00395E64"/>
    <w:rsid w:val="003A0A61"/>
    <w:rsid w:val="003A616A"/>
    <w:rsid w:val="003B1D02"/>
    <w:rsid w:val="003B36BC"/>
    <w:rsid w:val="003B57C9"/>
    <w:rsid w:val="003C5B43"/>
    <w:rsid w:val="003C5EFF"/>
    <w:rsid w:val="003D60D6"/>
    <w:rsid w:val="003E3F8D"/>
    <w:rsid w:val="003E6BEE"/>
    <w:rsid w:val="003F5B49"/>
    <w:rsid w:val="00411C12"/>
    <w:rsid w:val="00412299"/>
    <w:rsid w:val="004173C9"/>
    <w:rsid w:val="00422191"/>
    <w:rsid w:val="00424764"/>
    <w:rsid w:val="00425634"/>
    <w:rsid w:val="00426FF1"/>
    <w:rsid w:val="00432D46"/>
    <w:rsid w:val="0044104A"/>
    <w:rsid w:val="00441B04"/>
    <w:rsid w:val="00443749"/>
    <w:rsid w:val="00444D23"/>
    <w:rsid w:val="00445130"/>
    <w:rsid w:val="00452FF3"/>
    <w:rsid w:val="00465C07"/>
    <w:rsid w:val="00485E7B"/>
    <w:rsid w:val="00493051"/>
    <w:rsid w:val="00495B86"/>
    <w:rsid w:val="004A417C"/>
    <w:rsid w:val="004A47DD"/>
    <w:rsid w:val="004B2582"/>
    <w:rsid w:val="004C65DE"/>
    <w:rsid w:val="004D4C81"/>
    <w:rsid w:val="004D543B"/>
    <w:rsid w:val="004D745C"/>
    <w:rsid w:val="004E7604"/>
    <w:rsid w:val="00503EEF"/>
    <w:rsid w:val="005070DF"/>
    <w:rsid w:val="00512F59"/>
    <w:rsid w:val="00513436"/>
    <w:rsid w:val="00520A3C"/>
    <w:rsid w:val="00522462"/>
    <w:rsid w:val="00523770"/>
    <w:rsid w:val="00524E43"/>
    <w:rsid w:val="00531D9B"/>
    <w:rsid w:val="00533342"/>
    <w:rsid w:val="00535451"/>
    <w:rsid w:val="00535564"/>
    <w:rsid w:val="0053588D"/>
    <w:rsid w:val="00536553"/>
    <w:rsid w:val="00541D3A"/>
    <w:rsid w:val="00545712"/>
    <w:rsid w:val="00551B8C"/>
    <w:rsid w:val="00553846"/>
    <w:rsid w:val="00562751"/>
    <w:rsid w:val="005642B7"/>
    <w:rsid w:val="0057600E"/>
    <w:rsid w:val="0058001C"/>
    <w:rsid w:val="00580569"/>
    <w:rsid w:val="00582144"/>
    <w:rsid w:val="00583E36"/>
    <w:rsid w:val="00584463"/>
    <w:rsid w:val="0058673C"/>
    <w:rsid w:val="00595C63"/>
    <w:rsid w:val="00596C30"/>
    <w:rsid w:val="005A0CC5"/>
    <w:rsid w:val="005A313C"/>
    <w:rsid w:val="005A5AF2"/>
    <w:rsid w:val="005A6246"/>
    <w:rsid w:val="005A6918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3E43"/>
    <w:rsid w:val="00633669"/>
    <w:rsid w:val="006418FD"/>
    <w:rsid w:val="006423D3"/>
    <w:rsid w:val="00642DF4"/>
    <w:rsid w:val="00651958"/>
    <w:rsid w:val="00653FA4"/>
    <w:rsid w:val="00656669"/>
    <w:rsid w:val="00657A19"/>
    <w:rsid w:val="00660E5E"/>
    <w:rsid w:val="00663F96"/>
    <w:rsid w:val="006808D0"/>
    <w:rsid w:val="00681D7C"/>
    <w:rsid w:val="00682876"/>
    <w:rsid w:val="00684AE4"/>
    <w:rsid w:val="00684BAE"/>
    <w:rsid w:val="0068656F"/>
    <w:rsid w:val="006A0785"/>
    <w:rsid w:val="006A3A88"/>
    <w:rsid w:val="006A4A69"/>
    <w:rsid w:val="006A740E"/>
    <w:rsid w:val="006B060A"/>
    <w:rsid w:val="006B1320"/>
    <w:rsid w:val="006B3D7E"/>
    <w:rsid w:val="006B75FC"/>
    <w:rsid w:val="006C0F2B"/>
    <w:rsid w:val="006C362D"/>
    <w:rsid w:val="006C6971"/>
    <w:rsid w:val="006C754D"/>
    <w:rsid w:val="006D732A"/>
    <w:rsid w:val="006E404D"/>
    <w:rsid w:val="006F09F2"/>
    <w:rsid w:val="00702A93"/>
    <w:rsid w:val="007103C4"/>
    <w:rsid w:val="00711626"/>
    <w:rsid w:val="00715ADF"/>
    <w:rsid w:val="00727DC1"/>
    <w:rsid w:val="0074078A"/>
    <w:rsid w:val="00744BC8"/>
    <w:rsid w:val="0075008C"/>
    <w:rsid w:val="00752A24"/>
    <w:rsid w:val="00755B12"/>
    <w:rsid w:val="00757076"/>
    <w:rsid w:val="00760300"/>
    <w:rsid w:val="00766E93"/>
    <w:rsid w:val="00772A2E"/>
    <w:rsid w:val="0077427E"/>
    <w:rsid w:val="00775202"/>
    <w:rsid w:val="0077564E"/>
    <w:rsid w:val="00782C7F"/>
    <w:rsid w:val="00786D0D"/>
    <w:rsid w:val="00794953"/>
    <w:rsid w:val="007A0FD1"/>
    <w:rsid w:val="007A552A"/>
    <w:rsid w:val="007B3161"/>
    <w:rsid w:val="007B4407"/>
    <w:rsid w:val="007B4A06"/>
    <w:rsid w:val="007B4D1F"/>
    <w:rsid w:val="007B7A62"/>
    <w:rsid w:val="007C2CF3"/>
    <w:rsid w:val="007C3A8C"/>
    <w:rsid w:val="007D00DC"/>
    <w:rsid w:val="007D0A51"/>
    <w:rsid w:val="007D3297"/>
    <w:rsid w:val="007D32F2"/>
    <w:rsid w:val="007F3F0C"/>
    <w:rsid w:val="008006A8"/>
    <w:rsid w:val="0080409E"/>
    <w:rsid w:val="008078AD"/>
    <w:rsid w:val="00810136"/>
    <w:rsid w:val="008169E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822CA"/>
    <w:rsid w:val="008865ED"/>
    <w:rsid w:val="008928B2"/>
    <w:rsid w:val="00896D65"/>
    <w:rsid w:val="008A27D4"/>
    <w:rsid w:val="008B2E50"/>
    <w:rsid w:val="008B372E"/>
    <w:rsid w:val="008C25DE"/>
    <w:rsid w:val="008C27FD"/>
    <w:rsid w:val="008D1FF5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7577"/>
    <w:rsid w:val="0093791F"/>
    <w:rsid w:val="00942D73"/>
    <w:rsid w:val="009437D6"/>
    <w:rsid w:val="00945A0E"/>
    <w:rsid w:val="00952342"/>
    <w:rsid w:val="0095487B"/>
    <w:rsid w:val="009609AE"/>
    <w:rsid w:val="00965639"/>
    <w:rsid w:val="00970497"/>
    <w:rsid w:val="00973314"/>
    <w:rsid w:val="00973D74"/>
    <w:rsid w:val="0097499E"/>
    <w:rsid w:val="00981D05"/>
    <w:rsid w:val="00983160"/>
    <w:rsid w:val="0099334E"/>
    <w:rsid w:val="0099370B"/>
    <w:rsid w:val="00995E50"/>
    <w:rsid w:val="00997037"/>
    <w:rsid w:val="009A1799"/>
    <w:rsid w:val="009A4DE5"/>
    <w:rsid w:val="009B48C4"/>
    <w:rsid w:val="009B7719"/>
    <w:rsid w:val="009C0DC5"/>
    <w:rsid w:val="009C7825"/>
    <w:rsid w:val="009D7423"/>
    <w:rsid w:val="009E302E"/>
    <w:rsid w:val="00A0237A"/>
    <w:rsid w:val="00A0438E"/>
    <w:rsid w:val="00A067AB"/>
    <w:rsid w:val="00A07104"/>
    <w:rsid w:val="00A11C70"/>
    <w:rsid w:val="00A1434F"/>
    <w:rsid w:val="00A15D30"/>
    <w:rsid w:val="00A208FB"/>
    <w:rsid w:val="00A2289E"/>
    <w:rsid w:val="00A23008"/>
    <w:rsid w:val="00A23548"/>
    <w:rsid w:val="00A32670"/>
    <w:rsid w:val="00A350F6"/>
    <w:rsid w:val="00A42AA0"/>
    <w:rsid w:val="00A43411"/>
    <w:rsid w:val="00A4551D"/>
    <w:rsid w:val="00A46307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90F00"/>
    <w:rsid w:val="00AA1F1C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591E"/>
    <w:rsid w:val="00AF4346"/>
    <w:rsid w:val="00B005A3"/>
    <w:rsid w:val="00B01F44"/>
    <w:rsid w:val="00B025A4"/>
    <w:rsid w:val="00B0282E"/>
    <w:rsid w:val="00B116AC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80BA8"/>
    <w:rsid w:val="00B82649"/>
    <w:rsid w:val="00B84D5D"/>
    <w:rsid w:val="00B91314"/>
    <w:rsid w:val="00B9424F"/>
    <w:rsid w:val="00B94447"/>
    <w:rsid w:val="00B947C6"/>
    <w:rsid w:val="00B94F51"/>
    <w:rsid w:val="00BB6FE6"/>
    <w:rsid w:val="00BC0615"/>
    <w:rsid w:val="00BC79FE"/>
    <w:rsid w:val="00BC7CB8"/>
    <w:rsid w:val="00BD35CB"/>
    <w:rsid w:val="00BD4E75"/>
    <w:rsid w:val="00BD7F80"/>
    <w:rsid w:val="00BE1470"/>
    <w:rsid w:val="00BE2DD3"/>
    <w:rsid w:val="00BE7C0C"/>
    <w:rsid w:val="00C13942"/>
    <w:rsid w:val="00C14154"/>
    <w:rsid w:val="00C213EF"/>
    <w:rsid w:val="00C23008"/>
    <w:rsid w:val="00C23AC4"/>
    <w:rsid w:val="00C27884"/>
    <w:rsid w:val="00C32F0E"/>
    <w:rsid w:val="00C40ACC"/>
    <w:rsid w:val="00C44CE6"/>
    <w:rsid w:val="00C45BFF"/>
    <w:rsid w:val="00C509B9"/>
    <w:rsid w:val="00C533E2"/>
    <w:rsid w:val="00C53DCA"/>
    <w:rsid w:val="00C6011E"/>
    <w:rsid w:val="00C60BCB"/>
    <w:rsid w:val="00C621A4"/>
    <w:rsid w:val="00C6484B"/>
    <w:rsid w:val="00C71BA7"/>
    <w:rsid w:val="00C724F9"/>
    <w:rsid w:val="00C73307"/>
    <w:rsid w:val="00C76938"/>
    <w:rsid w:val="00C82DFF"/>
    <w:rsid w:val="00C94D54"/>
    <w:rsid w:val="00CA08DE"/>
    <w:rsid w:val="00CB44CF"/>
    <w:rsid w:val="00CB6A6A"/>
    <w:rsid w:val="00CC4053"/>
    <w:rsid w:val="00CC5613"/>
    <w:rsid w:val="00CD0299"/>
    <w:rsid w:val="00CD0D01"/>
    <w:rsid w:val="00CD3C45"/>
    <w:rsid w:val="00CD5BA5"/>
    <w:rsid w:val="00CE11BD"/>
    <w:rsid w:val="00CF64DA"/>
    <w:rsid w:val="00CF6711"/>
    <w:rsid w:val="00D04771"/>
    <w:rsid w:val="00D11B1F"/>
    <w:rsid w:val="00D479CD"/>
    <w:rsid w:val="00D53102"/>
    <w:rsid w:val="00D53D13"/>
    <w:rsid w:val="00D64058"/>
    <w:rsid w:val="00D65DD5"/>
    <w:rsid w:val="00D72919"/>
    <w:rsid w:val="00D77C96"/>
    <w:rsid w:val="00D86DB7"/>
    <w:rsid w:val="00DA063C"/>
    <w:rsid w:val="00DA40B8"/>
    <w:rsid w:val="00DA5067"/>
    <w:rsid w:val="00DA5171"/>
    <w:rsid w:val="00DA67ED"/>
    <w:rsid w:val="00DC00C7"/>
    <w:rsid w:val="00DC2F6A"/>
    <w:rsid w:val="00DC4A50"/>
    <w:rsid w:val="00DD3735"/>
    <w:rsid w:val="00DD3C0A"/>
    <w:rsid w:val="00DE6CAB"/>
    <w:rsid w:val="00DE70E9"/>
    <w:rsid w:val="00DE7774"/>
    <w:rsid w:val="00E0381D"/>
    <w:rsid w:val="00E04313"/>
    <w:rsid w:val="00E05E5A"/>
    <w:rsid w:val="00E103E9"/>
    <w:rsid w:val="00E137CD"/>
    <w:rsid w:val="00E23745"/>
    <w:rsid w:val="00E238D5"/>
    <w:rsid w:val="00E23C2C"/>
    <w:rsid w:val="00E3596D"/>
    <w:rsid w:val="00E46EE4"/>
    <w:rsid w:val="00E628B9"/>
    <w:rsid w:val="00E62D3B"/>
    <w:rsid w:val="00E62F32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F0726"/>
    <w:rsid w:val="00EF0936"/>
    <w:rsid w:val="00EF23FD"/>
    <w:rsid w:val="00EF4F3D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638F"/>
    <w:rsid w:val="00F72337"/>
    <w:rsid w:val="00F75F96"/>
    <w:rsid w:val="00F84946"/>
    <w:rsid w:val="00F8551E"/>
    <w:rsid w:val="00F93F0A"/>
    <w:rsid w:val="00F94157"/>
    <w:rsid w:val="00FA1537"/>
    <w:rsid w:val="00FA5186"/>
    <w:rsid w:val="00FA5B61"/>
    <w:rsid w:val="00FB6356"/>
    <w:rsid w:val="00FD0E52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7F80338-0F1A-4BD3-A0AD-C8E04BD8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A07104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zabek.kg/datenews:201804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energo.gov.by/2018/04/1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.kg/vlast/26467_prezident_podpisal_zakonyi_o_denonsatsii_soglasheniy_s_rossiey_o_stroitelstve_verhnenaryinskogo_kaskada_g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02E3-B16C-4FCD-A7AA-8CFF4A22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Дюсенов Ержан</cp:lastModifiedBy>
  <cp:revision>7</cp:revision>
  <cp:lastPrinted>2018-07-05T05:22:00Z</cp:lastPrinted>
  <dcterms:created xsi:type="dcterms:W3CDTF">2018-07-11T06:12:00Z</dcterms:created>
  <dcterms:modified xsi:type="dcterms:W3CDTF">2018-07-11T09:49:00Z</dcterms:modified>
</cp:coreProperties>
</file>