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43" w:rsidRPr="00306A9D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F06A8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583E36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437A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437A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437A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04437A">
        <w:rPr>
          <w:rFonts w:ascii="Times New Roman" w:hAnsi="Times New Roman" w:cs="Times New Roman"/>
          <w:b/>
          <w:sz w:val="28"/>
        </w:rPr>
        <w:t xml:space="preserve">И УГЛЯ </w:t>
      </w:r>
      <w:r w:rsidRPr="0004437A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04437A" w:rsidRDefault="007943E5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437A">
        <w:rPr>
          <w:rFonts w:ascii="Times New Roman" w:hAnsi="Times New Roman" w:cs="Times New Roman"/>
          <w:b/>
          <w:sz w:val="28"/>
        </w:rPr>
        <w:t>ЯНВАРЬ-</w:t>
      </w:r>
      <w:r w:rsidR="00F95F09" w:rsidRPr="00C02054">
        <w:rPr>
          <w:rFonts w:ascii="Times New Roman" w:hAnsi="Times New Roman" w:cs="Times New Roman"/>
          <w:b/>
          <w:sz w:val="28"/>
        </w:rPr>
        <w:t>ИЮНЬ</w:t>
      </w:r>
      <w:r w:rsidRPr="0004437A">
        <w:rPr>
          <w:rFonts w:ascii="Times New Roman" w:hAnsi="Times New Roman" w:cs="Times New Roman"/>
          <w:b/>
          <w:sz w:val="28"/>
        </w:rPr>
        <w:t>2020 ГОДА</w:t>
      </w: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437A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04437A" w:rsidRDefault="007943E5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04437A" w:rsidRDefault="007943E5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04437A" w:rsidRDefault="007943E5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04437A" w:rsidRDefault="007943E5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04437A" w:rsidRDefault="00984FBA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04437A" w:rsidRDefault="000C3143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04437A" w:rsidRDefault="00F95F09" w:rsidP="00346C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2054">
        <w:rPr>
          <w:rFonts w:ascii="Times New Roman" w:hAnsi="Times New Roman" w:cs="Times New Roman"/>
          <w:b/>
          <w:sz w:val="28"/>
        </w:rPr>
        <w:t>Август</w:t>
      </w:r>
      <w:r w:rsidR="00512A3A" w:rsidRPr="0004437A">
        <w:rPr>
          <w:rFonts w:ascii="Times New Roman" w:hAnsi="Times New Roman" w:cs="Times New Roman"/>
          <w:b/>
          <w:sz w:val="28"/>
        </w:rPr>
        <w:t>, 2020г.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04437A" w:rsidRDefault="00545712" w:rsidP="00346CFD">
          <w:pPr>
            <w:pStyle w:val="afb"/>
            <w:tabs>
              <w:tab w:val="left" w:pos="0"/>
            </w:tabs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04437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04437A">
            <w:fldChar w:fldCharType="begin"/>
          </w:r>
          <w:r w:rsidR="00545712" w:rsidRPr="0004437A">
            <w:instrText xml:space="preserve"> TOC \o "1-3" \h \z \u </w:instrText>
          </w:r>
          <w:r w:rsidRPr="0004437A">
            <w:fldChar w:fldCharType="separate"/>
          </w:r>
          <w:hyperlink w:anchor="_Toc34079808" w:history="1">
            <w:r w:rsidR="007E04CE" w:rsidRPr="0004437A">
              <w:rPr>
                <w:rStyle w:val="aa"/>
                <w:b/>
              </w:rPr>
              <w:t xml:space="preserve">РАЗДЕЛ </w:t>
            </w:r>
            <w:r w:rsidR="007E04CE" w:rsidRPr="0004437A">
              <w:rPr>
                <w:rStyle w:val="aa"/>
                <w:b/>
                <w:lang w:val="en-US"/>
              </w:rPr>
              <w:t>I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_Toc34079808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5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09" w:history="1">
            <w:r w:rsidR="007E04CE" w:rsidRPr="0004437A">
              <w:rPr>
                <w:rStyle w:val="aa"/>
                <w:b/>
              </w:rPr>
              <w:t>1.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_Toc34079809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5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0" w:history="1">
            <w:r w:rsidR="007E04CE" w:rsidRPr="0004437A">
              <w:rPr>
                <w:rStyle w:val="aa"/>
                <w:i/>
              </w:rPr>
              <w:t>Производство электроэнергии по областям РК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_Toc34079810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5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1" w:history="1">
            <w:r w:rsidR="007E04CE" w:rsidRPr="0004437A">
              <w:rPr>
                <w:rStyle w:val="aa"/>
                <w:i/>
              </w:rPr>
              <w:t>Производство электроэнергии связанной генерацией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_Toc34079811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6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2" w:history="1">
            <w:r w:rsidR="007E04CE" w:rsidRPr="0004437A">
              <w:rPr>
                <w:rStyle w:val="aa"/>
                <w:b/>
              </w:rPr>
              <w:t>2.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Потребление электрической энергии в ЕЭС Казахстана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_Toc34079812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7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3" w:history="1">
            <w:r w:rsidR="007E04CE" w:rsidRPr="0004437A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_Toc34079813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7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4" w:history="1">
            <w:r w:rsidR="007E04CE" w:rsidRPr="0004437A">
              <w:rPr>
                <w:rStyle w:val="aa"/>
                <w:b/>
              </w:rPr>
              <w:t>Итоги работы промышленности за январь</w:t>
            </w:r>
            <w:r w:rsidR="007943E5" w:rsidRPr="0004437A">
              <w:rPr>
                <w:rStyle w:val="aa"/>
                <w:b/>
              </w:rPr>
              <w:t>-</w:t>
            </w:r>
            <w:r w:rsidR="00F95F09">
              <w:rPr>
                <w:rStyle w:val="aa"/>
                <w:b/>
              </w:rPr>
              <w:t>июнь</w:t>
            </w:r>
            <w:r w:rsidR="007E04CE" w:rsidRPr="0004437A">
              <w:rPr>
                <w:rStyle w:val="aa"/>
                <w:b/>
              </w:rPr>
              <w:t xml:space="preserve"> 2020 год</w:t>
            </w:r>
            <w:r w:rsidR="00985E1F" w:rsidRPr="0004437A">
              <w:rPr>
                <w:rStyle w:val="aa"/>
                <w:b/>
              </w:rPr>
              <w:t>а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_Toc34079814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7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5" w:history="1">
            <w:r w:rsidR="007E04CE" w:rsidRPr="0004437A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_Toc34079815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9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6" w:history="1">
            <w:r w:rsidR="007E04CE" w:rsidRPr="0004437A">
              <w:rPr>
                <w:rStyle w:val="aa"/>
                <w:b/>
              </w:rPr>
              <w:t>3.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Уголь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_Toc34079816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10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7" w:history="1">
            <w:r w:rsidR="007E04CE" w:rsidRPr="0004437A">
              <w:rPr>
                <w:rStyle w:val="aa"/>
                <w:i/>
              </w:rPr>
              <w:t>Добыча угля АО «Самрук-Энерго»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_Toc34079817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10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8" w:history="1">
            <w:r w:rsidR="007E04CE" w:rsidRPr="0004437A">
              <w:rPr>
                <w:rStyle w:val="aa"/>
                <w:i/>
              </w:rPr>
              <w:t>Реализация угля АО «Самрук-Энерго»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_Toc34079818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10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9" w:history="1">
            <w:r w:rsidR="007E04CE" w:rsidRPr="0004437A">
              <w:rPr>
                <w:rStyle w:val="aa"/>
                <w:b/>
              </w:rPr>
              <w:t>4.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Возобновляемые источники энергии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_Toc34079819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10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0" w:history="1">
            <w:r w:rsidR="007E04CE" w:rsidRPr="0004437A">
              <w:rPr>
                <w:rStyle w:val="aa"/>
                <w:b/>
              </w:rPr>
              <w:t>5.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Централизованные торги электроэнергией АО «КОРЭМ»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_Toc34079820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11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1" w:history="1">
            <w:r w:rsidR="007E04CE" w:rsidRPr="0004437A">
              <w:rPr>
                <w:rStyle w:val="aa"/>
                <w:b/>
              </w:rPr>
              <w:t>6.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Экспорт-импорт электрической энергии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_Toc34079821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11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2" w:history="1">
            <w:r w:rsidR="007E04CE" w:rsidRPr="0004437A">
              <w:rPr>
                <w:rStyle w:val="aa"/>
                <w:b/>
              </w:rPr>
              <w:t>РАЗДЕЛ II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_Toc34079822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13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3" w:history="1">
            <w:r w:rsidR="007E04CE" w:rsidRPr="0004437A">
              <w:rPr>
                <w:rStyle w:val="aa"/>
                <w:b/>
              </w:rPr>
              <w:t>1.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_Toc34079823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13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4" w:history="1">
            <w:r w:rsidR="007E04CE" w:rsidRPr="0004437A">
              <w:rPr>
                <w:rStyle w:val="aa"/>
                <w:b/>
              </w:rPr>
              <w:t>2.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_Toc34079824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13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5" w:history="1">
            <w:r w:rsidR="007E04CE" w:rsidRPr="0004437A">
              <w:rPr>
                <w:rStyle w:val="aa"/>
                <w:b/>
              </w:rPr>
              <w:t>3.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Статус реализации проекта CASA-1000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_Toc34079825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14</w:t>
            </w:r>
            <w:r w:rsidRPr="0004437A">
              <w:rPr>
                <w:webHidden/>
              </w:rPr>
              <w:fldChar w:fldCharType="end"/>
            </w:r>
          </w:hyperlink>
        </w:p>
        <w:p w:rsidR="007E04CE" w:rsidRPr="0004437A" w:rsidRDefault="00F30861" w:rsidP="00346CFD">
          <w:pPr>
            <w:pStyle w:val="11"/>
            <w:tabs>
              <w:tab w:val="left" w:pos="0"/>
            </w:tabs>
            <w:spacing w:before="0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6" w:history="1">
            <w:r w:rsidR="007E04CE" w:rsidRPr="0004437A">
              <w:rPr>
                <w:rStyle w:val="aa"/>
                <w:b/>
              </w:rPr>
              <w:t>4.</w:t>
            </w:r>
            <w:r w:rsidR="007E04CE" w:rsidRPr="0004437A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04437A">
              <w:rPr>
                <w:rStyle w:val="aa"/>
                <w:b/>
              </w:rPr>
              <w:t>Обзор СМИ в странах СНГ</w:t>
            </w:r>
            <w:r w:rsidR="007E04CE" w:rsidRPr="0004437A">
              <w:rPr>
                <w:webHidden/>
              </w:rPr>
              <w:tab/>
            </w:r>
            <w:r w:rsidRPr="0004437A">
              <w:rPr>
                <w:webHidden/>
              </w:rPr>
              <w:fldChar w:fldCharType="begin"/>
            </w:r>
            <w:r w:rsidR="007E04CE" w:rsidRPr="0004437A">
              <w:rPr>
                <w:webHidden/>
              </w:rPr>
              <w:instrText xml:space="preserve"> PAGEREF _Toc34079826 \h </w:instrText>
            </w:r>
            <w:r w:rsidRPr="0004437A">
              <w:rPr>
                <w:webHidden/>
              </w:rPr>
            </w:r>
            <w:r w:rsidRPr="0004437A">
              <w:rPr>
                <w:webHidden/>
              </w:rPr>
              <w:fldChar w:fldCharType="separate"/>
            </w:r>
            <w:r w:rsidR="007E04CE" w:rsidRPr="0004437A">
              <w:rPr>
                <w:webHidden/>
              </w:rPr>
              <w:t>15</w:t>
            </w:r>
            <w:r w:rsidRPr="0004437A">
              <w:rPr>
                <w:webHidden/>
              </w:rPr>
              <w:fldChar w:fldCharType="end"/>
            </w:r>
          </w:hyperlink>
        </w:p>
        <w:p w:rsidR="00545712" w:rsidRPr="0004437A" w:rsidRDefault="00F30861" w:rsidP="00346CFD">
          <w:pPr>
            <w:tabs>
              <w:tab w:val="left" w:pos="0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04437A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04437A" w:rsidRDefault="00995E50" w:rsidP="00346CFD">
      <w:pPr>
        <w:pStyle w:val="11"/>
        <w:tabs>
          <w:tab w:val="left" w:pos="0"/>
        </w:tabs>
        <w:spacing w:before="0"/>
        <w:rPr>
          <w:lang w:val="en-US"/>
        </w:rPr>
      </w:pPr>
    </w:p>
    <w:p w:rsidR="001D295E" w:rsidRPr="0004437A" w:rsidRDefault="001D295E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04437A" w:rsidRDefault="00F47C61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04437A" w:rsidRDefault="00F47C61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C71038" w:rsidRPr="0004437A" w:rsidRDefault="00C71038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246FD" w:rsidRPr="0004437A" w:rsidRDefault="005246FD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437A">
        <w:rPr>
          <w:rFonts w:ascii="Times New Roman" w:hAnsi="Times New Roman" w:cs="Times New Roman"/>
        </w:rPr>
        <w:br w:type="page"/>
      </w:r>
    </w:p>
    <w:p w:rsidR="00CB6062" w:rsidRPr="0004437A" w:rsidRDefault="00B94F51" w:rsidP="00346CFD">
      <w:pPr>
        <w:pStyle w:val="1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34079808"/>
      <w:r w:rsidRPr="0004437A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04437A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04437A" w:rsidRDefault="008A363F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04437A" w:rsidRDefault="00541D3A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34079809"/>
      <w:r w:rsidRPr="0004437A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04437A" w:rsidRDefault="00F31222" w:rsidP="00346C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F95F09" w:rsidRPr="00C02054" w:rsidRDefault="00F95F09" w:rsidP="00346C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2054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</w:t>
      </w:r>
      <w:r>
        <w:rPr>
          <w:rFonts w:ascii="Times New Roman" w:hAnsi="Times New Roman" w:cs="Times New Roman"/>
          <w:sz w:val="28"/>
        </w:rPr>
        <w:t>июне</w:t>
      </w:r>
      <w:r w:rsidRPr="00C02054">
        <w:rPr>
          <w:rFonts w:ascii="Times New Roman" w:hAnsi="Times New Roman" w:cs="Times New Roman"/>
          <w:sz w:val="28"/>
        </w:rPr>
        <w:t xml:space="preserve"> 2020 года было выработано 53 502,6 млн. кВтч электроэнергии, что на 3% больше аналогичного периода 2019 года. Увеличение выработки наблюдалось во всех зонах ЕЭС Казахстана.</w:t>
      </w:r>
    </w:p>
    <w:p w:rsidR="00F95F09" w:rsidRPr="00C02054" w:rsidRDefault="00F95F09" w:rsidP="00346CF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02054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13" w:type="dxa"/>
        <w:jc w:val="center"/>
        <w:tblLook w:val="04A0"/>
      </w:tblPr>
      <w:tblGrid>
        <w:gridCol w:w="2258"/>
        <w:gridCol w:w="2552"/>
        <w:gridCol w:w="1843"/>
        <w:gridCol w:w="1842"/>
        <w:gridCol w:w="1418"/>
      </w:tblGrid>
      <w:tr w:rsidR="00F95F09" w:rsidRPr="00C02054" w:rsidTr="00F95F09">
        <w:trPr>
          <w:trHeight w:val="272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F95F09" w:rsidRPr="00C02054" w:rsidTr="00F95F09">
        <w:trPr>
          <w:trHeight w:val="249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5F09" w:rsidRPr="00C02054" w:rsidTr="00F95F09">
        <w:trPr>
          <w:trHeight w:val="394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41969,0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-3,3%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66,5%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291,9%</w:t>
            </w:r>
          </w:p>
        </w:tc>
      </w:tr>
      <w:tr w:rsidR="00F95F09" w:rsidRPr="00C02054" w:rsidTr="00F95F09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39714,3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34589,4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-5,1%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190,8%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226,3%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-4,5%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350,4%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39,7%</w:t>
            </w:r>
          </w:p>
        </w:tc>
      </w:tr>
      <w:tr w:rsidR="00F95F09" w:rsidRPr="00C02054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C02054" w:rsidRDefault="00F95F09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0,0%</w:t>
            </w:r>
          </w:p>
        </w:tc>
      </w:tr>
    </w:tbl>
    <w:p w:rsidR="00D309A9" w:rsidRPr="0004437A" w:rsidRDefault="00D309A9" w:rsidP="00346CF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D309A9" w:rsidRPr="0004437A" w:rsidRDefault="00D309A9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10196463"/>
      <w:bookmarkStart w:id="3" w:name="_Toc34125246"/>
      <w:r w:rsidRPr="0004437A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  <w:bookmarkEnd w:id="3"/>
    </w:p>
    <w:p w:rsidR="003663EF" w:rsidRPr="0004437A" w:rsidRDefault="003663EF" w:rsidP="00346C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95F09" w:rsidRPr="00C02054" w:rsidRDefault="00F95F09" w:rsidP="00346C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Toc34079811"/>
      <w:r w:rsidRPr="00C02054">
        <w:rPr>
          <w:rFonts w:ascii="Times New Roman" w:hAnsi="Times New Roman" w:cs="Times New Roman"/>
          <w:sz w:val="28"/>
        </w:rPr>
        <w:t xml:space="preserve">В январе-июне 2020 года по сравнению с аналогичным периодом 2019 года производство электроэнергии значительно увеличилось (рост 20% и выше) в Костанайской, Туркестанской и Кызылординской областях. В то же время, снижение производства электроэнергии наблюдалось в Жамбылской и Восточно-Казахстанской областях. </w:t>
      </w:r>
    </w:p>
    <w:p w:rsidR="00C16EF2" w:rsidRPr="0004437A" w:rsidRDefault="00C16EF2" w:rsidP="00346C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16EF2" w:rsidRPr="0004437A" w:rsidRDefault="00C16EF2" w:rsidP="00346CF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4437A">
        <w:rPr>
          <w:rFonts w:ascii="Times New Roman" w:hAnsi="Times New Roman" w:cs="Times New Roman"/>
          <w:i/>
          <w:sz w:val="24"/>
        </w:rPr>
        <w:lastRenderedPageBreak/>
        <w:t>млн. кВтч</w:t>
      </w:r>
    </w:p>
    <w:tbl>
      <w:tblPr>
        <w:tblW w:w="9913" w:type="dxa"/>
        <w:tblInd w:w="118" w:type="dxa"/>
        <w:tblLook w:val="04A0"/>
      </w:tblPr>
      <w:tblGrid>
        <w:gridCol w:w="740"/>
        <w:gridCol w:w="4070"/>
        <w:gridCol w:w="1984"/>
        <w:gridCol w:w="1985"/>
        <w:gridCol w:w="1134"/>
      </w:tblGrid>
      <w:tr w:rsidR="00526154" w:rsidRPr="00C02054" w:rsidTr="003C013A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526154" w:rsidRPr="00C02054" w:rsidTr="003C013A">
        <w:trPr>
          <w:trHeight w:val="216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2 239,6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2 378,1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6,2%</w:t>
            </w:r>
          </w:p>
        </w:tc>
      </w:tr>
      <w:tr w:rsidR="00526154" w:rsidRPr="00C02054" w:rsidTr="003C013A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1 944,5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2 049,0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</w:tr>
      <w:tr w:rsidR="00526154" w:rsidRPr="00C02054" w:rsidTr="003C013A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3 534,6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3 693,8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2 880,9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3 137,6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4 920,7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4 775,2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1 186,6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1 169,4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1 140,1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1 174,2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8 257,9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8 411,8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471,1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587,1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24,6%</w:t>
            </w:r>
          </w:p>
        </w:tc>
      </w:tr>
      <w:tr w:rsidR="00526154" w:rsidRPr="00C02054" w:rsidTr="003C013A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221,4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279,8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26,4%</w:t>
            </w:r>
          </w:p>
        </w:tc>
      </w:tr>
      <w:tr w:rsidR="00526154" w:rsidRPr="00C02054" w:rsidTr="003C013A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2 620,4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2 598,4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20 181,3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20 711,1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1 699,2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1 730,0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1,8%</w:t>
            </w:r>
          </w:p>
        </w:tc>
      </w:tr>
      <w:tr w:rsidR="00526154" w:rsidRPr="00C02054" w:rsidTr="003C013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645,7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25,0%</w:t>
            </w:r>
          </w:p>
        </w:tc>
      </w:tr>
      <w:tr w:rsidR="00526154" w:rsidRPr="00C02054" w:rsidTr="003C013A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51 944,0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3,0%</w:t>
            </w:r>
          </w:p>
        </w:tc>
      </w:tr>
    </w:tbl>
    <w:p w:rsidR="00D309A9" w:rsidRPr="0004437A" w:rsidRDefault="00D309A9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04437A" w:rsidRDefault="00BC6332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04437A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4"/>
    </w:p>
    <w:p w:rsidR="00526154" w:rsidRPr="00C02054" w:rsidRDefault="00526154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02054">
        <w:rPr>
          <w:rFonts w:ascii="Times New Roman" w:hAnsi="Times New Roman" w:cs="Times New Roman"/>
          <w:sz w:val="28"/>
        </w:rPr>
        <w:t xml:space="preserve">За шесть месяцев 2020 года производство электроэнергии связанной генерацией составило </w:t>
      </w:r>
      <w:r w:rsidR="0052602D">
        <w:rPr>
          <w:rFonts w:ascii="Times New Roman" w:hAnsi="Times New Roman" w:cs="Times New Roman"/>
          <w:sz w:val="28"/>
          <w:lang w:val="kk-KZ"/>
        </w:rPr>
        <w:t>22,5</w:t>
      </w:r>
      <w:r w:rsidRPr="00C02054">
        <w:rPr>
          <w:rFonts w:ascii="Times New Roman" w:hAnsi="Times New Roman" w:cs="Times New Roman"/>
          <w:sz w:val="28"/>
        </w:rPr>
        <w:t>млрд. кВтч, что превышает аналогичный период 2019 года (</w:t>
      </w:r>
      <w:r w:rsidR="0052602D">
        <w:rPr>
          <w:rFonts w:ascii="Times New Roman" w:hAnsi="Times New Roman" w:cs="Times New Roman"/>
          <w:sz w:val="28"/>
          <w:lang w:val="kk-KZ"/>
        </w:rPr>
        <w:t>22,8</w:t>
      </w:r>
      <w:r w:rsidRPr="00C02054">
        <w:rPr>
          <w:rFonts w:ascii="Times New Roman" w:hAnsi="Times New Roman" w:cs="Times New Roman"/>
          <w:sz w:val="28"/>
        </w:rPr>
        <w:t xml:space="preserve">млрд. кВтч). Вместе с тем, по сравнению с январем-июнем 2019 года доля связанной генерации незначительно увеличилась, и составила </w:t>
      </w:r>
      <w:r w:rsidR="0052602D" w:rsidRPr="004A4BF8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52602D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52602D" w:rsidRPr="004A4BF8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52602D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Pr="00C02054">
        <w:rPr>
          <w:rFonts w:ascii="Times New Roman" w:hAnsi="Times New Roman" w:cs="Times New Roman"/>
          <w:sz w:val="28"/>
        </w:rPr>
        <w:t xml:space="preserve">% от общего объема производства электроэнергии в РК. </w:t>
      </w:r>
    </w:p>
    <w:p w:rsidR="00C16EF2" w:rsidRPr="0004437A" w:rsidRDefault="00C16EF2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4A4775" w:rsidRPr="0004437A" w:rsidRDefault="004A4775" w:rsidP="00346CFD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04437A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46" w:type="dxa"/>
        <w:jc w:val="center"/>
        <w:tblLayout w:type="fixed"/>
        <w:tblLook w:val="04A0"/>
      </w:tblPr>
      <w:tblGrid>
        <w:gridCol w:w="582"/>
        <w:gridCol w:w="3261"/>
        <w:gridCol w:w="1701"/>
        <w:gridCol w:w="1559"/>
        <w:gridCol w:w="1843"/>
        <w:gridCol w:w="1100"/>
      </w:tblGrid>
      <w:tr w:rsidR="007943E5" w:rsidRPr="0004437A" w:rsidTr="00C16EF2">
        <w:trPr>
          <w:trHeight w:val="3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04437A" w:rsidRDefault="007943E5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04437A" w:rsidRDefault="007943E5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5" w:rsidRPr="0004437A" w:rsidRDefault="007943E5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04437A" w:rsidRDefault="007943E5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C70E44" w:rsidRPr="0004437A" w:rsidTr="00C16EF2">
        <w:trPr>
          <w:trHeight w:val="319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04437A" w:rsidRDefault="00C70E4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04437A" w:rsidRDefault="00C70E4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04437A" w:rsidRDefault="00647A43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52602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04437A" w:rsidRDefault="00C70E4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04437A" w:rsidRDefault="00647A43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52602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04437A" w:rsidRDefault="00C70E4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8 423,6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19,1%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8 136,9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17,9%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«КазахмысЭнерджи»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3 146,3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7,1%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3 313,3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7,3%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1 277,2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1 161,5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2,5%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«АрселлорМиттал»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1 082,3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1 164,2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2,6%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2 904,8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6,6%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2 792,2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6,1%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2 997,3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6,8%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3 166,1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6,9%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826,3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749,8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1,6%</w:t>
            </w:r>
          </w:p>
        </w:tc>
      </w:tr>
      <w:tr w:rsidR="0052602D" w:rsidRPr="0004437A" w:rsidTr="00C16EF2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2 164,8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4,9%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2 106,5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EF2">
              <w:rPr>
                <w:rFonts w:ascii="Times New Roman" w:hAnsi="Times New Roman" w:cs="Times New Roman"/>
                <w:bCs/>
                <w:color w:val="000000" w:themeColor="text1"/>
              </w:rPr>
              <w:t>4,6%</w:t>
            </w:r>
          </w:p>
        </w:tc>
      </w:tr>
      <w:tr w:rsidR="0052602D" w:rsidRPr="0004437A" w:rsidTr="00526154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04437A" w:rsidRDefault="0052602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F2">
              <w:rPr>
                <w:rFonts w:ascii="Times New Roman" w:hAnsi="Times New Roman" w:cs="Times New Roman"/>
                <w:b/>
                <w:bCs/>
              </w:rPr>
              <w:t>22 822,6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F2">
              <w:rPr>
                <w:rFonts w:ascii="Times New Roman" w:hAnsi="Times New Roman" w:cs="Times New Roman"/>
                <w:b/>
                <w:bCs/>
              </w:rPr>
              <w:t>51,7%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F2">
              <w:rPr>
                <w:rFonts w:ascii="Times New Roman" w:hAnsi="Times New Roman" w:cs="Times New Roman"/>
                <w:b/>
                <w:bCs/>
              </w:rPr>
              <w:t>22 590,5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2D" w:rsidRPr="00C16EF2" w:rsidRDefault="0052602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F2">
              <w:rPr>
                <w:rFonts w:ascii="Times New Roman" w:hAnsi="Times New Roman" w:cs="Times New Roman"/>
                <w:b/>
                <w:bCs/>
              </w:rPr>
              <w:t>49,6%</w:t>
            </w:r>
          </w:p>
        </w:tc>
      </w:tr>
    </w:tbl>
    <w:p w:rsidR="00CD400E" w:rsidRPr="0004437A" w:rsidRDefault="00CD400E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6154" w:rsidRPr="00C02054" w:rsidRDefault="00526154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2054">
        <w:rPr>
          <w:rFonts w:ascii="Times New Roman" w:hAnsi="Times New Roman" w:cs="Times New Roman"/>
          <w:sz w:val="28"/>
        </w:rPr>
        <w:t>Объем производства электроэнергии энергопроизводящими организациями АО «Самрук-Энерго» за январь</w:t>
      </w:r>
      <w:r w:rsidRPr="00C02054">
        <w:rPr>
          <w:rFonts w:ascii="Times New Roman" w:hAnsi="Times New Roman" w:cs="Times New Roman"/>
          <w:sz w:val="28"/>
          <w:lang w:val="kk-KZ"/>
        </w:rPr>
        <w:t>-</w:t>
      </w:r>
      <w:r w:rsidRPr="00C02054">
        <w:rPr>
          <w:rFonts w:ascii="Times New Roman" w:hAnsi="Times New Roman" w:cs="Times New Roman"/>
          <w:sz w:val="28"/>
        </w:rPr>
        <w:t xml:space="preserve">июнь 2020 года </w:t>
      </w:r>
      <w:r w:rsidRPr="00C0205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2602D" w:rsidRPr="00792F42">
        <w:rPr>
          <w:rFonts w:ascii="Times New Roman" w:hAnsi="Times New Roman" w:cs="Times New Roman"/>
          <w:bCs/>
          <w:sz w:val="28"/>
          <w:szCs w:val="28"/>
          <w:lang w:val="kk-KZ"/>
        </w:rPr>
        <w:t>12 225,7</w:t>
      </w:r>
      <w:r w:rsidRPr="00C02054">
        <w:rPr>
          <w:rFonts w:ascii="Times New Roman" w:hAnsi="Times New Roman" w:cs="Times New Roman"/>
          <w:sz w:val="28"/>
        </w:rPr>
        <w:t>млн. кВтч или увеличение на 5,2% в сравнении с показателями аналогичного периода 2019 года.</w:t>
      </w:r>
    </w:p>
    <w:p w:rsidR="00C16EF2" w:rsidRPr="0004437A" w:rsidRDefault="00C16EF2" w:rsidP="00346CFD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4437A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80" w:type="dxa"/>
        <w:tblInd w:w="93" w:type="dxa"/>
        <w:tblLook w:val="04A0"/>
      </w:tblPr>
      <w:tblGrid>
        <w:gridCol w:w="442"/>
        <w:gridCol w:w="3231"/>
        <w:gridCol w:w="1003"/>
        <w:gridCol w:w="1148"/>
        <w:gridCol w:w="1003"/>
        <w:gridCol w:w="1148"/>
        <w:gridCol w:w="1134"/>
        <w:gridCol w:w="971"/>
      </w:tblGrid>
      <w:tr w:rsidR="00526154" w:rsidRPr="00C02054" w:rsidTr="003C013A">
        <w:trPr>
          <w:trHeight w:val="31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2020г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2019/2020гг</w:t>
            </w:r>
          </w:p>
        </w:tc>
      </w:tr>
      <w:tr w:rsidR="00526154" w:rsidRPr="00C02054" w:rsidTr="003C013A">
        <w:trPr>
          <w:trHeight w:val="31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июнь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июнь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526154" w:rsidRPr="00C02054" w:rsidTr="003C013A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13 525,2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14 233,2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5,2%</w:t>
            </w:r>
          </w:p>
        </w:tc>
      </w:tr>
      <w:tr w:rsidR="00526154" w:rsidRPr="00C02054" w:rsidTr="003C013A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«АлЭС»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2 815,7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1,7%</w:t>
            </w:r>
          </w:p>
        </w:tc>
      </w:tr>
      <w:tr w:rsidR="00526154" w:rsidRPr="00C02054" w:rsidTr="003C013A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7 199,7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13,9%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8 483,9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1 284,2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17,8%</w:t>
            </w:r>
          </w:p>
        </w:tc>
      </w:tr>
      <w:tr w:rsidR="00526154" w:rsidRPr="00C02054" w:rsidTr="003C013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2 725,2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2 079,6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-645,6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-23,7%</w:t>
            </w:r>
          </w:p>
        </w:tc>
      </w:tr>
      <w:tr w:rsidR="00526154" w:rsidRPr="00C02054" w:rsidTr="003C013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265,6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320,5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20,7%</w:t>
            </w:r>
          </w:p>
        </w:tc>
      </w:tr>
      <w:tr w:rsidR="00526154" w:rsidRPr="00C02054" w:rsidTr="003C013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486,1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445,7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-8,3%</w:t>
            </w:r>
          </w:p>
        </w:tc>
      </w:tr>
      <w:tr w:rsidR="00526154" w:rsidRPr="00C02054" w:rsidTr="003C013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«Samruk-GreenEnergy»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21,0%</w:t>
            </w:r>
          </w:p>
        </w:tc>
      </w:tr>
      <w:tr w:rsidR="00526154" w:rsidRPr="00C02054" w:rsidTr="003C013A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10,9%</w:t>
            </w:r>
          </w:p>
        </w:tc>
      </w:tr>
    </w:tbl>
    <w:p w:rsidR="004A4775" w:rsidRPr="0004437A" w:rsidRDefault="004A4775" w:rsidP="00346CFD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3EF" w:rsidRPr="0004437A" w:rsidRDefault="003663EF" w:rsidP="00346CFD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04437A" w:rsidRDefault="004A4775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516129783"/>
      <w:bookmarkStart w:id="6" w:name="_Toc34079812"/>
      <w:r w:rsidRPr="0004437A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3663EF" w:rsidRPr="0004437A" w:rsidRDefault="003663EF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34079813"/>
    </w:p>
    <w:p w:rsidR="004A4775" w:rsidRPr="0004437A" w:rsidRDefault="004A4775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04437A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3663EF" w:rsidRPr="0004437A" w:rsidRDefault="003663EF" w:rsidP="00346CFD">
      <w:pPr>
        <w:tabs>
          <w:tab w:val="left" w:pos="0"/>
        </w:tabs>
        <w:spacing w:after="0" w:line="240" w:lineRule="auto"/>
      </w:pPr>
    </w:p>
    <w:p w:rsidR="00526154" w:rsidRPr="00C02054" w:rsidRDefault="00526154" w:rsidP="00346CF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9" w:name="_Toc34125251"/>
      <w:r w:rsidRPr="00C02054">
        <w:rPr>
          <w:rFonts w:ascii="Times New Roman" w:hAnsi="Times New Roman" w:cs="Times New Roman"/>
          <w:sz w:val="28"/>
        </w:rPr>
        <w:t>По данным Системного оператора, в январе-июне 2020 года наблюдался рост в динамике потребления электрической энергии республики в сравнении с показателями января-июня 2019 года на 2%. Так, в северной зоне республики потребление увеличилось на 2%, в западной на 4% и в южной на 2%.</w:t>
      </w:r>
    </w:p>
    <w:p w:rsidR="00526154" w:rsidRPr="00C02054" w:rsidRDefault="00526154" w:rsidP="00346CFD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02054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3184"/>
        <w:gridCol w:w="1701"/>
        <w:gridCol w:w="1701"/>
        <w:gridCol w:w="1701"/>
        <w:gridCol w:w="1135"/>
      </w:tblGrid>
      <w:tr w:rsidR="00526154" w:rsidRPr="00C02054" w:rsidTr="003C013A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июнь 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июнь 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</w:p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 кВтч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51971,7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53 134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1162,3</w:t>
            </w:r>
          </w:p>
        </w:tc>
        <w:tc>
          <w:tcPr>
            <w:tcW w:w="1135" w:type="dxa"/>
            <w:shd w:val="clear" w:color="auto" w:fill="17365D" w:themeFill="text2" w:themeFillShade="BF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2%</w:t>
            </w:r>
          </w:p>
        </w:tc>
      </w:tr>
      <w:tr w:rsidR="00526154" w:rsidRPr="00C02054" w:rsidTr="003C013A">
        <w:trPr>
          <w:trHeight w:val="303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34289,3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34 987,1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697,8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6682,4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6 936,5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526154" w:rsidRPr="00C02054" w:rsidTr="003C013A">
        <w:trPr>
          <w:trHeight w:val="241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11 210,4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526154" w:rsidRPr="00C02054" w:rsidTr="003C013A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т.ч. по областям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4674,8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4 719,3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8892,2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9 210,8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3288,7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3 169,7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-119,0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2246,2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2 184,1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-62,1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2379,7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2 274,9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-104,8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9597,7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10 159,8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Атырауская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3106,1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3 241,9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Мангистауская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2557,9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2 561,8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0,2%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3209,9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3 268,7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1018,4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1 132,7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5511,6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5 511,9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0,01%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2459,4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2 495,4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2167,2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2 352,4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526154" w:rsidRPr="00C02054" w:rsidTr="003C013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861,8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850,6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-11,2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6154" w:rsidRPr="00C02054" w:rsidRDefault="00526154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20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</w:tbl>
    <w:p w:rsidR="007943E5" w:rsidRPr="0004437A" w:rsidRDefault="007943E5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bookmarkEnd w:id="9"/>
    <w:p w:rsidR="00776138" w:rsidRPr="0004437A" w:rsidRDefault="00776138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04437A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за январь-</w:t>
      </w:r>
      <w:r w:rsidR="00526154">
        <w:rPr>
          <w:rFonts w:ascii="Times New Roman" w:hAnsi="Times New Roman" w:cs="Times New Roman"/>
          <w:b/>
          <w:color w:val="auto"/>
          <w:sz w:val="28"/>
        </w:rPr>
        <w:t>июнь 2</w:t>
      </w:r>
      <w:r w:rsidRPr="0004437A">
        <w:rPr>
          <w:rFonts w:ascii="Times New Roman" w:hAnsi="Times New Roman" w:cs="Times New Roman"/>
          <w:b/>
          <w:color w:val="auto"/>
          <w:sz w:val="28"/>
        </w:rPr>
        <w:t xml:space="preserve">020 года </w:t>
      </w:r>
    </w:p>
    <w:p w:rsidR="00776138" w:rsidRPr="0004437A" w:rsidRDefault="00776138" w:rsidP="00346CFD">
      <w:pPr>
        <w:pStyle w:val="ab"/>
        <w:tabs>
          <w:tab w:val="left" w:pos="0"/>
        </w:tabs>
        <w:spacing w:before="0" w:beforeAutospacing="0" w:after="0" w:afterAutospacing="0"/>
        <w:jc w:val="center"/>
        <w:rPr>
          <w:i/>
          <w:szCs w:val="22"/>
        </w:rPr>
      </w:pPr>
      <w:r w:rsidRPr="0004437A">
        <w:rPr>
          <w:i/>
          <w:szCs w:val="22"/>
        </w:rPr>
        <w:t>(экспресс-информация Комитета по статистике МНЭ РК)</w:t>
      </w:r>
    </w:p>
    <w:p w:rsidR="00B601C1" w:rsidRPr="0004437A" w:rsidRDefault="00B601C1" w:rsidP="00346CFD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январе-июне 2020г. по сравнению с январем-июнем 2019 года индекс промышленного производства составил 103,1%. Увеличение объемов производства </w:t>
      </w: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зафиксировано в 14 регионах республ</w:t>
      </w:r>
      <w:bookmarkStart w:id="10" w:name="_GoBack"/>
      <w:bookmarkEnd w:id="10"/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ики, снижение наблюдалось в Кызылординской, Мангистауской и Актюбинской областях.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02054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C02054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jc w:val="center"/>
        <w:rPr>
          <w:rFonts w:ascii="Times New Roman" w:hAnsi="Times New Roman"/>
        </w:rPr>
      </w:pPr>
      <w:r w:rsidRPr="00C02054">
        <w:rPr>
          <w:rFonts w:ascii="Times New Roman" w:hAnsi="Times New Roman"/>
          <w:noProof/>
        </w:rPr>
        <w:drawing>
          <wp:inline distT="0" distB="0" distL="0" distR="0">
            <wp:extent cx="5284470" cy="276479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отмечен рост добычи урановых руд, возросло производство нерафинированного рапсового масла, обработанного молока, сливочного масла и муки (111,4%).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Костанайской области увеличилась добыча железорудных концентратов, возросло производство муки, прутков и стержней из стали, золота в сплаве Доре, легковых и грузовых автомобилей (109,1%).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г.Нур-Султан возросло производство муки, безалкогольных напитков, аффинированного золота и дизельных локомотивов (107,9%).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Атырауской области за счет увеличения объемов добычи сырой нефти индекс промышленного производства составил 107,1%.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Акмолинской области возросла добыча медных и золотосодержащих концентратов, увеличилось производство муки, портландцемента, золота в сплаве Доре, необработанного золота и тракторов (106%).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Туркестанской области наблюдалось увеличение производство обработанного хлопка, нефтянного битума, товарного бетона и распределительных силовых щитов, и коробок (105,2%).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Алматинской области увеличилось производство кондитерских изделий и шоколада, безалкогольных напитков, сигарет, лекарств, монтажных панелей и приборных щитов (105,1%).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Западно-Казахстанской области из-за увеличения добычи газового конденсата индекс промышленного производства составил 104,6%.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отмечен рост добычи медных и цинковых концентратов, возросло производство плоского проката, аффинированного золота, черновой и рафинированной меди (103,5%).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Жамбылской области возросла добыча золотосодержащих руд и фосфатного сырья, увеличилось производство ортофосфорной кислоты и фосфорных удобрений (101,5%).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г.Алматы увеличилось производство пива, лекарств, консервных банок из черных металлов и прочих алюминиевых металлических изделий (100,7%).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 Павлодарской области увеличилась добыча медных концентратов, возросло производство части железнодорожных локомотивов, трамвайных моторных вагонов и подвижного состава (100,6%).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отмечен рост добычи золотосодержащих концентратов, увеличилось производство легковых и грузовых автомобилей (100,4%).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г.Шымкент возросло производство рафинированного подсолнечного масла, бензина, сжиженного пропана и бутана, лекарств и нелегированной стали (100,2%).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Актюбинской области из-за уменьшения добычи сырой нефти индекс промышленного производства составил 98,9%.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Мангистауской области за счет снижения добычи сырой нефти индекс промышленного производства составил 97,7%.</w:t>
      </w: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>В Кызылординской области за счет снижения добычи сырой нефти индекс промышленного производства составил 90,7%.</w:t>
      </w:r>
    </w:p>
    <w:p w:rsidR="00070D22" w:rsidRPr="0004437A" w:rsidRDefault="00070D22" w:rsidP="00346CFD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04437A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Pr="0004437A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04437A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04437A" w:rsidRDefault="00BC7CB8" w:rsidP="00346CFD">
      <w:pPr>
        <w:pStyle w:val="OsnTxt"/>
        <w:tabs>
          <w:tab w:val="left" w:pos="0"/>
        </w:tabs>
        <w:spacing w:line="240" w:lineRule="auto"/>
        <w:ind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04437A" w:rsidRDefault="00070D22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10196469"/>
      <w:bookmarkStart w:id="12" w:name="_Toc34079815"/>
      <w:bookmarkStart w:id="13" w:name="_Toc2249075"/>
      <w:r w:rsidRPr="0004437A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1"/>
      <w:bookmarkEnd w:id="12"/>
    </w:p>
    <w:bookmarkEnd w:id="13"/>
    <w:p w:rsidR="00B601C1" w:rsidRPr="0004437A" w:rsidRDefault="00B601C1" w:rsidP="00346CFD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526154" w:rsidRPr="00C02054" w:rsidRDefault="00526154" w:rsidP="00346CFD">
      <w:pPr>
        <w:pStyle w:val="OsnTxt"/>
        <w:tabs>
          <w:tab w:val="left" w:pos="0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02054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январь-июнь 2020 года по отношению к аналогичному периоду 2019 года потребление электроэнергии по крупным потребителям снизилось на 2%. </w:t>
      </w:r>
    </w:p>
    <w:p w:rsidR="00C16EF2" w:rsidRPr="0004437A" w:rsidRDefault="00C16EF2" w:rsidP="00346CF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4437A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Style w:val="a9"/>
        <w:tblW w:w="9923" w:type="dxa"/>
        <w:jc w:val="center"/>
        <w:tblLayout w:type="fixed"/>
        <w:tblLook w:val="04A0"/>
      </w:tblPr>
      <w:tblGrid>
        <w:gridCol w:w="567"/>
        <w:gridCol w:w="6096"/>
        <w:gridCol w:w="1086"/>
        <w:gridCol w:w="1087"/>
        <w:gridCol w:w="1087"/>
      </w:tblGrid>
      <w:tr w:rsidR="00526154" w:rsidRPr="00C02054" w:rsidTr="003C013A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Январь-июнь</w:t>
            </w:r>
          </w:p>
        </w:tc>
      </w:tr>
      <w:tr w:rsidR="00526154" w:rsidRPr="00C02054" w:rsidTr="003C013A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«АрселорМиттал Темиртау»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1 851,7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1 858,0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АЗФ (Аксуйский) «ТНК Казхром»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2 910,8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2 799,4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ТОО «KazakhmysSmelting» 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601,1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1 424,4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1 450,1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«Соколовско-Сарбайское ГПО»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848,5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Казахмыс» 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647,9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606,4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АЗФ (Актюбинский) «ТНК Казхром»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1 566,9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1 568,4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РГП «Канал им. Сатпаева»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88,9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ТОО «Казфосфат»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1 069,2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1 087,1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«НДФЗ» (входит в структуру ТОО Казфосфат)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929,9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952,6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ТОО «Таразский Металлургический завод»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109,3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«Усть-Каменогорскийтитано-магниевый комбинат»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454,3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ТОО «Тенгизшевройл»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930,7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962,8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479,8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472,6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1 876,4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1 869,0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ТОО «ТемиржолЭнерго»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705,1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56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 xml:space="preserve">2 170,4 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2 554,8</w:t>
            </w:r>
          </w:p>
        </w:tc>
        <w:tc>
          <w:tcPr>
            <w:tcW w:w="1087" w:type="dxa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sz w:val="24"/>
                <w:szCs w:val="24"/>
              </w:rPr>
              <w:t>-15%</w:t>
            </w:r>
          </w:p>
        </w:tc>
      </w:tr>
      <w:tr w:rsidR="00526154" w:rsidRPr="00C02054" w:rsidTr="003C013A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17 735,4</w:t>
            </w:r>
          </w:p>
        </w:tc>
        <w:tc>
          <w:tcPr>
            <w:tcW w:w="108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18 095,8</w:t>
            </w:r>
          </w:p>
        </w:tc>
        <w:tc>
          <w:tcPr>
            <w:tcW w:w="1087" w:type="dxa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-1,99%</w:t>
            </w:r>
          </w:p>
        </w:tc>
      </w:tr>
    </w:tbl>
    <w:p w:rsidR="00E56657" w:rsidRPr="0004437A" w:rsidRDefault="00E56657" w:rsidP="00346CF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04437A" w:rsidRDefault="00A32670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4" w:name="_Toc34079816"/>
      <w:r w:rsidRPr="0004437A">
        <w:rPr>
          <w:rFonts w:ascii="Times New Roman" w:hAnsi="Times New Roman" w:cs="Times New Roman"/>
          <w:b/>
          <w:color w:val="auto"/>
        </w:rPr>
        <w:lastRenderedPageBreak/>
        <w:t>Уголь</w:t>
      </w:r>
      <w:bookmarkEnd w:id="14"/>
    </w:p>
    <w:p w:rsidR="00BC7CB8" w:rsidRPr="0004437A" w:rsidRDefault="00BC7CB8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04437A" w:rsidRDefault="004550F2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2"/>
      <w:r w:rsidRPr="0004437A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5"/>
    </w:p>
    <w:p w:rsidR="004550F2" w:rsidRPr="0004437A" w:rsidRDefault="004550F2" w:rsidP="00346CF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154" w:rsidRPr="00C02054" w:rsidRDefault="00526154" w:rsidP="00346CF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054">
        <w:rPr>
          <w:rFonts w:ascii="Times New Roman" w:hAnsi="Times New Roman" w:cs="Times New Roman"/>
          <w:sz w:val="28"/>
          <w:szCs w:val="28"/>
        </w:rPr>
        <w:t>В январе-июне 2020 года ТОО «Богатырь Комир» добыто 22 083 тыс. тонн, что на 5% больше, чем за соответствующий период 2019 года (21 025 тыс. тонн).</w:t>
      </w:r>
    </w:p>
    <w:p w:rsidR="00526154" w:rsidRPr="00C02054" w:rsidRDefault="00526154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526154" w:rsidRPr="00C02054" w:rsidRDefault="00526154" w:rsidP="00346CF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510196474"/>
      <w:r w:rsidRPr="00C02054">
        <w:rPr>
          <w:rFonts w:ascii="Times New Roman" w:hAnsi="Times New Roman" w:cs="Times New Roman"/>
          <w:i/>
          <w:color w:val="auto"/>
          <w:sz w:val="28"/>
        </w:rPr>
        <w:t>Реализация угля АО «Самрук-Энерго»</w:t>
      </w:r>
      <w:bookmarkEnd w:id="16"/>
    </w:p>
    <w:p w:rsidR="00526154" w:rsidRPr="00C02054" w:rsidRDefault="00526154" w:rsidP="00346CF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054">
        <w:rPr>
          <w:rFonts w:ascii="Times New Roman" w:hAnsi="Times New Roman" w:cs="Times New Roman"/>
          <w:sz w:val="28"/>
          <w:szCs w:val="28"/>
        </w:rPr>
        <w:t>В январе-июне 2020 года реализовано 22 108 тыс. тонн, в т.ч.:</w:t>
      </w:r>
    </w:p>
    <w:p w:rsidR="00526154" w:rsidRPr="00C02054" w:rsidRDefault="00526154" w:rsidP="00346CF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054">
        <w:rPr>
          <w:rFonts w:ascii="Times New Roman" w:hAnsi="Times New Roman" w:cs="Times New Roman"/>
          <w:sz w:val="28"/>
          <w:szCs w:val="28"/>
        </w:rPr>
        <w:t>- на внутренний рынок РК 16 870 тыс. тонн, что на 6,6% больше, чем за соответствующий период 2019 года (15 818 тыс. тонн);</w:t>
      </w:r>
    </w:p>
    <w:p w:rsidR="00526154" w:rsidRPr="00C02054" w:rsidRDefault="00526154" w:rsidP="00346CF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054">
        <w:rPr>
          <w:rFonts w:ascii="Times New Roman" w:hAnsi="Times New Roman" w:cs="Times New Roman"/>
          <w:sz w:val="28"/>
          <w:szCs w:val="28"/>
        </w:rPr>
        <w:t>- на экспорт (РФ) – 5 239 млн. тонн, что на 3,6% больше, чем за соответствующий период 2019 года (5 057 тыс. тонн).</w:t>
      </w:r>
    </w:p>
    <w:p w:rsidR="00D309A9" w:rsidRPr="0004437A" w:rsidRDefault="00D309A9" w:rsidP="00346CFD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4437A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/>
      </w:tblPr>
      <w:tblGrid>
        <w:gridCol w:w="567"/>
        <w:gridCol w:w="3685"/>
        <w:gridCol w:w="1937"/>
        <w:gridCol w:w="1938"/>
        <w:gridCol w:w="1938"/>
      </w:tblGrid>
      <w:tr w:rsidR="00D309A9" w:rsidRPr="0004437A" w:rsidTr="00BD7175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2020/2019гг</w:t>
            </w:r>
          </w:p>
        </w:tc>
      </w:tr>
      <w:tr w:rsidR="00D309A9" w:rsidRPr="0004437A" w:rsidTr="00BD7175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52615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52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309A9" w:rsidRPr="0004437A" w:rsidRDefault="00D309A9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54" w:rsidRPr="0004437A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526154" w:rsidRPr="0004437A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15 818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16 870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106,6%</w:t>
            </w:r>
          </w:p>
        </w:tc>
      </w:tr>
      <w:tr w:rsidR="00526154" w:rsidRPr="0004437A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526154" w:rsidRPr="0004437A" w:rsidRDefault="00526154" w:rsidP="00346CF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5 057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5 239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26154" w:rsidRPr="00C02054" w:rsidRDefault="00526154" w:rsidP="00346CF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4">
              <w:rPr>
                <w:rFonts w:ascii="Times New Roman" w:hAnsi="Times New Roman" w:cs="Times New Roman"/>
                <w:b/>
                <w:sz w:val="24"/>
                <w:szCs w:val="24"/>
              </w:rPr>
              <w:t>103,6%</w:t>
            </w:r>
          </w:p>
        </w:tc>
      </w:tr>
    </w:tbl>
    <w:p w:rsidR="00B601C1" w:rsidRPr="0004437A" w:rsidRDefault="00853D0D" w:rsidP="00346CFD">
      <w:pPr>
        <w:tabs>
          <w:tab w:val="left" w:pos="0"/>
          <w:tab w:val="left" w:pos="65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7A">
        <w:rPr>
          <w:rFonts w:ascii="Times New Roman" w:hAnsi="Times New Roman" w:cs="Times New Roman"/>
          <w:sz w:val="28"/>
          <w:szCs w:val="28"/>
        </w:rPr>
        <w:tab/>
      </w:r>
    </w:p>
    <w:p w:rsidR="00526154" w:rsidRPr="00C02054" w:rsidRDefault="00526154" w:rsidP="00346CF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054">
        <w:rPr>
          <w:rFonts w:ascii="Times New Roman" w:hAnsi="Times New Roman" w:cs="Times New Roman"/>
          <w:sz w:val="28"/>
          <w:szCs w:val="28"/>
        </w:rPr>
        <w:t xml:space="preserve">По показателям за январь-июнь 2020 года по сравнению с аналогичным периодом 2019 года в Обществе наблюдается увеличение реализации угля на 5,9%. </w:t>
      </w:r>
    </w:p>
    <w:p w:rsidR="001248FB" w:rsidRPr="0004437A" w:rsidRDefault="001248FB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04437A" w:rsidRDefault="006C42DB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7" w:name="_Toc503289885"/>
      <w:bookmarkStart w:id="18" w:name="_Toc34079819"/>
      <w:r w:rsidRPr="0004437A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7"/>
      <w:bookmarkEnd w:id="18"/>
    </w:p>
    <w:p w:rsidR="00346CFD" w:rsidRPr="00346CFD" w:rsidRDefault="00346CFD" w:rsidP="00346C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19" w:name="_Toc31296322"/>
      <w:bookmarkStart w:id="20" w:name="_Toc34079820"/>
      <w:r w:rsidRPr="00346CFD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БГС, малые ГЭС) РК за январь-июнь 2020 года составил 1470 млн. кВтч. В сравнении с 6-ю месяцами 2019 года (826,4 млн. кВтч) прирост составил 77,9%.</w:t>
      </w:r>
    </w:p>
    <w:p w:rsidR="00346CFD" w:rsidRPr="00346CFD" w:rsidRDefault="00346CFD" w:rsidP="00346CFD">
      <w:pPr>
        <w:pStyle w:val="a3"/>
        <w:tabs>
          <w:tab w:val="left" w:pos="0"/>
        </w:tabs>
        <w:spacing w:after="0" w:line="240" w:lineRule="auto"/>
        <w:ind w:left="643"/>
        <w:jc w:val="right"/>
        <w:rPr>
          <w:rFonts w:ascii="Times New Roman" w:hAnsi="Times New Roman" w:cs="Times New Roman"/>
          <w:sz w:val="24"/>
        </w:rPr>
      </w:pPr>
      <w:r w:rsidRPr="00346CFD">
        <w:rPr>
          <w:rFonts w:ascii="Times New Roman" w:hAnsi="Times New Roman" w:cs="Times New Roman"/>
          <w:sz w:val="24"/>
        </w:rPr>
        <w:t>млн. кВтч</w:t>
      </w:r>
    </w:p>
    <w:tbl>
      <w:tblPr>
        <w:tblW w:w="9939" w:type="dxa"/>
        <w:jc w:val="center"/>
        <w:tblLook w:val="04A0"/>
      </w:tblPr>
      <w:tblGrid>
        <w:gridCol w:w="458"/>
        <w:gridCol w:w="3162"/>
        <w:gridCol w:w="1134"/>
        <w:gridCol w:w="1001"/>
        <w:gridCol w:w="1151"/>
        <w:gridCol w:w="996"/>
        <w:gridCol w:w="1041"/>
        <w:gridCol w:w="996"/>
      </w:tblGrid>
      <w:tr w:rsidR="00346CFD" w:rsidRPr="005616E5" w:rsidTr="00FE4855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гг,</w:t>
            </w:r>
          </w:p>
        </w:tc>
      </w:tr>
      <w:tr w:rsidR="00346CFD" w:rsidRPr="005616E5" w:rsidTr="00FE4855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BC0AED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январь-июнь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BC0AED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BC0AED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январь-июнь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BC0AED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BC0AED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BC0AED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51944,1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53502,6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3,0%</w:t>
            </w:r>
          </w:p>
        </w:tc>
      </w:tr>
      <w:tr w:rsidR="00346CFD" w:rsidRPr="005616E5" w:rsidTr="00FE4855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т.ч. по зонам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77,9%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27,8%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123,0%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59,1%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54,2%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346CFD" w:rsidRPr="005616E5" w:rsidTr="00FE4855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т.ч. по типам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77,9%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18,3%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327,2%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35,9%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65,7%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377,1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45,6%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331,7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22,6%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-45,4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-12,0%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FD" w:rsidRPr="00273B3F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3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346CFD" w:rsidRPr="00346CFD" w:rsidRDefault="00346CFD" w:rsidP="00346CFD">
      <w:pPr>
        <w:pStyle w:val="a3"/>
        <w:tabs>
          <w:tab w:val="left" w:pos="0"/>
        </w:tabs>
        <w:spacing w:after="0" w:line="240" w:lineRule="auto"/>
        <w:ind w:left="643"/>
        <w:jc w:val="both"/>
        <w:rPr>
          <w:rFonts w:ascii="Times New Roman" w:hAnsi="Times New Roman" w:cs="Times New Roman"/>
          <w:sz w:val="28"/>
        </w:rPr>
      </w:pPr>
    </w:p>
    <w:p w:rsidR="00346CFD" w:rsidRPr="00346CFD" w:rsidRDefault="00346CFD" w:rsidP="00346C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346CFD">
        <w:rPr>
          <w:rFonts w:ascii="Times New Roman" w:hAnsi="Times New Roman" w:cs="Times New Roman"/>
          <w:sz w:val="28"/>
        </w:rPr>
        <w:t>В январе-июне 2020г. наблюдается снижение производства электроэнергии БГУ и малыми ГЭС по сравнению с аналогичным периодом 2019г., в то время как производство электроэнергии объектами ВЭС и СЭС выросло.</w:t>
      </w:r>
    </w:p>
    <w:p w:rsidR="00346CFD" w:rsidRPr="00346CFD" w:rsidRDefault="00346CFD" w:rsidP="00346CFD">
      <w:pPr>
        <w:pStyle w:val="a3"/>
        <w:tabs>
          <w:tab w:val="left" w:pos="0"/>
        </w:tabs>
        <w:spacing w:after="0" w:line="240" w:lineRule="auto"/>
        <w:ind w:left="643"/>
        <w:jc w:val="right"/>
        <w:rPr>
          <w:rFonts w:ascii="Times New Roman" w:hAnsi="Times New Roman" w:cs="Times New Roman"/>
          <w:sz w:val="24"/>
        </w:rPr>
      </w:pPr>
      <w:r w:rsidRPr="00346CFD">
        <w:rPr>
          <w:rFonts w:ascii="Times New Roman" w:hAnsi="Times New Roman" w:cs="Times New Roman"/>
          <w:sz w:val="24"/>
        </w:rPr>
        <w:t>млн. кВтч</w:t>
      </w:r>
    </w:p>
    <w:tbl>
      <w:tblPr>
        <w:tblW w:w="10284" w:type="dxa"/>
        <w:jc w:val="center"/>
        <w:tblLook w:val="04A0"/>
      </w:tblPr>
      <w:tblGrid>
        <w:gridCol w:w="438"/>
        <w:gridCol w:w="3629"/>
        <w:gridCol w:w="1114"/>
        <w:gridCol w:w="1047"/>
        <w:gridCol w:w="1114"/>
        <w:gridCol w:w="982"/>
        <w:gridCol w:w="931"/>
        <w:gridCol w:w="1029"/>
      </w:tblGrid>
      <w:tr w:rsidR="00346CFD" w:rsidRPr="005616E5" w:rsidTr="00FE485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346CFD" w:rsidRPr="005616E5" w:rsidTr="00FE485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январь-июнь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январь-июнь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616E5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741">
              <w:rPr>
                <w:rFonts w:ascii="Times New Roman" w:hAnsi="Times New Roman" w:cs="Times New Roman"/>
                <w:b/>
                <w:bCs/>
              </w:rPr>
              <w:t>51944,1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741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741">
              <w:rPr>
                <w:rFonts w:ascii="Times New Roman" w:hAnsi="Times New Roman" w:cs="Times New Roman"/>
                <w:b/>
                <w:bCs/>
              </w:rPr>
              <w:t>53502,5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74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741">
              <w:rPr>
                <w:rFonts w:ascii="Times New Roman" w:hAnsi="Times New Roman" w:cs="Times New Roman"/>
                <w:b/>
                <w:bCs/>
              </w:rPr>
              <w:t>1558,4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741">
              <w:rPr>
                <w:rFonts w:ascii="Times New Roman" w:hAnsi="Times New Roman" w:cs="Times New Roman"/>
                <w:b/>
                <w:bCs/>
              </w:rPr>
              <w:t>3,0%</w:t>
            </w:r>
          </w:p>
        </w:tc>
      </w:tr>
      <w:tr w:rsidR="00346CFD" w:rsidRPr="005616E5" w:rsidTr="00FE4855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5616E5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5280,9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10,2%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6004,9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11,2%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724,0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13,7%</w:t>
            </w:r>
          </w:p>
        </w:tc>
      </w:tr>
      <w:tr w:rsidR="00346CFD" w:rsidRPr="005616E5" w:rsidTr="00FE4855">
        <w:trPr>
          <w:trHeight w:val="70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5616E5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826,400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1,6%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1470,0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2,7%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643,6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336741" w:rsidRDefault="00346CFD" w:rsidP="00346C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6741">
              <w:rPr>
                <w:rFonts w:ascii="Times New Roman" w:hAnsi="Times New Roman" w:cs="Times New Roman"/>
                <w:i/>
                <w:iCs/>
              </w:rPr>
              <w:t>77,9%</w:t>
            </w:r>
          </w:p>
        </w:tc>
      </w:tr>
    </w:tbl>
    <w:p w:rsidR="00346CFD" w:rsidRPr="00346CFD" w:rsidRDefault="00346CFD" w:rsidP="00346C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46CFD">
        <w:rPr>
          <w:rFonts w:ascii="Times New Roman" w:hAnsi="Times New Roman" w:cs="Times New Roman"/>
          <w:sz w:val="28"/>
        </w:rPr>
        <w:t xml:space="preserve">Выработка электроэнергии объектами ВИЭ АО «Самрук-Энерго» (СЭС, ВЭС, малые ГЭС) за январь-июнь 2020 года </w:t>
      </w:r>
      <w:r w:rsidRPr="00346CFD">
        <w:rPr>
          <w:rFonts w:ascii="Times New Roman" w:hAnsi="Times New Roman" w:cs="Times New Roman"/>
          <w:sz w:val="28"/>
          <w:szCs w:val="28"/>
        </w:rPr>
        <w:t xml:space="preserve">составила 170,4 </w:t>
      </w:r>
      <w:r w:rsidRPr="00346CFD">
        <w:rPr>
          <w:rFonts w:ascii="Times New Roman" w:hAnsi="Times New Roman" w:cs="Times New Roman"/>
          <w:sz w:val="28"/>
        </w:rPr>
        <w:t>млн. кВтч или 11,6% от общего объема вырабатываемой объектами ВИЭ электроэнергии, что по сравнению с аналогичным периодом 2019 года выше на 4</w:t>
      </w:r>
      <w:r w:rsidRPr="00346CFD">
        <w:rPr>
          <w:rFonts w:ascii="Times New Roman" w:hAnsi="Times New Roman" w:cs="Times New Roman"/>
          <w:sz w:val="28"/>
          <w:szCs w:val="28"/>
        </w:rPr>
        <w:t>%</w:t>
      </w:r>
      <w:r w:rsidRPr="00346CFD">
        <w:rPr>
          <w:rFonts w:ascii="Times New Roman" w:hAnsi="Times New Roman" w:cs="Times New Roman"/>
          <w:sz w:val="28"/>
        </w:rPr>
        <w:t xml:space="preserve"> (за январь-июнь 2019г. выработка ВИЭ </w:t>
      </w:r>
      <w:r w:rsidRPr="00346CFD">
        <w:rPr>
          <w:rFonts w:ascii="Times New Roman" w:hAnsi="Times New Roman" w:cs="Times New Roman"/>
          <w:sz w:val="28"/>
          <w:szCs w:val="28"/>
        </w:rPr>
        <w:t>Общества составила 163,8</w:t>
      </w:r>
      <w:r w:rsidRPr="00346CFD">
        <w:rPr>
          <w:rFonts w:ascii="Times New Roman" w:hAnsi="Times New Roman" w:cs="Times New Roman"/>
          <w:sz w:val="28"/>
        </w:rPr>
        <w:t>млн. кВтч, а доля ВИЭ Общества 19,8%).</w:t>
      </w:r>
    </w:p>
    <w:p w:rsidR="00346CFD" w:rsidRPr="00346CFD" w:rsidRDefault="00346CFD" w:rsidP="00346C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46CFD">
        <w:rPr>
          <w:rFonts w:ascii="Times New Roman" w:hAnsi="Times New Roman" w:cs="Times New Roman"/>
          <w:iCs/>
          <w:sz w:val="28"/>
          <w:lang w:val="kk-KZ"/>
        </w:rPr>
        <w:t xml:space="preserve">Основным снижением доли производства электроэнергии ВИЭ </w:t>
      </w:r>
      <w:r w:rsidRPr="00346CFD">
        <w:rPr>
          <w:rFonts w:ascii="Times New Roman" w:hAnsi="Times New Roman" w:cs="Times New Roman"/>
          <w:sz w:val="28"/>
        </w:rPr>
        <w:t xml:space="preserve">Общества </w:t>
      </w:r>
      <w:r w:rsidRPr="00346CFD">
        <w:rPr>
          <w:rFonts w:ascii="Times New Roman" w:hAnsi="Times New Roman" w:cs="Times New Roman"/>
          <w:iCs/>
          <w:sz w:val="28"/>
          <w:lang w:val="kk-KZ"/>
        </w:rPr>
        <w:t xml:space="preserve">является </w:t>
      </w:r>
      <w:r w:rsidRPr="00346CFD">
        <w:rPr>
          <w:rFonts w:ascii="Times New Roman" w:hAnsi="Times New Roman" w:cs="Times New Roman"/>
          <w:iCs/>
          <w:sz w:val="28"/>
        </w:rPr>
        <w:t>ввод новых мощностей ВИЭ в РК.</w:t>
      </w:r>
    </w:p>
    <w:p w:rsidR="00346CFD" w:rsidRPr="00346CFD" w:rsidRDefault="00346CFD" w:rsidP="00346C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46CFD">
        <w:rPr>
          <w:rFonts w:ascii="Times New Roman" w:hAnsi="Times New Roman" w:cs="Times New Roman"/>
          <w:sz w:val="28"/>
        </w:rPr>
        <w:t>Доля Общества в производстве «чистой» электроэнергии (СЭС, ВЭС, малые и крупные ГЭС) за январь-июнь 2020г. увеличилось на 3% (1 487,9 млн. кВтч) в сравнении с аналогичным периодом 2019г. (1 444,3 млн. кВтч).</w:t>
      </w:r>
    </w:p>
    <w:p w:rsidR="00346CFD" w:rsidRPr="00346CFD" w:rsidRDefault="00346CFD" w:rsidP="00346CFD">
      <w:pPr>
        <w:pStyle w:val="a3"/>
        <w:tabs>
          <w:tab w:val="left" w:pos="0"/>
        </w:tabs>
        <w:spacing w:after="0" w:line="240" w:lineRule="auto"/>
        <w:ind w:left="643"/>
        <w:jc w:val="right"/>
        <w:rPr>
          <w:rFonts w:ascii="Times New Roman" w:hAnsi="Times New Roman" w:cs="Times New Roman"/>
          <w:sz w:val="24"/>
        </w:rPr>
      </w:pPr>
      <w:r w:rsidRPr="00346CFD">
        <w:rPr>
          <w:rFonts w:ascii="Times New Roman" w:hAnsi="Times New Roman" w:cs="Times New Roman"/>
          <w:sz w:val="24"/>
        </w:rPr>
        <w:t>млн. кВтч</w:t>
      </w:r>
    </w:p>
    <w:tbl>
      <w:tblPr>
        <w:tblW w:w="10116" w:type="dxa"/>
        <w:jc w:val="center"/>
        <w:tblLook w:val="04A0"/>
      </w:tblPr>
      <w:tblGrid>
        <w:gridCol w:w="459"/>
        <w:gridCol w:w="3673"/>
        <w:gridCol w:w="1114"/>
        <w:gridCol w:w="960"/>
        <w:gridCol w:w="1114"/>
        <w:gridCol w:w="948"/>
        <w:gridCol w:w="960"/>
        <w:gridCol w:w="888"/>
      </w:tblGrid>
      <w:tr w:rsidR="00346CFD" w:rsidRPr="005616E5" w:rsidTr="00FE4855">
        <w:trPr>
          <w:trHeight w:val="28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гг,</w:t>
            </w:r>
          </w:p>
        </w:tc>
      </w:tr>
      <w:tr w:rsidR="00346CFD" w:rsidRPr="005616E5" w:rsidTr="00FE4855">
        <w:trPr>
          <w:trHeight w:val="57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январь-июнь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AC52CA" w:rsidRDefault="00346CFD" w:rsidP="0034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46CFD" w:rsidRPr="005616E5" w:rsidTr="00FE4855">
        <w:trPr>
          <w:trHeight w:val="75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ПроизводствоАО «Самрук-Энерго» «чистой» электроэнергии (СЭС, ВЭС, малые и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1444,3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27,3%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1487,9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24,8%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3,0%</w:t>
            </w:r>
          </w:p>
        </w:tc>
      </w:tr>
      <w:tr w:rsidR="00346CFD" w:rsidRPr="005616E5" w:rsidTr="00FE4855">
        <w:trPr>
          <w:trHeight w:val="67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Производство АО «Самрук-Энерго» «чистой» электроэнергии (СЭС, ВЭС и малые ГЭС), в т.ч.: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19,8%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11,6%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C07">
              <w:rPr>
                <w:rFonts w:ascii="Times New Roman" w:hAnsi="Times New Roman" w:cs="Times New Roman"/>
              </w:rPr>
              <w:t>4,0%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Каскад малых ГЭС АО «АлЭС»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10,3%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82,7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-2,1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-2,5%</w:t>
            </w:r>
          </w:p>
        </w:tc>
      </w:tr>
      <w:tr w:rsidR="00346CFD" w:rsidRPr="005616E5" w:rsidTr="00FE4855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«Samruk-GreenEnergy»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17,6%</w:t>
            </w:r>
          </w:p>
        </w:tc>
      </w:tr>
      <w:tr w:rsidR="00346CFD" w:rsidRPr="005616E5" w:rsidTr="00FE4855">
        <w:trPr>
          <w:trHeight w:val="4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FD" w:rsidRPr="005616E5" w:rsidRDefault="00346CFD" w:rsidP="00346CFD">
            <w:pPr>
              <w:tabs>
                <w:tab w:val="left" w:pos="0"/>
              </w:tabs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9,4%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85,7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D" w:rsidRPr="00371C07" w:rsidRDefault="00346CFD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1C07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</w:tr>
    </w:tbl>
    <w:p w:rsidR="00346CFD" w:rsidRDefault="00346CFD" w:rsidP="00346CFD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</w:p>
    <w:p w:rsidR="001248FB" w:rsidRPr="0004437A" w:rsidRDefault="001248FB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04437A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19"/>
      <w:bookmarkEnd w:id="20"/>
    </w:p>
    <w:p w:rsidR="001248FB" w:rsidRPr="0004437A" w:rsidRDefault="001248FB" w:rsidP="00346CFD">
      <w:pPr>
        <w:pStyle w:val="ab"/>
        <w:tabs>
          <w:tab w:val="left" w:pos="0"/>
        </w:tabs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04437A">
        <w:rPr>
          <w:i/>
          <w:szCs w:val="22"/>
        </w:rPr>
        <w:t>(информация АО «КОРЭМ»</w:t>
      </w:r>
      <w:r w:rsidR="00377FE7">
        <w:rPr>
          <w:i/>
          <w:szCs w:val="22"/>
        </w:rPr>
        <w:t xml:space="preserve"> не представлена</w:t>
      </w:r>
      <w:r w:rsidRPr="0004437A">
        <w:rPr>
          <w:i/>
          <w:szCs w:val="22"/>
        </w:rPr>
        <w:t>)</w:t>
      </w:r>
    </w:p>
    <w:p w:rsidR="001248FB" w:rsidRPr="0004437A" w:rsidRDefault="001248FB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2DB" w:rsidRPr="0004437A" w:rsidRDefault="006C42DB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1" w:name="_Toc34079821"/>
      <w:r w:rsidRPr="0004437A">
        <w:rPr>
          <w:rFonts w:ascii="Times New Roman" w:hAnsi="Times New Roman" w:cs="Times New Roman"/>
          <w:b/>
          <w:color w:val="auto"/>
        </w:rPr>
        <w:lastRenderedPageBreak/>
        <w:t>Экспорт-импорт электрической энергии</w:t>
      </w:r>
      <w:bookmarkEnd w:id="21"/>
    </w:p>
    <w:p w:rsidR="006C42DB" w:rsidRPr="0004437A" w:rsidRDefault="006C42DB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FE7" w:rsidRPr="00C02054" w:rsidRDefault="00377FE7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02054">
        <w:rPr>
          <w:rFonts w:ascii="Times New Roman" w:hAnsi="Times New Roman" w:cs="Times New Roman"/>
          <w:sz w:val="28"/>
          <w:szCs w:val="28"/>
        </w:rPr>
        <w:t>В январе-июне 2020 года основным направлением экспорта-импорта электроэнергии РК стала РФ (экспорт в РФ – 489,7 млн. кВтч, импорт из РФ – 544,7 млн. кВтч). АО «</w:t>
      </w:r>
      <w:r w:rsidRPr="00C02054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C02054">
        <w:rPr>
          <w:rFonts w:ascii="Times New Roman" w:hAnsi="Times New Roman" w:cs="Times New Roman"/>
          <w:sz w:val="28"/>
          <w:szCs w:val="28"/>
        </w:rPr>
        <w:t>» – 460,5 млн. кВтч в целях балансирования производства-потребления электроэнергии. Импорт электроэнергии из РФ за отчетный период в объеме 420,8 млн. кВтч осуществлялся в целях балансирования производства-потребления электроэнергии.</w:t>
      </w:r>
    </w:p>
    <w:p w:rsidR="00741F18" w:rsidRPr="0004437A" w:rsidRDefault="00741F18" w:rsidP="00346CFD">
      <w:pPr>
        <w:tabs>
          <w:tab w:val="left" w:pos="0"/>
        </w:tabs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04437A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/>
      </w:tblPr>
      <w:tblGrid>
        <w:gridCol w:w="5093"/>
        <w:gridCol w:w="1169"/>
        <w:gridCol w:w="1241"/>
        <w:gridCol w:w="1275"/>
        <w:gridCol w:w="1134"/>
      </w:tblGrid>
      <w:tr w:rsidR="000312EB" w:rsidRPr="0004437A" w:rsidTr="00E644FC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="00377FE7"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="00377FE7" w:rsidRPr="00C0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2020/2019гг</w:t>
            </w:r>
          </w:p>
        </w:tc>
      </w:tr>
      <w:tr w:rsidR="000312EB" w:rsidRPr="0004437A" w:rsidTr="00E644FC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04437A" w:rsidRDefault="000312EB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7FE7" w:rsidRPr="0004437A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FE7" w:rsidRPr="0004437A" w:rsidRDefault="00377FE7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3 331,4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-71,6%</w:t>
            </w:r>
          </w:p>
        </w:tc>
      </w:tr>
      <w:tr w:rsidR="00377FE7" w:rsidRPr="0004437A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E7" w:rsidRPr="0004437A" w:rsidRDefault="00377FE7" w:rsidP="00346CF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3 328,5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-2 838,7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-85,3%</w:t>
            </w:r>
          </w:p>
        </w:tc>
      </w:tr>
      <w:tr w:rsidR="00377FE7" w:rsidRPr="0004437A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E7" w:rsidRPr="0004437A" w:rsidRDefault="00377FE7" w:rsidP="00346CF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15793%</w:t>
            </w:r>
          </w:p>
        </w:tc>
      </w:tr>
      <w:tr w:rsidR="00377FE7" w:rsidRPr="0004437A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FE7" w:rsidRPr="0004437A" w:rsidRDefault="00377FE7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-15,0%</w:t>
            </w:r>
          </w:p>
        </w:tc>
      </w:tr>
      <w:tr w:rsidR="00377FE7" w:rsidRPr="0004437A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E7" w:rsidRPr="0004437A" w:rsidRDefault="00377FE7" w:rsidP="00346CF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642,1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-15,2%</w:t>
            </w:r>
          </w:p>
        </w:tc>
      </w:tr>
      <w:tr w:rsidR="00377FE7" w:rsidRPr="0004437A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E7" w:rsidRPr="0004437A" w:rsidRDefault="00377FE7" w:rsidP="00346CF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33,4%</w:t>
            </w:r>
          </w:p>
        </w:tc>
      </w:tr>
      <w:tr w:rsidR="00377FE7" w:rsidRPr="0004437A" w:rsidTr="00E644FC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FE7" w:rsidRPr="0004437A" w:rsidRDefault="00377FE7" w:rsidP="00346C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Сальдо-переток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-2 687,2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7FE7" w:rsidRPr="00C02054" w:rsidRDefault="00377FE7" w:rsidP="00346C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20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-85,2%</w:t>
            </w:r>
          </w:p>
        </w:tc>
      </w:tr>
    </w:tbl>
    <w:p w:rsidR="00776138" w:rsidRPr="0004437A" w:rsidRDefault="00776138" w:rsidP="00346CFD">
      <w:pPr>
        <w:tabs>
          <w:tab w:val="left" w:pos="0"/>
        </w:tabs>
        <w:spacing w:after="0" w:line="240" w:lineRule="auto"/>
        <w:ind w:left="283"/>
        <w:rPr>
          <w:rFonts w:ascii="Times New Roman" w:hAnsi="Times New Roman" w:cs="Times New Roman"/>
          <w:sz w:val="24"/>
        </w:rPr>
      </w:pPr>
    </w:p>
    <w:p w:rsidR="00882305" w:rsidRPr="0004437A" w:rsidRDefault="00882305" w:rsidP="00346C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437A">
        <w:rPr>
          <w:rFonts w:ascii="Times New Roman" w:hAnsi="Times New Roman" w:cs="Times New Roman"/>
        </w:rPr>
        <w:br w:type="page"/>
      </w:r>
    </w:p>
    <w:p w:rsidR="008647BB" w:rsidRPr="0004437A" w:rsidRDefault="00B94F51" w:rsidP="00346CFD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2" w:name="_Toc34079822"/>
      <w:r w:rsidRPr="0004437A">
        <w:rPr>
          <w:rFonts w:ascii="Times New Roman" w:hAnsi="Times New Roman" w:cs="Times New Roman"/>
          <w:b/>
          <w:color w:val="auto"/>
        </w:rPr>
        <w:lastRenderedPageBreak/>
        <w:t>РАЗДЕЛ II</w:t>
      </w:r>
      <w:bookmarkEnd w:id="22"/>
    </w:p>
    <w:p w:rsidR="004550F2" w:rsidRPr="0004437A" w:rsidRDefault="004550F2" w:rsidP="00346CFD">
      <w:pPr>
        <w:tabs>
          <w:tab w:val="left" w:pos="0"/>
        </w:tabs>
        <w:spacing w:after="0" w:line="240" w:lineRule="auto"/>
      </w:pPr>
    </w:p>
    <w:p w:rsidR="00387115" w:rsidRPr="0004437A" w:rsidRDefault="00387115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3" w:name="_Toc34079823"/>
      <w:r w:rsidRPr="0004437A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04437A">
        <w:rPr>
          <w:rFonts w:ascii="Times New Roman" w:hAnsi="Times New Roman" w:cs="Times New Roman"/>
          <w:b/>
          <w:color w:val="auto"/>
        </w:rPr>
        <w:t>я</w:t>
      </w:r>
      <w:r w:rsidRPr="0004437A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3"/>
    </w:p>
    <w:p w:rsidR="00C82DFF" w:rsidRPr="0004437A" w:rsidRDefault="00C82DFF" w:rsidP="00346C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55A3" w:rsidRPr="00021D88" w:rsidRDefault="004F55A3" w:rsidP="00346CFD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CE4C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CE4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</w:t>
      </w:r>
      <w:r w:rsidRPr="00021D88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приоритетного обеспечения электрической энергией внутренних потребителей государств-членов.</w:t>
      </w:r>
    </w:p>
    <w:p w:rsidR="004F55A3" w:rsidRPr="00CE4C8F" w:rsidRDefault="004F55A3" w:rsidP="00346CFD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C8F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4F55A3" w:rsidRPr="00CE4C8F" w:rsidRDefault="004F55A3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C8F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4F55A3" w:rsidRPr="00021D88" w:rsidRDefault="004F55A3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E4C8F">
        <w:rPr>
          <w:rFonts w:ascii="Times New Roman" w:eastAsia="Calibri" w:hAnsi="Times New Roman" w:cs="Times New Roman"/>
          <w:sz w:val="28"/>
          <w:szCs w:val="28"/>
          <w:lang w:eastAsia="ru-RU"/>
        </w:rPr>
        <w:t>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F55A3" w:rsidRPr="00CE4C8F" w:rsidRDefault="004F55A3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4C8F">
        <w:rPr>
          <w:rFonts w:ascii="Times New Roman" w:hAnsi="Times New Roman" w:cs="Times New Roman"/>
          <w:sz w:val="28"/>
        </w:rPr>
        <w:t>В настоящее время государствами-членами ЕАЭС проводится работа по разработке и согласованию правил функционирования ОЭР ЕАЭС.</w:t>
      </w:r>
    </w:p>
    <w:p w:rsidR="004F55A3" w:rsidRPr="00CE4C8F" w:rsidRDefault="004F55A3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4C8F">
        <w:rPr>
          <w:rFonts w:ascii="Times New Roman" w:hAnsi="Times New Roman" w:cs="Times New Roman"/>
          <w:sz w:val="28"/>
        </w:rPr>
        <w:t xml:space="preserve">В 2020 году проведено 13-е заседание Консультативного комитета по электроэнергетике при Коллегии ЕЭК в заочном формате (26 мая 2020 год), два заседания Подкомитета по формированию ОЭР ЕАЭС Консультативного комитета по электроэнергетике при Коллегии ЕЭК (49-е заседание 23-24 января 2020 года, 50-е заседание 29 мая 2020 года) и одно совещание членов Подкомитета (20-21 февраля 2020 года). </w:t>
      </w:r>
    </w:p>
    <w:p w:rsidR="004F55A3" w:rsidRPr="0004437A" w:rsidRDefault="004F55A3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4C8F">
        <w:rPr>
          <w:rFonts w:ascii="Times New Roman" w:hAnsi="Times New Roman" w:cs="Times New Roman"/>
          <w:sz w:val="28"/>
        </w:rPr>
        <w:t>Работа по формированию общего электроэнергетического рынка Евразийского экономического союза продолжается.</w:t>
      </w:r>
    </w:p>
    <w:p w:rsidR="00E37727" w:rsidRPr="0004437A" w:rsidRDefault="00E37727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04437A" w:rsidRDefault="006432D5" w:rsidP="00346C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04437A" w:rsidRDefault="00387115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4" w:name="_Toc34079824"/>
      <w:r w:rsidRPr="0004437A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04437A">
        <w:rPr>
          <w:rFonts w:ascii="Times New Roman" w:hAnsi="Times New Roman" w:cs="Times New Roman"/>
          <w:b/>
          <w:color w:val="auto"/>
        </w:rPr>
        <w:t>Э</w:t>
      </w:r>
      <w:r w:rsidRPr="0004437A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4"/>
    </w:p>
    <w:p w:rsidR="00387115" w:rsidRPr="0004437A" w:rsidRDefault="00387115" w:rsidP="00346C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04437A" w:rsidRDefault="006B1F89" w:rsidP="00346CF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437A">
        <w:rPr>
          <w:rFonts w:ascii="Times New Roman" w:hAnsi="Times New Roman" w:cs="Times New Roman"/>
          <w:sz w:val="28"/>
        </w:rPr>
        <w:t>С 1992 года проведено 5</w:t>
      </w:r>
      <w:r w:rsidR="00CE4C8F">
        <w:rPr>
          <w:rFonts w:ascii="Times New Roman" w:hAnsi="Times New Roman" w:cs="Times New Roman"/>
          <w:sz w:val="28"/>
        </w:rPr>
        <w:t>5</w:t>
      </w:r>
      <w:r w:rsidRPr="0004437A">
        <w:rPr>
          <w:rFonts w:ascii="Times New Roman" w:hAnsi="Times New Roman" w:cs="Times New Roman"/>
          <w:sz w:val="28"/>
        </w:rPr>
        <w:t xml:space="preserve"> заседани</w:t>
      </w:r>
      <w:r w:rsidR="00CE4C8F">
        <w:rPr>
          <w:rFonts w:ascii="Times New Roman" w:hAnsi="Times New Roman" w:cs="Times New Roman"/>
          <w:sz w:val="28"/>
        </w:rPr>
        <w:t>й</w:t>
      </w:r>
      <w:r w:rsidR="0007078E" w:rsidRPr="0004437A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04437A" w:rsidRDefault="0007078E" w:rsidP="00346CF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437A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04437A">
        <w:rPr>
          <w:rFonts w:ascii="Times New Roman" w:hAnsi="Times New Roman" w:cs="Times New Roman"/>
          <w:sz w:val="28"/>
        </w:rPr>
        <w:t>.</w:t>
      </w:r>
    </w:p>
    <w:p w:rsidR="006C3EF7" w:rsidRPr="0004437A" w:rsidRDefault="006C3EF7" w:rsidP="00346CF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29"/>
        <w:gridCol w:w="1700"/>
        <w:gridCol w:w="5160"/>
      </w:tblGrid>
      <w:tr w:rsidR="006C3EF7" w:rsidRPr="0004437A" w:rsidTr="006C3EF7">
        <w:trPr>
          <w:trHeight w:val="845"/>
        </w:trPr>
        <w:tc>
          <w:tcPr>
            <w:tcW w:w="217" w:type="pct"/>
            <w:vAlign w:val="center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31" w:type="pct"/>
            <w:vAlign w:val="center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04437A" w:rsidTr="006C3EF7">
        <w:trPr>
          <w:trHeight w:val="1560"/>
        </w:trPr>
        <w:tc>
          <w:tcPr>
            <w:tcW w:w="217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044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04437A" w:rsidRDefault="006C3EF7" w:rsidP="00346CFD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4437A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04437A" w:rsidRDefault="006C3EF7" w:rsidP="00346CFD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04437A" w:rsidTr="006C3EF7">
        <w:trPr>
          <w:trHeight w:val="560"/>
        </w:trPr>
        <w:tc>
          <w:tcPr>
            <w:tcW w:w="217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6C3EF7" w:rsidRPr="0004437A" w:rsidTr="006C3EF7">
        <w:trPr>
          <w:trHeight w:val="2088"/>
        </w:trPr>
        <w:tc>
          <w:tcPr>
            <w:tcW w:w="217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04437A" w:rsidTr="006C3EF7">
        <w:trPr>
          <w:trHeight w:val="1410"/>
        </w:trPr>
        <w:tc>
          <w:tcPr>
            <w:tcW w:w="217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04437A" w:rsidRDefault="006C3EF7" w:rsidP="00346C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6C3EF7" w:rsidRPr="0004437A" w:rsidTr="006C3EF7">
        <w:trPr>
          <w:trHeight w:val="2404"/>
        </w:trPr>
        <w:tc>
          <w:tcPr>
            <w:tcW w:w="217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1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04437A" w:rsidRDefault="006C3EF7" w:rsidP="00346C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04437A" w:rsidRDefault="006C3EF7" w:rsidP="00346C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A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04437A" w:rsidRDefault="008928B2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04437A" w:rsidRDefault="00A32670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5" w:name="_Toc34079825"/>
      <w:r w:rsidRPr="0004437A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04437A">
        <w:rPr>
          <w:rFonts w:ascii="Times New Roman" w:hAnsi="Times New Roman" w:cs="Times New Roman"/>
          <w:b/>
          <w:color w:val="auto"/>
        </w:rPr>
        <w:t>CASA-1000</w:t>
      </w:r>
      <w:bookmarkEnd w:id="25"/>
    </w:p>
    <w:p w:rsidR="00C82DFF" w:rsidRPr="0004437A" w:rsidRDefault="00C82DFF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04437A" w:rsidRDefault="006C42DB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04437A">
        <w:rPr>
          <w:rStyle w:val="body-c-c0"/>
          <w:i/>
          <w:sz w:val="28"/>
        </w:rPr>
        <w:t>Описание проекта</w:t>
      </w:r>
    </w:p>
    <w:p w:rsidR="006C42DB" w:rsidRPr="0004437A" w:rsidRDefault="006C42DB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04437A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04437A" w:rsidRDefault="006C42DB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04437A">
        <w:rPr>
          <w:rStyle w:val="body-c-c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6C42DB" w:rsidRPr="0004437A" w:rsidRDefault="006C42DB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04437A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04437A" w:rsidRDefault="006C42DB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04437A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04437A" w:rsidRDefault="006C42DB" w:rsidP="00346CFD">
      <w:pPr>
        <w:pStyle w:val="ad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04437A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Афганистанеи Пакистане;</w:t>
      </w:r>
    </w:p>
    <w:p w:rsidR="006C42DB" w:rsidRPr="0004437A" w:rsidRDefault="006C42DB" w:rsidP="00346CFD">
      <w:pPr>
        <w:pStyle w:val="ad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04437A">
        <w:rPr>
          <w:rStyle w:val="body-c-c0"/>
          <w:sz w:val="28"/>
          <w:szCs w:val="28"/>
        </w:rPr>
        <w:t>строительство двух-терминальных преобразовательных подстанций постоянного тока высокого напряжения (ПТВН) в Пакистане и Таджикистане.</w:t>
      </w:r>
    </w:p>
    <w:p w:rsidR="00410BC9" w:rsidRPr="0004437A" w:rsidRDefault="006C42DB" w:rsidP="00346CFD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37A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04437A">
        <w:rPr>
          <w:rStyle w:val="body-c-c0"/>
          <w:sz w:val="28"/>
          <w:szCs w:val="28"/>
        </w:rPr>
        <w:t>2 месяца (2021г).</w:t>
      </w:r>
    </w:p>
    <w:p w:rsidR="00435F25" w:rsidRPr="0004437A" w:rsidRDefault="00435F25" w:rsidP="00346CFD">
      <w:pPr>
        <w:pStyle w:val="a3"/>
        <w:tabs>
          <w:tab w:val="left" w:pos="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04437A" w:rsidRDefault="000A3B02" w:rsidP="00346CFD">
      <w:pPr>
        <w:pStyle w:val="1"/>
        <w:numPr>
          <w:ilvl w:val="0"/>
          <w:numId w:val="20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6" w:name="_Toc525902070"/>
      <w:bookmarkStart w:id="27" w:name="_Toc34079826"/>
      <w:bookmarkStart w:id="28" w:name="_Hlk10046153"/>
      <w:r w:rsidRPr="0004437A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26"/>
      <w:bookmarkEnd w:id="27"/>
    </w:p>
    <w:p w:rsidR="00620733" w:rsidRPr="0004437A" w:rsidRDefault="000A3B02" w:rsidP="00346CFD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437A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04437A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28"/>
    <w:p w:rsidR="007E21EB" w:rsidRPr="0004437A" w:rsidRDefault="007E21EB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CE4C8F" w:rsidRPr="00497A01" w:rsidRDefault="00CE4C8F" w:rsidP="00346CFD">
      <w:pPr>
        <w:pStyle w:val="1"/>
        <w:shd w:val="clear" w:color="auto" w:fill="FFFFFF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Государственный комитет промышленности, энергетики и недропользования Кыргызской Республики ожидает до 2030 года увеличения производства электроэнергии до 26 млрд кВт·ч по оптимистическому сценарию и до 17 млрд кВт·ч — по пессимистичному сценарию </w:t>
      </w:r>
      <w:r w:rsidRPr="00497A01">
        <w:rPr>
          <w:rFonts w:ascii="Times New Roman" w:eastAsia="Times New Roman" w:hAnsi="Times New Roman" w:cs="Times New Roman"/>
          <w:i/>
          <w:sz w:val="28"/>
          <w:szCs w:val="28"/>
        </w:rPr>
        <w:t>(09.07.2020г.).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При эффективной реализации задач и мероприятий, предусмотренных Концепцией развития топливно-энергетического комплекса Кыргызской Республики до 2030 года, ожидается развитие энергетической инфраструктуры, предоставляющей обеспечение электроэнергией с учетом роста потребления с увеличением производства электроэнергии до 26 млрд кВт·ч по оптимистическому сценарию и до 17 млрд кВт·ч по пессимистичному сценарию (если не сооружать новые ГЭС и Кара-Кечинскую ТЭС).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Также ожидается: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lastRenderedPageBreak/>
        <w:t>- решение социальных проблем по повышению надежности электроснабжения домохозяйств в отдаленных районах путем строительства новых участков ПС и ЛЭП, а также ввода источников автономного энергоснабжения за счет использования потенциала ВИЭ;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обеспечение потребности в электроэнергии электроемких производств ртути, сурьмы, цемента на существующих предприятиях, а также создание предприятий - легкой промышленности, по переработке и подготовке сельхозпродуктов для экспорта в страны ЕАЭС путем повышения энергоэффективности с достижением объема экономии энергии 11,1 млн т.у.т к 2030 году;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обеспечение потребности в ТЭР для развития строительства новых объектов и расширения курортных зон, культурных и спортивно-оздоровительных комплексов, соответствующих международным стандартам для полноценного развития всех форм туризма;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увеличение объема добычи угля на 30% за счет использования значительных запасов Кавакского буроугольного бассейна путем создания топливно-энергетического кластера на базе использования балансовых запасов буроугольного месторождении Кара-Кече в 2020-2025 гг., освоения Узгенского месторождения каменного угля и освоения участков в 2020-2022 гг. – Каратюбе и Кок-Кия, в 2025-2030 гг. – Бештерек и в 2026-2028 гг. - Читты-Аксур и добычи каменного угля, коксующихся углей и полуантрацитов в Ошской области, наращивания добычи угля Жыргаланского каменноугольного месторождения за счет строительства горизонта +2100 м ОАО «Шахта Жыргалан» и ОсООЖыргалан-Доргокомур» в Иссык-Кульской области, дальнейшей разработкой Сулюктинского буроугольного месторождения в Баткенской области;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увеличение доли ВИЭ с 1,7% до 5% путем ввода в работу малых ГЭС мощностью по Чуйской области – 71,8 МВт, по Жалал-Абадской области – 33,5 МВт, по Баткенской области – 13 МВт, по Нарынской области – 7,38 МВт, по Иссык-Кульской области – 7 МВт, по Ошской области – 6,2 МВт и по Таласской области – 1,6 МВт, при этом потребуется $314 млн при удельных капвложениях $2000 тыс. на 1 МВт;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развитие электрификации транспорта, создания предприятий по переработке сельхозпродуктов для экспорта в страны ЕАЭС с исполнением нормативов Парижского соглашения по непревышению показателя выбросов ПГ на душу населения в объеме 1,58 т СО2/чел. к 2050 г. и снижением энергоемкости ВВП на 19% к 2030 г;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увеличение трудовой занятости местного населения на новых энергообъектах с созданием горнопромышленного кластера в Баткенской и Иссык-Кульской областях, топливно-энергетического кластера в Жалал-Абадской и Нарынской областях;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повышение экономической устойчивости и платежеспособности предприятий ТЭК с минимизацией расходов предприятий электроэнергетики, обеспечением прозрачности бизнес-процессов и формирования тарифов по категориям потребителей, параллельно с разработкой системы мер по адресной социальной поддержке уязвимых слоев населения;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осуществление эффективной кадровой политики, создание системы подготовки и переподготовки высококвалифицированного персонала;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- создание механизмов по снижению коррупционных рисков в топливно-энергетическом комплексе.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sz w:val="28"/>
          <w:szCs w:val="28"/>
        </w:rPr>
        <w:t>Для преодоления ожидаемых рисков и угроз необходимо тщательно изучить вопрос целесообразности создания отдельного отраслевого государственного органа, уполномоченного в сфере ТЭК, в целях усиления государственной энергетической политики, повышения ответственности лиц, принимающих решения в сфере энергетики и их авторитета на международной арене и созданием структур, ответственных за преодоление и минимизацию воздействия выявленных рисков, а также за разработку государственных программ и стратегий с постоянным повышением кадрового потенциала сотрудников энергетических ведомств и компаний, говорится в концепции.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Узбекистан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экономике Узбекистана за 2 года благодаря мерам энергоэффективности планируется сэкономить 3,3 млрд кВт ч электроэнергии и 2,6 млрд кубометров природного газа </w:t>
      </w:r>
      <w:r w:rsidRPr="00497A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(14.07.2020г.).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параметры предусмотрены постановлением Президента страны РП-4779 от 10 июля 2020 года «О дополнительных мерах по снижению зависимости отраслей экономики от топливно-энергетических продуктов путем повышения энергоэффективности экономики и использования имеющихся ресурсов».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Энергоэффективность или, другими словами, рациональное использование энергоресурсов в экономической и социальной сферах является важным фактором повышения энергосбережения и рентабельности и конкурентоспособности производственного сектора, что в свою очередь оказывает серьезное влияние на энергетическую безопасность, создание рабочих мест, рост благосостояния населения и в целом развитие страны.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С 1 августа документ устанавливает тариф на гарантированную закупку электроэнергии у вновь вводимых солнечных, ветровых и биогазовых электростанций, микро-и малых гидроэлектростанций (ГЭС), в том числе избыточной электроэнергии, произведенной для собственных нужд.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определение инвесторов для строительства и эксплуатации промышленных электростанций на основе возобновляемых источников энергии (ВИЭ), за исключением гидроэлектростанций, осуществляется только через конкурсы.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на период с 15 июля по 31 декабря 2020 года устанавливает льготы для производителей, организовавших третью (ночную) смену в виде применения понижающего коэффициента платежей за использованную электроэнергию.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предприятий с долей государства не менее 50% возможность снижения обязательного требования по предоплате (до 30%) за природный газ и электроэнергию использоваться не будет.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утверждены целевые параметры экономии топливно-энергетических ресурсов в отраслях экономики на 2020-2022 годы, которые </w:t>
      </w: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предусматривают экономию электроэнергии в размере 3,3 млрд кВт * ч, природного газа - 2,6 млрд кубометров, нефтепродуктов - 16,3 тыс. тонн.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также утвердил дорожную карту повышения энергоэффективности на крупных предприятиях и график проведения энергоаудитов.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утверждена структура и определены источники финансирования ранее созданного внебюджетного межотраслевого Фонда энергосбережения, входящего в состав Министерства энергетики Республики Узбекистан.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ресурсы фонда используются для: финансирования подготовки технико-экономических обоснований проектов повышения энергоэффективности, в том числе повышения теплоизоляции зданий и многоквартирных жилых домов; создания тематических учебных центров; развития соответствующих стартапов и участия в уставном капитале предприятий по производству энергоблоков возобновляемых источников энергии, тепловых насосов, конденсаторных батарей и других продуктов, направленных на повышение энергоэффективности.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постановлении дан ряд поручений ответственным структурам, в том числе Министерству энергетики. В частности, предписано в течение 2 месяцев обеспечить привлечение ведущих компаний (отечественных и международных) для проведения энергоаудитов на 285 крупных промышленных предприятиях, а также внести предложение о расширении их перечня.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предусматривает создание единой информационной системы Минэнерго, ввод в эксплуатацию которой запланирован на конец 2021 года. На основе аналитических данных, полученных из Единой информационной системы, будет внедрен механизм обязательного энергоаудита предприятий с высоким энергопотреблением.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Туркменистан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Туркменистане началось строительство кольцевой энергосистемы </w:t>
      </w:r>
      <w:r w:rsidRPr="00497A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(23.07.2020г.).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В Туркменистане идёт реализация масштабного проекта по созданию кольцевой энергосистемы. Генеральный подрядчик - концерн «Туркменэнергострой» - начал работы по устройству железобетонных оснований ЛЭП Ахал-Балкан и Балкан-Дашогуз. Одновременно начато строительство электрической подстанции «Сердар-220».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Протяженность первого участка составит 450 километров. Помимо этого, строителям кольцевой энергосистемы предстоит проложить 560 километров воздушных линий электропередачи напряжением 500 кВ, будут введены в строй две подстанции напряжением 500/220/110 кВ и две - напряжением 220/110 кВ.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пояснили специалисты концерна, для ускорения работ весь маршрут будет разбит на несколько отрезков, на которых подразделения подрядчика одновременно приступят к установке высоковольтных опор и монтажу линий передачи. Проектом предусмотрена установка силовых трансформаторов, выключателей, разъединителей, релейной защиты и автоматики – оборудования, </w:t>
      </w: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изготовленного по европейским стандартам. Системы телемеханики, коммуникаций и SCADA для высоковольтных линий электропередачи и станций установит турецкая компания ÇalikEnerji.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средства льготного кредита, выделенного Азиатским банком развития, заказчик строительства - Государственная электроэнергетическая корпорация «Türkmenenergo» - заключила контракты и приобрела необходимое для строительства высоковольтных линий электропередачи и станций оборудование, материалы и автотехнику.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масштабного проекта нацелена на наращивание энергоэффективности и решение задач энергосбережения, устойчивое социально-экономическое развитие регионов страны и рост экспортного потенциала отрасли.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Таджикистан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Таджикистан продал электроэнергию в Афганистан и Узбекиcтан на $40 млн </w:t>
      </w:r>
      <w:r w:rsidRPr="00497A0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(28.07.2020г.).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Однако уменьшение притока воды в Нурекскую ГЭС привело к сокращению экспорта электроэнергии в Узбекистан и Афганистан. Экспорт таджикской электроэнергии за шесть месяцев нынешнего года по сравнению с прошлым годом сократилcя  на 324,9 млн кВт·ч.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Причина сокращения - уменьшение притока воды в Нурекскую ГЭС, заявил на встрече с журналистами глава ОАХК «Барки точик» МирзоИсмоилзода.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его словам, в Афганистан за шесть месяцев экспортировано 546,6 млн кВт·ч электроэнергии, а в Узбекистан - 358,3 млн кВт·ч. Если в Афганистан ежедневно экспортировалось 320 МВт, то сегодня этот показатель сократился до 40 МВт. Экспорт электроэнергии также сократился и в Узбекистан. В целом экспорт электроэнергии за шесть месяцев нынешнего года по сравнению с прошлым годом сократился на 324,9 млн кВт·ч. Это связано с уменьшением притока воды в Вахше и перераспределением сетей в Афганистане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Афганистан экспортировано электроэнергии на сумму свыше 23 млн долларов, в Узбекистан - свыше 7,2 млн долларов.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Приток воды на реке Вахш за последние три месяца уменьшился почти на 30%, из-за чего сократилось и поступление воды в Нурекскую ГЭС. Последнее два дня уровень воды в Вахше поднялся, что послужит увеличению объема экспорта электроэнергии. 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по проекту CASA-1000 в Таджикистане завершатся до конца 2021 года </w:t>
      </w:r>
      <w:r w:rsidRPr="00497A0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(16.07.2020г.).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Строительство линий электропередачи в рамках энергетического проекта CASA-1000 в Таджикистане завершится в срок. Об этом заявил замминистра энергетики и водных ресурсов республики ДжамшедШоимзода на пресс-конференции 14 июля в Душанбе.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Пандемия коронавируса, охватившая многие страны мира, не повлияла на ход строительных работ в рамках проекта CASA-1000, заявили в Министерстве энергетики Таджикистана.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«Работы ведутся согласно плану. На сегодняшний день в Республику Таджикистан доставлены более 30% необходимой строительной техники. По согласованию с Министерством энергетики завершены переговоры между подрядчиком Kalpataru и Nokili TALCO о покупке 1780 км кабеля на сумму 9,7 млн сомони», - сообщил ДжамшедШоимзода.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Реализацию проекта таджикского участка CASA-1000 планируется завершить до конца 2021 года.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 CASA-1000 предполагает поставки электроэнергии из Таджикистана и Кыргызстана в Афганистан и Пакистан. Ожидается, что 70% электроэнергии, которая поступит по ней в Афганистан и Пакистан, будет из Таджикистана, 30% из Кыргызстана.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роли инвесторов в Таджикистане выступают международные финансовые институты – Всемирный банк (ВБ), Европейский банк реконструкции и развития (ЕБРР), Исламский банк развития (ИБР), правительство Великобритании и другие.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частности, на реализацию таджикского участка указанного проекта ВБ выделит $45 млн., ИБР- $70 млн., ЕБРР – $110 млн.</w:t>
      </w:r>
    </w:p>
    <w:p w:rsidR="00CE4C8F" w:rsidRPr="00497A01" w:rsidRDefault="00CE4C8F" w:rsidP="00346C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Строительством объектов CASA-1000 в Таджикистане занимаются шведская компания АВВ и индийская компания KalpataruPowerTransmissionLtd.</w:t>
      </w:r>
    </w:p>
    <w:p w:rsidR="00CE4C8F" w:rsidRPr="00497A01" w:rsidRDefault="00CE4C8F" w:rsidP="00346C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8F" w:rsidRPr="00497A01" w:rsidRDefault="00CE4C8F" w:rsidP="00346C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E4C8F" w:rsidRPr="00497A01" w:rsidRDefault="00CE4C8F" w:rsidP="00346C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C8F" w:rsidRPr="00497A01" w:rsidRDefault="00CE4C8F" w:rsidP="00346C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«Зеленая» энергетика России уже обеспечила прирост инвестиций в 177 млрд рублей </w:t>
      </w:r>
      <w:r w:rsidRPr="00497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(29.07.2020).</w:t>
      </w:r>
    </w:p>
    <w:p w:rsidR="00CE4C8F" w:rsidRPr="00497A01" w:rsidRDefault="00CE4C8F" w:rsidP="00346C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в России с нуля «зеленая» энергетика уже обеспечила прирост инвестиций в размере 177 миллиардов рублей, к 2024 году сумма инвестиций достигнет 633 миллиардов рублей, сообщила Ассоциация развития возобновляемой энергетики.</w:t>
      </w:r>
    </w:p>
    <w:p w:rsidR="00CE4C8F" w:rsidRPr="00497A01" w:rsidRDefault="00CE4C8F" w:rsidP="00346C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инвестиции в создание новых промышленных производств генерирующего оборудования для солнечной, ветровой энергетики и малых гидроэлектростанций в рамках договоров поставки мощности (ДПМ ВИЭ, гарантируют возврат вложений через повышенные платежи потребителей) составили 40 миллиардов рублей.</w:t>
      </w:r>
    </w:p>
    <w:p w:rsidR="00CE4C8F" w:rsidRPr="00497A01" w:rsidRDefault="00CE4C8F" w:rsidP="00346C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 2014 по 2024 год действует программа поддержки "зеленой" энергетики, в том числе строительства электростанций, которые выбираются на конкурсном отборе. Им гарантируется окупаемость инвестиций в течение 15 лет с базовой доходностью 12% годовых с корректировкой на доходность облигаций федерального займа (ОФЗ). В настоящее время принято решение о продлении программы поддержки возобновляемых источников энергии с определенными корректировками до 2035 года, планируется провести новые отборы.</w:t>
      </w:r>
    </w:p>
    <w:p w:rsidR="00E04313" w:rsidRPr="007410EE" w:rsidRDefault="00E04313" w:rsidP="00346CFD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top"/>
      </w:pPr>
    </w:p>
    <w:sectPr w:rsidR="00E04313" w:rsidRPr="007410EE" w:rsidSect="00EC42B5">
      <w:headerReference w:type="default" r:id="rId11"/>
      <w:footerReference w:type="default" r:id="rId12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95" w:rsidRDefault="00254A95" w:rsidP="00AD7754">
      <w:pPr>
        <w:spacing w:after="0" w:line="240" w:lineRule="auto"/>
      </w:pPr>
      <w:r>
        <w:separator/>
      </w:r>
    </w:p>
  </w:endnote>
  <w:endnote w:type="continuationSeparator" w:id="1">
    <w:p w:rsidR="00254A95" w:rsidRDefault="00254A95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249336"/>
      <w:docPartObj>
        <w:docPartGallery w:val="Page Numbers (Bottom of Page)"/>
        <w:docPartUnique/>
      </w:docPartObj>
    </w:sdtPr>
    <w:sdtContent>
      <w:p w:rsidR="00F95F09" w:rsidRDefault="00F30861">
        <w:pPr>
          <w:pStyle w:val="a7"/>
          <w:jc w:val="right"/>
        </w:pPr>
        <w:r>
          <w:fldChar w:fldCharType="begin"/>
        </w:r>
        <w:r w:rsidR="00F95F09">
          <w:instrText>PAGE   \* MERGEFORMAT</w:instrText>
        </w:r>
        <w:r>
          <w:fldChar w:fldCharType="separate"/>
        </w:r>
        <w:r w:rsidR="006A5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F09" w:rsidRDefault="00F95F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95" w:rsidRDefault="00254A95" w:rsidP="00AD7754">
      <w:pPr>
        <w:spacing w:after="0" w:line="240" w:lineRule="auto"/>
      </w:pPr>
      <w:r>
        <w:separator/>
      </w:r>
    </w:p>
  </w:footnote>
  <w:footnote w:type="continuationSeparator" w:id="1">
    <w:p w:rsidR="00254A95" w:rsidRDefault="00254A95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7904"/>
    </w:tblGrid>
    <w:tr w:rsidR="00F95F09" w:rsidTr="009437D6">
      <w:tc>
        <w:tcPr>
          <w:tcW w:w="2235" w:type="dxa"/>
        </w:tcPr>
        <w:p w:rsidR="00F95F09" w:rsidRDefault="00F95F09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3" name="Рисунок 3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F95F09" w:rsidRDefault="00F95F09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F95F09" w:rsidRDefault="00F95F09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F95F09" w:rsidRPr="009437D6" w:rsidRDefault="00F95F09" w:rsidP="009437D6">
    <w:pP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2765ED"/>
    <w:multiLevelType w:val="hybridMultilevel"/>
    <w:tmpl w:val="D41A7230"/>
    <w:lvl w:ilvl="0" w:tplc="C62E75E2">
      <w:start w:val="7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4">
    <w:nsid w:val="485077DF"/>
    <w:multiLevelType w:val="hybridMultilevel"/>
    <w:tmpl w:val="E1F61CE4"/>
    <w:lvl w:ilvl="0" w:tplc="99340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73C46"/>
    <w:multiLevelType w:val="hybridMultilevel"/>
    <w:tmpl w:val="2E9A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37E26"/>
    <w:multiLevelType w:val="hybridMultilevel"/>
    <w:tmpl w:val="9CC4A4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007589"/>
    <w:multiLevelType w:val="hybridMultilevel"/>
    <w:tmpl w:val="A344FB1E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42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B4838"/>
    <w:multiLevelType w:val="hybridMultilevel"/>
    <w:tmpl w:val="9D5C6DBA"/>
    <w:lvl w:ilvl="0" w:tplc="04190001">
      <w:start w:val="1"/>
      <w:numFmt w:val="bullet"/>
      <w:lvlText w:val=""/>
      <w:lvlJc w:val="left"/>
      <w:pPr>
        <w:ind w:left="2453" w:hanging="10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2"/>
  </w:num>
  <w:num w:numId="4">
    <w:abstractNumId w:val="28"/>
  </w:num>
  <w:num w:numId="5">
    <w:abstractNumId w:val="1"/>
  </w:num>
  <w:num w:numId="6">
    <w:abstractNumId w:val="44"/>
  </w:num>
  <w:num w:numId="7">
    <w:abstractNumId w:val="3"/>
  </w:num>
  <w:num w:numId="8">
    <w:abstractNumId w:val="13"/>
  </w:num>
  <w:num w:numId="9">
    <w:abstractNumId w:val="10"/>
  </w:num>
  <w:num w:numId="10">
    <w:abstractNumId w:val="48"/>
  </w:num>
  <w:num w:numId="11">
    <w:abstractNumId w:val="36"/>
  </w:num>
  <w:num w:numId="12">
    <w:abstractNumId w:val="25"/>
  </w:num>
  <w:num w:numId="13">
    <w:abstractNumId w:val="9"/>
  </w:num>
  <w:num w:numId="14">
    <w:abstractNumId w:val="14"/>
  </w:num>
  <w:num w:numId="15">
    <w:abstractNumId w:val="47"/>
  </w:num>
  <w:num w:numId="16">
    <w:abstractNumId w:val="31"/>
  </w:num>
  <w:num w:numId="17">
    <w:abstractNumId w:val="49"/>
  </w:num>
  <w:num w:numId="18">
    <w:abstractNumId w:val="5"/>
  </w:num>
  <w:num w:numId="19">
    <w:abstractNumId w:val="46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4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32"/>
  </w:num>
  <w:num w:numId="31">
    <w:abstractNumId w:val="30"/>
  </w:num>
  <w:num w:numId="32">
    <w:abstractNumId w:val="43"/>
  </w:num>
  <w:num w:numId="33">
    <w:abstractNumId w:val="33"/>
  </w:num>
  <w:num w:numId="34">
    <w:abstractNumId w:val="39"/>
  </w:num>
  <w:num w:numId="35">
    <w:abstractNumId w:val="42"/>
  </w:num>
  <w:num w:numId="36">
    <w:abstractNumId w:val="27"/>
  </w:num>
  <w:num w:numId="37">
    <w:abstractNumId w:val="11"/>
  </w:num>
  <w:num w:numId="38">
    <w:abstractNumId w:val="15"/>
  </w:num>
  <w:num w:numId="39">
    <w:abstractNumId w:val="0"/>
  </w:num>
  <w:num w:numId="40">
    <w:abstractNumId w:val="35"/>
  </w:num>
  <w:num w:numId="41">
    <w:abstractNumId w:val="20"/>
  </w:num>
  <w:num w:numId="42">
    <w:abstractNumId w:val="22"/>
  </w:num>
  <w:num w:numId="43">
    <w:abstractNumId w:val="29"/>
  </w:num>
  <w:num w:numId="44">
    <w:abstractNumId w:val="19"/>
  </w:num>
  <w:num w:numId="45">
    <w:abstractNumId w:val="40"/>
  </w:num>
  <w:num w:numId="46">
    <w:abstractNumId w:val="41"/>
  </w:num>
  <w:num w:numId="47">
    <w:abstractNumId w:val="26"/>
  </w:num>
  <w:num w:numId="48">
    <w:abstractNumId w:val="23"/>
  </w:num>
  <w:num w:numId="49">
    <w:abstractNumId w:val="24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3749"/>
    <w:rsid w:val="00011542"/>
    <w:rsid w:val="000131F1"/>
    <w:rsid w:val="000134A2"/>
    <w:rsid w:val="00014143"/>
    <w:rsid w:val="00021D88"/>
    <w:rsid w:val="00023FFD"/>
    <w:rsid w:val="00025494"/>
    <w:rsid w:val="000312EB"/>
    <w:rsid w:val="000340CD"/>
    <w:rsid w:val="00034147"/>
    <w:rsid w:val="0003643D"/>
    <w:rsid w:val="00042141"/>
    <w:rsid w:val="0004437A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775AF"/>
    <w:rsid w:val="0008404C"/>
    <w:rsid w:val="00090E98"/>
    <w:rsid w:val="000A1C55"/>
    <w:rsid w:val="000A1F7A"/>
    <w:rsid w:val="000A2B7B"/>
    <w:rsid w:val="000A3B02"/>
    <w:rsid w:val="000A5314"/>
    <w:rsid w:val="000B0233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750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67B9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976AD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1F6F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4A95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95877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A9D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46CFD"/>
    <w:rsid w:val="003507C0"/>
    <w:rsid w:val="00350BC9"/>
    <w:rsid w:val="003521D1"/>
    <w:rsid w:val="003527BF"/>
    <w:rsid w:val="0035461D"/>
    <w:rsid w:val="003625A7"/>
    <w:rsid w:val="0036365D"/>
    <w:rsid w:val="0036607D"/>
    <w:rsid w:val="003663EF"/>
    <w:rsid w:val="0037340B"/>
    <w:rsid w:val="00376A05"/>
    <w:rsid w:val="00377FA9"/>
    <w:rsid w:val="00377FE7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3FCA"/>
    <w:rsid w:val="004449CF"/>
    <w:rsid w:val="00444D23"/>
    <w:rsid w:val="00445130"/>
    <w:rsid w:val="00452FF3"/>
    <w:rsid w:val="004550F2"/>
    <w:rsid w:val="00457F45"/>
    <w:rsid w:val="00461EC4"/>
    <w:rsid w:val="00462247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543B"/>
    <w:rsid w:val="004D745C"/>
    <w:rsid w:val="004E7604"/>
    <w:rsid w:val="004F55A3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2602D"/>
    <w:rsid w:val="00526154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30D5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338AC"/>
    <w:rsid w:val="00634EF4"/>
    <w:rsid w:val="006423D3"/>
    <w:rsid w:val="00642DF4"/>
    <w:rsid w:val="006432D5"/>
    <w:rsid w:val="00647A43"/>
    <w:rsid w:val="00647D9C"/>
    <w:rsid w:val="00650C3E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5C46"/>
    <w:rsid w:val="006A740E"/>
    <w:rsid w:val="006B060A"/>
    <w:rsid w:val="006B0CEA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2753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744"/>
    <w:rsid w:val="00727DC1"/>
    <w:rsid w:val="007362E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56FF"/>
    <w:rsid w:val="00786D0D"/>
    <w:rsid w:val="00791EEE"/>
    <w:rsid w:val="00794098"/>
    <w:rsid w:val="007943E5"/>
    <w:rsid w:val="00794953"/>
    <w:rsid w:val="007A0FD1"/>
    <w:rsid w:val="007A552A"/>
    <w:rsid w:val="007A7BD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6D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3D0D"/>
    <w:rsid w:val="00854D8B"/>
    <w:rsid w:val="00855837"/>
    <w:rsid w:val="00857454"/>
    <w:rsid w:val="0085783F"/>
    <w:rsid w:val="008647BB"/>
    <w:rsid w:val="00874172"/>
    <w:rsid w:val="008754CA"/>
    <w:rsid w:val="00875F55"/>
    <w:rsid w:val="00880821"/>
    <w:rsid w:val="0088122E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D1FF5"/>
    <w:rsid w:val="008D1FF8"/>
    <w:rsid w:val="008E6C08"/>
    <w:rsid w:val="008F0834"/>
    <w:rsid w:val="008F33E4"/>
    <w:rsid w:val="008F5437"/>
    <w:rsid w:val="008F6ECD"/>
    <w:rsid w:val="00900409"/>
    <w:rsid w:val="009025E2"/>
    <w:rsid w:val="009125D1"/>
    <w:rsid w:val="00914769"/>
    <w:rsid w:val="00916401"/>
    <w:rsid w:val="009165DF"/>
    <w:rsid w:val="009165E4"/>
    <w:rsid w:val="00932394"/>
    <w:rsid w:val="0093560C"/>
    <w:rsid w:val="00935771"/>
    <w:rsid w:val="00936844"/>
    <w:rsid w:val="00937577"/>
    <w:rsid w:val="0093791F"/>
    <w:rsid w:val="00942AB9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0917"/>
    <w:rsid w:val="00973314"/>
    <w:rsid w:val="00973D74"/>
    <w:rsid w:val="0097499E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183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15B2"/>
    <w:rsid w:val="00A42AA0"/>
    <w:rsid w:val="00A43411"/>
    <w:rsid w:val="00A4551D"/>
    <w:rsid w:val="00A5325B"/>
    <w:rsid w:val="00A53678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C3594"/>
    <w:rsid w:val="00AC6E74"/>
    <w:rsid w:val="00AD04EF"/>
    <w:rsid w:val="00AD1830"/>
    <w:rsid w:val="00AD24B7"/>
    <w:rsid w:val="00AD38CB"/>
    <w:rsid w:val="00AD7754"/>
    <w:rsid w:val="00AE458B"/>
    <w:rsid w:val="00AE6952"/>
    <w:rsid w:val="00AF0DCC"/>
    <w:rsid w:val="00AF4346"/>
    <w:rsid w:val="00B005A3"/>
    <w:rsid w:val="00B00FD2"/>
    <w:rsid w:val="00B01F44"/>
    <w:rsid w:val="00B022D7"/>
    <w:rsid w:val="00B025A4"/>
    <w:rsid w:val="00B0282E"/>
    <w:rsid w:val="00B1007E"/>
    <w:rsid w:val="00B116AC"/>
    <w:rsid w:val="00B1307B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01C1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298D"/>
    <w:rsid w:val="00BD35CB"/>
    <w:rsid w:val="00BD4E75"/>
    <w:rsid w:val="00BD6322"/>
    <w:rsid w:val="00BD648D"/>
    <w:rsid w:val="00BD7175"/>
    <w:rsid w:val="00BD7F80"/>
    <w:rsid w:val="00BE1470"/>
    <w:rsid w:val="00BE2DD3"/>
    <w:rsid w:val="00BE7C0C"/>
    <w:rsid w:val="00BF2E27"/>
    <w:rsid w:val="00BF5438"/>
    <w:rsid w:val="00C077F8"/>
    <w:rsid w:val="00C07CA7"/>
    <w:rsid w:val="00C13942"/>
    <w:rsid w:val="00C13A87"/>
    <w:rsid w:val="00C14154"/>
    <w:rsid w:val="00C16EF2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A4387"/>
    <w:rsid w:val="00CB2353"/>
    <w:rsid w:val="00CB44CF"/>
    <w:rsid w:val="00CB6062"/>
    <w:rsid w:val="00CB6A6A"/>
    <w:rsid w:val="00CC207E"/>
    <w:rsid w:val="00CC4053"/>
    <w:rsid w:val="00CC5613"/>
    <w:rsid w:val="00CD0299"/>
    <w:rsid w:val="00CD0D01"/>
    <w:rsid w:val="00CD238C"/>
    <w:rsid w:val="00CD3C45"/>
    <w:rsid w:val="00CD400E"/>
    <w:rsid w:val="00CD5BA5"/>
    <w:rsid w:val="00CD69C7"/>
    <w:rsid w:val="00CE11BD"/>
    <w:rsid w:val="00CE4C8F"/>
    <w:rsid w:val="00CF19E4"/>
    <w:rsid w:val="00CF4FDB"/>
    <w:rsid w:val="00CF62E6"/>
    <w:rsid w:val="00CF64DA"/>
    <w:rsid w:val="00CF6711"/>
    <w:rsid w:val="00D04771"/>
    <w:rsid w:val="00D06266"/>
    <w:rsid w:val="00D11B1F"/>
    <w:rsid w:val="00D11B94"/>
    <w:rsid w:val="00D14364"/>
    <w:rsid w:val="00D1483A"/>
    <w:rsid w:val="00D14E82"/>
    <w:rsid w:val="00D16459"/>
    <w:rsid w:val="00D309A9"/>
    <w:rsid w:val="00D36832"/>
    <w:rsid w:val="00D4090E"/>
    <w:rsid w:val="00D479CD"/>
    <w:rsid w:val="00D52355"/>
    <w:rsid w:val="00D53102"/>
    <w:rsid w:val="00D53D13"/>
    <w:rsid w:val="00D5557E"/>
    <w:rsid w:val="00D57B07"/>
    <w:rsid w:val="00D64058"/>
    <w:rsid w:val="00D649E4"/>
    <w:rsid w:val="00D67109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A7F76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DF515E"/>
    <w:rsid w:val="00E02D01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4FC"/>
    <w:rsid w:val="00E64F87"/>
    <w:rsid w:val="00E77C53"/>
    <w:rsid w:val="00E8047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5889"/>
    <w:rsid w:val="00F01E7E"/>
    <w:rsid w:val="00F048E2"/>
    <w:rsid w:val="00F063C2"/>
    <w:rsid w:val="00F06A8A"/>
    <w:rsid w:val="00F12C00"/>
    <w:rsid w:val="00F216EC"/>
    <w:rsid w:val="00F2546A"/>
    <w:rsid w:val="00F30861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95F09"/>
    <w:rsid w:val="00F97FED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1\Desktop\&#1050;&#1057;%20&#1052;&#1053;&#1069;%20&#1056;&#1050;\1.06\eks%20&#1086;&#1073;&#1083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7902485162327684E-2"/>
          <c:y val="2.8479242911537476E-2"/>
          <c:w val="0.96988727128533392"/>
          <c:h val="0.92717430039554938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-7.2285549143902153E-3"/>
                  <c:y val="-1.4786884033861975E-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-9,3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08929569724364E-3"/>
                  <c:y val="-1.4786884033861975E-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-2,3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081715417341801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-1,1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122573126012718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0,2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213773368581639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0,4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150072150072176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0,6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1942446043165489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0,7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2168054805423739E-3"/>
                  <c:y val="-3.7558685446009406E-3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1,5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2168054805423739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3,5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2097937216331794E-3"/>
                  <c:y val="-1.4786884033861975E-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4,6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7.2185110435202824E-3"/>
                  <c:y val="-2.9573768067723966E-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5,1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2168054805423739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5,2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7.209793721633179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1845735499278904E-2"/>
                  <c:y val="-5.6353110790728661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7,9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3873826582488013E-2"/>
                  <c:y val="5.2567372740379294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7,1</a:t>
                    </a:r>
                  </a:p>
                </c:rich>
              </c:tx>
              <c:spPr/>
              <c:dLblPos val="outEnd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215007215007217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AA5-4EE9-9282-54ADD272F254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7.2204061134957427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AA5-4EE9-9282-54ADD272F25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рус!$A$3:$A$19</c:f>
              <c:strCache>
                <c:ptCount val="17"/>
                <c:pt idx="3">
                  <c:v>г. Шымкент</c:v>
                </c:pt>
                <c:pt idx="4">
                  <c:v>Восточно-Казахстанская</c:v>
                </c:pt>
                <c:pt idx="5">
                  <c:v>Павлодарская</c:v>
                </c:pt>
                <c:pt idx="6">
                  <c:v>г. Алматы</c:v>
                </c:pt>
                <c:pt idx="7">
                  <c:v>Жамбылская</c:v>
                </c:pt>
                <c:pt idx="8">
                  <c:v>Карагандинская</c:v>
                </c:pt>
                <c:pt idx="9">
                  <c:v>Западно-Казахстанская</c:v>
                </c:pt>
                <c:pt idx="10">
                  <c:v>Алматинская</c:v>
                </c:pt>
                <c:pt idx="11">
                  <c:v>Туркестанская</c:v>
                </c:pt>
                <c:pt idx="12">
                  <c:v>Акмолинская</c:v>
                </c:pt>
                <c:pt idx="13">
                  <c:v>Атырауская</c:v>
                </c:pt>
                <c:pt idx="14">
                  <c:v>г. Нур-Султан</c:v>
                </c:pt>
                <c:pt idx="15">
                  <c:v>Костанайская</c:v>
                </c:pt>
                <c:pt idx="16">
                  <c:v>Северо-Казахстанская</c:v>
                </c:pt>
              </c:strCache>
            </c:strRef>
          </c:cat>
          <c:val>
            <c:numRef>
              <c:f>рус!$B$3:$B$19</c:f>
              <c:numCache>
                <c:formatCode>0.0</c:formatCode>
                <c:ptCount val="17"/>
                <c:pt idx="0">
                  <c:v>-9.3000000000000025</c:v>
                </c:pt>
                <c:pt idx="1">
                  <c:v>-2.2999999999999972</c:v>
                </c:pt>
                <c:pt idx="2">
                  <c:v>-1.0999999999999936</c:v>
                </c:pt>
                <c:pt idx="3">
                  <c:v>0.20000000000000284</c:v>
                </c:pt>
                <c:pt idx="4">
                  <c:v>0.40000000000000568</c:v>
                </c:pt>
                <c:pt idx="5">
                  <c:v>0.59999999999999443</c:v>
                </c:pt>
                <c:pt idx="6">
                  <c:v>0.70000000000000284</c:v>
                </c:pt>
                <c:pt idx="7">
                  <c:v>1.5</c:v>
                </c:pt>
                <c:pt idx="8">
                  <c:v>3.5</c:v>
                </c:pt>
                <c:pt idx="9">
                  <c:v>4.5999999999999943</c:v>
                </c:pt>
                <c:pt idx="10">
                  <c:v>5.0999999999999943</c:v>
                </c:pt>
                <c:pt idx="11">
                  <c:v>5.2000000000000028</c:v>
                </c:pt>
                <c:pt idx="12">
                  <c:v>6</c:v>
                </c:pt>
                <c:pt idx="13">
                  <c:v>7.0999999999999943</c:v>
                </c:pt>
                <c:pt idx="14">
                  <c:v>7.9000000000000075</c:v>
                </c:pt>
                <c:pt idx="15">
                  <c:v>9.0999999999999979</c:v>
                </c:pt>
                <c:pt idx="16">
                  <c:v>11.400000000000006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AA5-4EE9-9282-54ADD272F254}"/>
            </c:ext>
          </c:extLst>
        </c:ser>
        <c:axId val="98705408"/>
        <c:axId val="98706944"/>
      </c:barChart>
      <c:catAx>
        <c:axId val="98705408"/>
        <c:scaling>
          <c:orientation val="minMax"/>
        </c:scaling>
        <c:axPos val="l"/>
        <c:numFmt formatCode="General" sourceLinked="0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706944"/>
        <c:crosses val="autoZero"/>
        <c:auto val="1"/>
        <c:lblAlgn val="ctr"/>
        <c:lblOffset val="100"/>
        <c:tickLblSkip val="1"/>
        <c:tickMarkSkip val="1"/>
      </c:catAx>
      <c:valAx>
        <c:axId val="98706944"/>
        <c:scaling>
          <c:orientation val="minMax"/>
          <c:max val="20"/>
          <c:min val="-20"/>
        </c:scaling>
        <c:axPos val="b"/>
        <c:numFmt formatCode="0.0" sourceLinked="1"/>
        <c:tickLblPos val="none"/>
        <c:crossAx val="98705408"/>
        <c:crosses val="autoZero"/>
        <c:crossBetween val="between"/>
        <c:majorUnit val="4"/>
      </c:valAx>
    </c:plotArea>
    <c:plotVisOnly val="1"/>
    <c:dispBlanksAs val="gap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0.52249</cdr:x>
      <cdr:y>0.90261</cdr:y>
    </cdr:from>
    <cdr:to>
      <cdr:x>0.68606</cdr:x>
      <cdr:y>0.94647</cdr:y>
    </cdr:to>
    <cdr:sp macro="" textlink="">
      <cdr:nvSpPr>
        <cdr:cNvPr id="9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2066" y="3052071"/>
          <a:ext cx="864692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 Кызылординская</a:t>
          </a:r>
        </a:p>
      </cdr:txBody>
    </cdr:sp>
  </cdr:relSizeAnchor>
  <cdr:relSizeAnchor xmlns:cdr="http://schemas.openxmlformats.org/drawingml/2006/chartDrawing">
    <cdr:from>
      <cdr:x>0.52211</cdr:x>
      <cdr:y>0.78932</cdr:y>
    </cdr:from>
    <cdr:to>
      <cdr:x>0.68568</cdr:x>
      <cdr:y>0.83318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0065" y="2668995"/>
          <a:ext cx="864692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Актюбинская</a:t>
          </a:r>
        </a:p>
      </cdr:txBody>
    </cdr:sp>
  </cdr:relSizeAnchor>
  <cdr:relSizeAnchor xmlns:cdr="http://schemas.openxmlformats.org/drawingml/2006/chartDrawing">
    <cdr:from>
      <cdr:x>0.52136</cdr:x>
      <cdr:y>0.84723</cdr:y>
    </cdr:from>
    <cdr:to>
      <cdr:x>0.68493</cdr:x>
      <cdr:y>0.89109</cdr:y>
    </cdr:to>
    <cdr:sp macro="" textlink="">
      <cdr:nvSpPr>
        <cdr:cNvPr id="6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6100" y="2864786"/>
          <a:ext cx="864692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Мангистауская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0470-7613-43DC-BD41-DC2F6E66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homebook</cp:lastModifiedBy>
  <cp:revision>2</cp:revision>
  <cp:lastPrinted>2018-09-04T08:39:00Z</cp:lastPrinted>
  <dcterms:created xsi:type="dcterms:W3CDTF">2020-08-03T09:50:00Z</dcterms:created>
  <dcterms:modified xsi:type="dcterms:W3CDTF">2020-08-03T09:50:00Z</dcterms:modified>
</cp:coreProperties>
</file>