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583E36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D46F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612953C" wp14:editId="21F4068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A75">
        <w:rPr>
          <w:rFonts w:ascii="Times New Roman" w:hAnsi="Times New Roman" w:cs="Times New Roman"/>
          <w:b/>
          <w:sz w:val="28"/>
        </w:rPr>
        <w:t>А</w:t>
      </w:r>
      <w:r w:rsidR="004A4030" w:rsidRPr="000D0A75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:rsidR="00C16BDD" w:rsidRPr="000D46F5" w:rsidRDefault="00C16BDD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234085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  <w:r w:rsidR="00F770E3" w:rsidRPr="000D46F5">
        <w:rPr>
          <w:rFonts w:ascii="Times New Roman" w:hAnsi="Times New Roman" w:cs="Times New Roman"/>
          <w:b/>
          <w:sz w:val="28"/>
        </w:rPr>
        <w:t xml:space="preserve"> 20</w:t>
      </w:r>
      <w:r w:rsidR="004A4030">
        <w:rPr>
          <w:rFonts w:ascii="Times New Roman" w:hAnsi="Times New Roman" w:cs="Times New Roman"/>
          <w:b/>
          <w:sz w:val="28"/>
        </w:rPr>
        <w:t>22</w:t>
      </w:r>
      <w:r w:rsidR="00F770E3" w:rsidRPr="000D46F5">
        <w:rPr>
          <w:rFonts w:ascii="Times New Roman" w:hAnsi="Times New Roman" w:cs="Times New Roman"/>
          <w:b/>
          <w:sz w:val="28"/>
        </w:rPr>
        <w:t xml:space="preserve"> ГОДА</w:t>
      </w:r>
    </w:p>
    <w:p w:rsidR="00F770E3" w:rsidRPr="000D46F5" w:rsidRDefault="00F770E3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6BDD" w:rsidRPr="000D46F5" w:rsidRDefault="00C16BDD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37E8E" w:rsidRPr="000D46F5" w:rsidRDefault="00537E8E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21F87" w:rsidRPr="00B21A0A" w:rsidRDefault="00721F87" w:rsidP="00721F8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Департаментом «Развитие Рынка» </w:t>
      </w:r>
    </w:p>
    <w:p w:rsidR="00721F87" w:rsidRPr="00B21A0A" w:rsidRDefault="00721F87" w:rsidP="00721F8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0F513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Pr="00B21A0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8 (7172 )55-30-67</w:t>
      </w: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44761" w:rsidRPr="000D46F5" w:rsidRDefault="00844761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Pr="000D46F5" w:rsidRDefault="000C314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770E3" w:rsidRPr="000D46F5" w:rsidRDefault="00F770E3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3143" w:rsidRDefault="00234085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  <w:r w:rsidR="004774E8" w:rsidRPr="000D46F5">
        <w:rPr>
          <w:rFonts w:ascii="Times New Roman" w:hAnsi="Times New Roman" w:cs="Times New Roman"/>
          <w:b/>
          <w:sz w:val="28"/>
        </w:rPr>
        <w:t xml:space="preserve"> 20</w:t>
      </w:r>
      <w:r w:rsidR="004041A3" w:rsidRPr="000D46F5">
        <w:rPr>
          <w:rFonts w:ascii="Times New Roman" w:hAnsi="Times New Roman" w:cs="Times New Roman"/>
          <w:b/>
          <w:sz w:val="28"/>
        </w:rPr>
        <w:t>2</w:t>
      </w:r>
      <w:r w:rsidR="00B305B6" w:rsidRPr="000D46F5">
        <w:rPr>
          <w:rFonts w:ascii="Times New Roman" w:hAnsi="Times New Roman" w:cs="Times New Roman"/>
          <w:b/>
          <w:sz w:val="28"/>
        </w:rPr>
        <w:t>2</w:t>
      </w:r>
      <w:r w:rsidR="00721F87">
        <w:rPr>
          <w:rFonts w:ascii="Times New Roman" w:hAnsi="Times New Roman" w:cs="Times New Roman"/>
          <w:b/>
          <w:sz w:val="28"/>
        </w:rPr>
        <w:t xml:space="preserve"> </w:t>
      </w:r>
      <w:r w:rsidR="000C3143" w:rsidRPr="000D46F5">
        <w:rPr>
          <w:rFonts w:ascii="Times New Roman" w:hAnsi="Times New Roman" w:cs="Times New Roman"/>
          <w:b/>
          <w:sz w:val="28"/>
        </w:rPr>
        <w:t>г</w:t>
      </w:r>
      <w:r w:rsidR="00721F87">
        <w:rPr>
          <w:rFonts w:ascii="Times New Roman" w:hAnsi="Times New Roman" w:cs="Times New Roman"/>
          <w:b/>
          <w:sz w:val="28"/>
        </w:rPr>
        <w:t>ода</w:t>
      </w:r>
    </w:p>
    <w:p w:rsidR="00182B57" w:rsidRDefault="00182B5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82B57" w:rsidRDefault="00182B57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C462A" w:rsidRPr="000D46F5" w:rsidRDefault="00BC462A" w:rsidP="00D744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545712" w:rsidRPr="000D46F5" w:rsidRDefault="00545712" w:rsidP="00D744EE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0D46F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5369F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0D46F5">
            <w:rPr>
              <w:noProof w:val="0"/>
            </w:rPr>
            <w:fldChar w:fldCharType="begin"/>
          </w:r>
          <w:r w:rsidRPr="000D46F5">
            <w:rPr>
              <w:noProof w:val="0"/>
            </w:rPr>
            <w:instrText xml:space="preserve"> TOC \o "1-3" \h \z \u </w:instrText>
          </w:r>
          <w:r w:rsidRPr="000D46F5">
            <w:rPr>
              <w:noProof w:val="0"/>
            </w:rPr>
            <w:fldChar w:fldCharType="separate"/>
          </w:r>
          <w:hyperlink w:anchor="_Toc99467100" w:history="1">
            <w:r w:rsidR="0045369F" w:rsidRPr="00685EE8">
              <w:rPr>
                <w:rStyle w:val="aa"/>
                <w:b/>
              </w:rPr>
              <w:t>1.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_Toc99467100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3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1" w:history="1">
            <w:r w:rsidR="0045369F" w:rsidRPr="00685EE8">
              <w:rPr>
                <w:rStyle w:val="aa"/>
                <w:i/>
              </w:rPr>
              <w:t>1.1 Производство электроэнергии по областям РК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_Toc99467101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4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2" w:history="1">
            <w:r w:rsidR="0045369F" w:rsidRPr="00685EE8">
              <w:rPr>
                <w:rStyle w:val="aa"/>
                <w:i/>
              </w:rPr>
              <w:t>1.2 Производство электроэнергии энергопроизводящими организациями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_Toc99467102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5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3" w:history="1">
            <w:r w:rsidR="0045369F" w:rsidRPr="00685EE8">
              <w:rPr>
                <w:rStyle w:val="aa"/>
                <w:i/>
              </w:rPr>
              <w:t>АО «Самрук-Энерго»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_Toc99467103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5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4" w:history="1">
            <w:r w:rsidR="0045369F" w:rsidRPr="00685EE8">
              <w:rPr>
                <w:rStyle w:val="aa"/>
                <w:i/>
              </w:rPr>
              <w:t>1.3 Доли энергохолдингов и крупных энергопроизводящих организаций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_Toc99467104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5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5" w:history="1">
            <w:r w:rsidR="0045369F" w:rsidRPr="00685EE8">
              <w:rPr>
                <w:rStyle w:val="aa"/>
                <w:b/>
              </w:rPr>
              <w:t>2.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b/>
              </w:rPr>
              <w:t>Потребление электрической энергии в ЕЭС Казахстана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_Toc99467105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6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6" w:history="1">
            <w:r w:rsidR="0045369F" w:rsidRPr="00685EE8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_Toc99467106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7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7" w:history="1">
            <w:r w:rsidR="0045369F" w:rsidRPr="00685EE8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_Toc99467107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8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8" w:history="1">
            <w:r w:rsidR="0045369F" w:rsidRPr="00685EE8">
              <w:rPr>
                <w:rStyle w:val="aa"/>
                <w:i/>
              </w:rPr>
              <w:t>2.3</w:t>
            </w:r>
            <w:r w:rsidR="0045369F" w:rsidRPr="00685EE8">
              <w:rPr>
                <w:rStyle w:val="aa"/>
              </w:rPr>
              <w:t xml:space="preserve"> </w:t>
            </w:r>
            <w:r w:rsidR="0045369F" w:rsidRPr="00685EE8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_Toc99467108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9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09" w:history="1">
            <w:r w:rsidR="0045369F" w:rsidRPr="00685EE8">
              <w:rPr>
                <w:rStyle w:val="aa"/>
                <w:i/>
              </w:rPr>
              <w:t>2.4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i/>
              </w:rPr>
              <w:t>Экспорт-импорт электрической энергии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_Toc99467109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10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0" w:history="1">
            <w:r w:rsidR="0045369F" w:rsidRPr="00685EE8">
              <w:rPr>
                <w:rStyle w:val="aa"/>
                <w:b/>
              </w:rPr>
              <w:t>3.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b/>
              </w:rPr>
              <w:t>Уголь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_Toc99467110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11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1" w:history="1">
            <w:r w:rsidR="0045369F" w:rsidRPr="00685EE8">
              <w:rPr>
                <w:rStyle w:val="aa"/>
                <w:b/>
              </w:rPr>
              <w:t>4.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b/>
              </w:rPr>
              <w:t>Возобновляемые источники энергии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_Toc99467111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12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2" w:history="1">
            <w:r w:rsidR="0045369F" w:rsidRPr="00685EE8">
              <w:rPr>
                <w:rStyle w:val="aa"/>
                <w:i/>
              </w:rPr>
              <w:t>4.1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i/>
              </w:rPr>
              <w:t>Показатели ВИЭ в РК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_Toc99467112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12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3" w:history="1">
            <w:r w:rsidR="0045369F" w:rsidRPr="00685EE8">
              <w:rPr>
                <w:rStyle w:val="aa"/>
                <w:i/>
              </w:rPr>
              <w:t>4.2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_Toc99467113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12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4" w:history="1">
            <w:r w:rsidR="0045369F" w:rsidRPr="00685EE8">
              <w:rPr>
                <w:rStyle w:val="aa"/>
                <w:b/>
              </w:rPr>
              <w:t>5.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b/>
              </w:rPr>
              <w:t>Международное отношения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_Toc99467114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14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5" w:history="1">
            <w:r w:rsidR="0045369F" w:rsidRPr="00685EE8">
              <w:rPr>
                <w:rStyle w:val="aa"/>
                <w:i/>
              </w:rPr>
              <w:t>5.1 Статус формирования Общего электроэнергетического рынка Евразийского экономического союза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_Toc99467115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14</w:t>
            </w:r>
            <w:r w:rsidR="0045369F">
              <w:rPr>
                <w:webHidden/>
              </w:rPr>
              <w:fldChar w:fldCharType="end"/>
            </w:r>
          </w:hyperlink>
        </w:p>
        <w:p w:rsidR="0045369F" w:rsidRDefault="00C504DF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9467116" w:history="1">
            <w:r w:rsidR="0045369F" w:rsidRPr="00685EE8">
              <w:rPr>
                <w:rStyle w:val="aa"/>
                <w:rFonts w:eastAsia="Times New Roman"/>
                <w:i/>
              </w:rPr>
              <w:t>5.2</w:t>
            </w:r>
            <w:r w:rsidR="0045369F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5369F" w:rsidRPr="00685EE8">
              <w:rPr>
                <w:rStyle w:val="aa"/>
                <w:i/>
              </w:rPr>
              <w:t>Обзор СМИ в странах СНГ</w:t>
            </w:r>
            <w:r w:rsidR="0045369F">
              <w:rPr>
                <w:webHidden/>
              </w:rPr>
              <w:tab/>
            </w:r>
            <w:r w:rsidR="0045369F">
              <w:rPr>
                <w:webHidden/>
              </w:rPr>
              <w:fldChar w:fldCharType="begin"/>
            </w:r>
            <w:r w:rsidR="0045369F">
              <w:rPr>
                <w:webHidden/>
              </w:rPr>
              <w:instrText xml:space="preserve"> PAGEREF _Toc99467116 \h </w:instrText>
            </w:r>
            <w:r w:rsidR="0045369F">
              <w:rPr>
                <w:webHidden/>
              </w:rPr>
            </w:r>
            <w:r w:rsidR="0045369F">
              <w:rPr>
                <w:webHidden/>
              </w:rPr>
              <w:fldChar w:fldCharType="separate"/>
            </w:r>
            <w:r w:rsidR="0045369F">
              <w:rPr>
                <w:webHidden/>
              </w:rPr>
              <w:t>16</w:t>
            </w:r>
            <w:r w:rsidR="0045369F">
              <w:rPr>
                <w:webHidden/>
              </w:rPr>
              <w:fldChar w:fldCharType="end"/>
            </w:r>
          </w:hyperlink>
        </w:p>
        <w:p w:rsidR="006265C7" w:rsidRPr="000D46F5" w:rsidRDefault="00E712C1" w:rsidP="00D744EE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0D46F5">
            <w:rPr>
              <w:noProof w:val="0"/>
            </w:rPr>
            <w:fldChar w:fldCharType="end"/>
          </w:r>
        </w:p>
      </w:sdtContent>
    </w:sdt>
    <w:p w:rsidR="005D1AE3" w:rsidRPr="000D46F5" w:rsidRDefault="005D1AE3" w:rsidP="00F52587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:rsidR="00AC3F34" w:rsidRPr="000D46F5" w:rsidRDefault="00AC3F34" w:rsidP="00D744E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7E8E" w:rsidRPr="000D46F5" w:rsidRDefault="00537E8E" w:rsidP="00D744EE">
      <w:pPr>
        <w:spacing w:after="0" w:line="240" w:lineRule="auto"/>
        <w:rPr>
          <w:rFonts w:ascii="Times New Roman" w:hAnsi="Times New Roman" w:cs="Times New Roman"/>
        </w:rPr>
      </w:pPr>
      <w:r w:rsidRPr="000D46F5">
        <w:rPr>
          <w:rFonts w:ascii="Times New Roman" w:hAnsi="Times New Roman" w:cs="Times New Roman"/>
        </w:rPr>
        <w:br w:type="page"/>
      </w:r>
    </w:p>
    <w:p w:rsidR="00EE65F8" w:rsidRPr="000D46F5" w:rsidRDefault="00EE65F8" w:rsidP="000D0A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876" w:rsidRPr="000D46F5" w:rsidRDefault="00541D3A" w:rsidP="000D0A75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9467100"/>
      <w:r w:rsidRPr="000D46F5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Производство электрической энергии в ЕЭС Казахстана</w:t>
      </w:r>
      <w:bookmarkEnd w:id="0"/>
    </w:p>
    <w:p w:rsidR="00F31222" w:rsidRPr="000D46F5" w:rsidRDefault="00F31222" w:rsidP="000D0A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030" w:rsidRPr="002C3477" w:rsidRDefault="004A4030" w:rsidP="002C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3477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</w:t>
      </w:r>
      <w:r w:rsidR="007F1AC1" w:rsidRPr="002C3477">
        <w:rPr>
          <w:rFonts w:ascii="Times New Roman" w:hAnsi="Times New Roman" w:cs="Times New Roman"/>
          <w:sz w:val="28"/>
        </w:rPr>
        <w:t>январе-</w:t>
      </w:r>
      <w:r w:rsidR="00234085" w:rsidRPr="002C3477">
        <w:rPr>
          <w:rFonts w:ascii="Times New Roman" w:hAnsi="Times New Roman" w:cs="Times New Roman"/>
          <w:sz w:val="28"/>
        </w:rPr>
        <w:t>феврале</w:t>
      </w:r>
      <w:r w:rsidR="007F1AC1" w:rsidRPr="002C3477">
        <w:rPr>
          <w:rFonts w:ascii="Times New Roman" w:hAnsi="Times New Roman" w:cs="Times New Roman"/>
          <w:sz w:val="28"/>
        </w:rPr>
        <w:br/>
      </w:r>
      <w:r w:rsidRPr="002C3477">
        <w:rPr>
          <w:rFonts w:ascii="Times New Roman" w:hAnsi="Times New Roman" w:cs="Times New Roman"/>
          <w:sz w:val="28"/>
        </w:rPr>
        <w:t>202</w:t>
      </w:r>
      <w:r w:rsidR="00A404F1" w:rsidRPr="002C3477">
        <w:rPr>
          <w:rFonts w:ascii="Times New Roman" w:hAnsi="Times New Roman" w:cs="Times New Roman"/>
          <w:sz w:val="28"/>
        </w:rPr>
        <w:t>2</w:t>
      </w:r>
      <w:r w:rsidRPr="002C3477">
        <w:rPr>
          <w:rFonts w:ascii="Times New Roman" w:hAnsi="Times New Roman" w:cs="Times New Roman"/>
          <w:sz w:val="28"/>
        </w:rPr>
        <w:t xml:space="preserve"> года было выработано </w:t>
      </w:r>
      <w:r w:rsidR="00234085" w:rsidRPr="002C3477">
        <w:rPr>
          <w:rFonts w:ascii="Times New Roman" w:hAnsi="Times New Roman" w:cs="Times New Roman"/>
          <w:sz w:val="28"/>
        </w:rPr>
        <w:t xml:space="preserve">20 410,2 </w:t>
      </w:r>
      <w:r w:rsidRPr="002C3477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2C3477">
        <w:rPr>
          <w:rFonts w:ascii="Times New Roman" w:hAnsi="Times New Roman" w:cs="Times New Roman"/>
          <w:sz w:val="28"/>
        </w:rPr>
        <w:t>кВтч</w:t>
      </w:r>
      <w:proofErr w:type="spellEnd"/>
      <w:r w:rsidRPr="002C3477">
        <w:rPr>
          <w:rFonts w:ascii="Times New Roman" w:hAnsi="Times New Roman" w:cs="Times New Roman"/>
          <w:sz w:val="28"/>
        </w:rPr>
        <w:t xml:space="preserve"> электроэнергии, что на </w:t>
      </w:r>
      <w:r w:rsidR="008124C9" w:rsidRPr="002C3477">
        <w:rPr>
          <w:rFonts w:ascii="Times New Roman" w:hAnsi="Times New Roman" w:cs="Times New Roman"/>
          <w:sz w:val="28"/>
        </w:rPr>
        <w:t>16,4</w:t>
      </w:r>
      <w:r w:rsidR="00514FE9" w:rsidRPr="002C3477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="00514FE9" w:rsidRPr="002C3477">
        <w:rPr>
          <w:rFonts w:ascii="Times New Roman" w:hAnsi="Times New Roman" w:cs="Times New Roman"/>
          <w:sz w:val="28"/>
        </w:rPr>
        <w:t>кВтч</w:t>
      </w:r>
      <w:proofErr w:type="spellEnd"/>
      <w:r w:rsidR="00514FE9" w:rsidRPr="002C3477">
        <w:rPr>
          <w:rFonts w:ascii="Times New Roman" w:hAnsi="Times New Roman" w:cs="Times New Roman"/>
          <w:sz w:val="28"/>
        </w:rPr>
        <w:t xml:space="preserve"> или на </w:t>
      </w:r>
      <w:r w:rsidR="002C3477" w:rsidRPr="002C3477">
        <w:rPr>
          <w:rFonts w:ascii="Times New Roman" w:hAnsi="Times New Roman" w:cs="Times New Roman"/>
          <w:sz w:val="28"/>
        </w:rPr>
        <w:t>0,1</w:t>
      </w:r>
      <w:r w:rsidRPr="002C3477">
        <w:rPr>
          <w:rFonts w:ascii="Times New Roman" w:hAnsi="Times New Roman" w:cs="Times New Roman"/>
          <w:sz w:val="28"/>
        </w:rPr>
        <w:t xml:space="preserve">% </w:t>
      </w:r>
      <w:r w:rsidR="008124C9" w:rsidRPr="002C3477">
        <w:rPr>
          <w:rFonts w:ascii="Times New Roman" w:hAnsi="Times New Roman" w:cs="Times New Roman"/>
          <w:sz w:val="28"/>
        </w:rPr>
        <w:t>больше</w:t>
      </w:r>
      <w:r w:rsidR="00A404F1" w:rsidRPr="002C3477">
        <w:rPr>
          <w:rFonts w:ascii="Times New Roman" w:hAnsi="Times New Roman" w:cs="Times New Roman"/>
          <w:sz w:val="28"/>
        </w:rPr>
        <w:t xml:space="preserve"> аналогичного периода 2021</w:t>
      </w:r>
      <w:r w:rsidRPr="002C3477">
        <w:rPr>
          <w:rFonts w:ascii="Times New Roman" w:hAnsi="Times New Roman" w:cs="Times New Roman"/>
          <w:sz w:val="28"/>
        </w:rPr>
        <w:t xml:space="preserve"> года. </w:t>
      </w:r>
      <w:r w:rsidR="008124C9" w:rsidRPr="002C3477">
        <w:rPr>
          <w:rFonts w:ascii="Times New Roman" w:hAnsi="Times New Roman" w:cs="Times New Roman"/>
          <w:sz w:val="28"/>
        </w:rPr>
        <w:t>Увеличение</w:t>
      </w:r>
      <w:r w:rsidRPr="002C3477">
        <w:rPr>
          <w:rFonts w:ascii="Times New Roman" w:hAnsi="Times New Roman" w:cs="Times New Roman"/>
          <w:sz w:val="28"/>
        </w:rPr>
        <w:t xml:space="preserve"> выработки наблюдалось</w:t>
      </w:r>
      <w:r w:rsidR="00000C10" w:rsidRPr="002C3477">
        <w:rPr>
          <w:rFonts w:ascii="Times New Roman" w:hAnsi="Times New Roman" w:cs="Times New Roman"/>
          <w:sz w:val="28"/>
        </w:rPr>
        <w:t xml:space="preserve"> </w:t>
      </w:r>
      <w:r w:rsidR="008124C9" w:rsidRPr="002C3477">
        <w:rPr>
          <w:rFonts w:ascii="Times New Roman" w:hAnsi="Times New Roman" w:cs="Times New Roman"/>
          <w:sz w:val="28"/>
        </w:rPr>
        <w:t xml:space="preserve">по Южной и Западной зоне </w:t>
      </w:r>
      <w:r w:rsidR="00C12640" w:rsidRPr="002C3477">
        <w:rPr>
          <w:rFonts w:ascii="Times New Roman" w:hAnsi="Times New Roman" w:cs="Times New Roman"/>
          <w:sz w:val="28"/>
        </w:rPr>
        <w:t>ЕЭС Казахстана.</w:t>
      </w:r>
      <w:r w:rsidR="00BA276A" w:rsidRPr="002C3477">
        <w:rPr>
          <w:rFonts w:ascii="Times New Roman" w:hAnsi="Times New Roman" w:cs="Times New Roman"/>
          <w:sz w:val="28"/>
        </w:rPr>
        <w:t xml:space="preserve"> </w:t>
      </w:r>
    </w:p>
    <w:p w:rsidR="00794336" w:rsidRPr="002C3477" w:rsidRDefault="00794336" w:rsidP="002C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5F73" w:rsidRPr="002C3477" w:rsidRDefault="00305F73" w:rsidP="002C34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C3477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2C3477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Look w:val="04A0" w:firstRow="1" w:lastRow="0" w:firstColumn="1" w:lastColumn="0" w:noHBand="0" w:noVBand="1"/>
      </w:tblPr>
      <w:tblGrid>
        <w:gridCol w:w="1408"/>
        <w:gridCol w:w="1985"/>
        <w:gridCol w:w="1700"/>
        <w:gridCol w:w="1558"/>
        <w:gridCol w:w="1703"/>
        <w:gridCol w:w="1701"/>
      </w:tblGrid>
      <w:tr w:rsidR="00813004" w:rsidRPr="002C3477" w:rsidTr="00B35D81">
        <w:trPr>
          <w:trHeight w:val="324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bookmarkStart w:id="1" w:name="_Toc510196463"/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Тип генерации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9A2D7F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Январь-ф</w:t>
            </w:r>
            <w:r w:rsidR="00234085"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евраль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Δ, млн. </w:t>
            </w:r>
            <w:proofErr w:type="spellStart"/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813004" w:rsidRPr="002C3477" w:rsidTr="00B35D81">
        <w:trPr>
          <w:trHeight w:val="324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2021г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2022г</w:t>
            </w: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04" w:rsidRPr="002C3477" w:rsidRDefault="00813004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Казахстан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20</w:t>
            </w:r>
            <w:r w:rsidR="00012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410,2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2C3477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0,1</w:t>
            </w:r>
            <w:r w:rsidR="004F6ED1"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012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16</w:t>
            </w:r>
            <w:r w:rsidR="00012B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657,0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-199,5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-1,2%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12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2</w:t>
            </w:r>
            <w:r w:rsidR="00012B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002,4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8,7%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12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1</w:t>
            </w:r>
            <w:r w:rsidR="00012B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253,9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-15,7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-1,2%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332,9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58,7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21,4%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164,0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8,7%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БГУ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0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Северная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15646,2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15</w:t>
            </w:r>
            <w:r w:rsidR="00012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235,5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-410,7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-2,6%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13970,8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13</w:t>
            </w:r>
            <w:r w:rsidR="00D2471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 xml:space="preserve"> </w:t>
            </w: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470,0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-3,5%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547,8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-25,6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-4,4%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967,0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6,9%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190,3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46,1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31,9%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60,4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14,6%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БГУ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18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0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Южная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477">
              <w:rPr>
                <w:rFonts w:ascii="Times New Roman" w:hAnsi="Times New Roman" w:cs="Times New Roman"/>
                <w:b/>
                <w:sz w:val="24"/>
                <w:szCs w:val="24"/>
              </w:rPr>
              <w:t>547,3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241,7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10,5%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2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24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010,0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296,2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17,3%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55,5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2,9%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286,9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-21,4%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91,6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22,3%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103,3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5,6%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Западная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477">
              <w:rPr>
                <w:rFonts w:ascii="Times New Roman" w:hAnsi="Times New Roman" w:cs="Times New Roman"/>
                <w:b/>
                <w:sz w:val="24"/>
                <w:szCs w:val="24"/>
              </w:rPr>
              <w:t>627,4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b/>
                <w:sz w:val="24"/>
                <w:szCs w:val="20"/>
              </w:rPr>
              <w:t>7,6%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2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24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177,0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0,4%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ГТЭС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D247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24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399,1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15,2%</w:t>
            </w:r>
          </w:p>
        </w:tc>
      </w:tr>
      <w:tr w:rsidR="004F6ED1" w:rsidRPr="002C347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-7,4%</w:t>
            </w:r>
          </w:p>
        </w:tc>
      </w:tr>
      <w:tr w:rsidR="004F6ED1" w:rsidRPr="00A76F07" w:rsidTr="002C3477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ED1" w:rsidRPr="002C3477" w:rsidRDefault="004F6ED1" w:rsidP="002C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ED1" w:rsidRPr="002C3477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ED1" w:rsidRPr="004F6ED1" w:rsidRDefault="004F6ED1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2C3477">
              <w:rPr>
                <w:rFonts w:ascii="Times New Roman" w:hAnsi="Times New Roman" w:cs="Times New Roman"/>
                <w:i/>
                <w:sz w:val="24"/>
                <w:szCs w:val="20"/>
              </w:rPr>
              <w:t>0</w:t>
            </w:r>
          </w:p>
        </w:tc>
      </w:tr>
    </w:tbl>
    <w:p w:rsidR="00C16BDD" w:rsidRDefault="00C16BDD" w:rsidP="000D0A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514FE9" w:rsidRDefault="00514FE9" w:rsidP="00514FE9"/>
    <w:p w:rsidR="00514FE9" w:rsidRDefault="00514FE9" w:rsidP="00514FE9"/>
    <w:p w:rsidR="00514FE9" w:rsidRDefault="00514FE9" w:rsidP="00514FE9"/>
    <w:p w:rsidR="00514FE9" w:rsidRPr="00514FE9" w:rsidRDefault="00514FE9" w:rsidP="00514FE9"/>
    <w:p w:rsidR="00305F73" w:rsidRPr="000D46F5" w:rsidRDefault="004A4030" w:rsidP="000D0A7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99467101"/>
      <w:r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1.1 </w:t>
      </w:r>
      <w:r w:rsidR="00305F73" w:rsidRPr="000D46F5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:rsidR="00C16BDD" w:rsidRPr="000D46F5" w:rsidRDefault="00C16BDD" w:rsidP="000D0A75">
      <w:pPr>
        <w:spacing w:after="0" w:line="240" w:lineRule="auto"/>
        <w:rPr>
          <w:rFonts w:ascii="Times New Roman" w:hAnsi="Times New Roman" w:cs="Times New Roman"/>
        </w:rPr>
      </w:pPr>
    </w:p>
    <w:p w:rsidR="000D31B6" w:rsidRPr="002C3477" w:rsidRDefault="00A404F1" w:rsidP="00CE4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3477">
        <w:rPr>
          <w:rFonts w:ascii="Times New Roman" w:hAnsi="Times New Roman" w:cs="Times New Roman"/>
          <w:sz w:val="28"/>
        </w:rPr>
        <w:t>В январе</w:t>
      </w:r>
      <w:r w:rsidR="007F1AC1" w:rsidRPr="002C3477">
        <w:rPr>
          <w:rFonts w:ascii="Times New Roman" w:hAnsi="Times New Roman" w:cs="Times New Roman"/>
          <w:sz w:val="28"/>
        </w:rPr>
        <w:t>-феврале</w:t>
      </w:r>
      <w:r w:rsidRPr="002C3477">
        <w:rPr>
          <w:rFonts w:ascii="Times New Roman" w:hAnsi="Times New Roman" w:cs="Times New Roman"/>
          <w:sz w:val="28"/>
        </w:rPr>
        <w:t xml:space="preserve"> 2022</w:t>
      </w:r>
      <w:r w:rsidR="00305F73" w:rsidRPr="002C3477">
        <w:rPr>
          <w:rFonts w:ascii="Times New Roman" w:hAnsi="Times New Roman" w:cs="Times New Roman"/>
          <w:sz w:val="28"/>
        </w:rPr>
        <w:t xml:space="preserve"> года по сравнению с аналогичным периодом 202</w:t>
      </w:r>
      <w:r w:rsidRPr="002C3477">
        <w:rPr>
          <w:rFonts w:ascii="Times New Roman" w:hAnsi="Times New Roman" w:cs="Times New Roman"/>
          <w:sz w:val="28"/>
        </w:rPr>
        <w:t>1</w:t>
      </w:r>
      <w:r w:rsidR="00305F73" w:rsidRPr="002C3477">
        <w:rPr>
          <w:rFonts w:ascii="Times New Roman" w:hAnsi="Times New Roman" w:cs="Times New Roman"/>
          <w:sz w:val="28"/>
        </w:rPr>
        <w:t xml:space="preserve"> года производство электроэнергии значительно </w:t>
      </w:r>
      <w:r w:rsidR="00CE4699" w:rsidRPr="002C3477">
        <w:rPr>
          <w:rFonts w:ascii="Times New Roman" w:hAnsi="Times New Roman" w:cs="Times New Roman"/>
          <w:sz w:val="28"/>
        </w:rPr>
        <w:t>увеличилось</w:t>
      </w:r>
      <w:r w:rsidR="00C12640" w:rsidRPr="002C3477">
        <w:rPr>
          <w:rFonts w:ascii="Times New Roman" w:hAnsi="Times New Roman" w:cs="Times New Roman"/>
          <w:sz w:val="28"/>
        </w:rPr>
        <w:t xml:space="preserve"> </w:t>
      </w:r>
      <w:r w:rsidR="00305F73" w:rsidRPr="002C3477">
        <w:rPr>
          <w:rFonts w:ascii="Times New Roman" w:hAnsi="Times New Roman" w:cs="Times New Roman"/>
          <w:sz w:val="28"/>
        </w:rPr>
        <w:t>в</w:t>
      </w:r>
      <w:r w:rsidR="00C12640" w:rsidRPr="002C34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Акмолинской</w:t>
      </w:r>
      <w:proofErr w:type="spellEnd"/>
      <w:r w:rsidR="00C12640" w:rsidRPr="002C347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Атырауской</w:t>
      </w:r>
      <w:proofErr w:type="spellEnd"/>
      <w:r w:rsidR="00CE4699" w:rsidRPr="002C3477">
        <w:rPr>
          <w:rFonts w:ascii="Times New Roman" w:hAnsi="Times New Roman" w:cs="Times New Roman"/>
          <w:sz w:val="28"/>
        </w:rPr>
        <w:t>, Восточно-Казахстанской,</w:t>
      </w:r>
      <w:r w:rsidR="00C03B2F" w:rsidRPr="002C34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Жамбылской</w:t>
      </w:r>
      <w:proofErr w:type="spellEnd"/>
      <w:r w:rsidR="00C12640" w:rsidRPr="002C347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E4699" w:rsidRPr="002C3477">
        <w:rPr>
          <w:rFonts w:ascii="Times New Roman" w:hAnsi="Times New Roman" w:cs="Times New Roman"/>
          <w:sz w:val="28"/>
        </w:rPr>
        <w:t>Западно</w:t>
      </w:r>
      <w:r w:rsidR="00C12640" w:rsidRPr="002C3477">
        <w:rPr>
          <w:rFonts w:ascii="Times New Roman" w:hAnsi="Times New Roman" w:cs="Times New Roman"/>
          <w:sz w:val="28"/>
        </w:rPr>
        <w:t>-Казахстанской</w:t>
      </w:r>
      <w:proofErr w:type="gramEnd"/>
      <w:r w:rsidR="002C3477" w:rsidRPr="002C347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C3477" w:rsidRPr="002C3477">
        <w:rPr>
          <w:rFonts w:ascii="Times New Roman" w:hAnsi="Times New Roman" w:cs="Times New Roman"/>
          <w:sz w:val="28"/>
        </w:rPr>
        <w:t>Костана</w:t>
      </w:r>
      <w:r w:rsidR="00CE4699" w:rsidRPr="002C3477">
        <w:rPr>
          <w:rFonts w:ascii="Times New Roman" w:hAnsi="Times New Roman" w:cs="Times New Roman"/>
          <w:sz w:val="28"/>
        </w:rPr>
        <w:t>йской</w:t>
      </w:r>
      <w:proofErr w:type="spellEnd"/>
      <w:r w:rsidR="00C12640" w:rsidRPr="002C3477">
        <w:rPr>
          <w:rFonts w:ascii="Times New Roman" w:hAnsi="Times New Roman" w:cs="Times New Roman"/>
          <w:sz w:val="28"/>
        </w:rPr>
        <w:t xml:space="preserve"> </w:t>
      </w:r>
      <w:r w:rsidR="00305F73" w:rsidRPr="002C347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Мангистауской</w:t>
      </w:r>
      <w:proofErr w:type="spellEnd"/>
      <w:r w:rsidR="00305F73" w:rsidRPr="002C3477">
        <w:rPr>
          <w:rFonts w:ascii="Times New Roman" w:hAnsi="Times New Roman" w:cs="Times New Roman"/>
          <w:sz w:val="28"/>
        </w:rPr>
        <w:t xml:space="preserve"> областях. </w:t>
      </w:r>
      <w:r w:rsidR="00CE4699" w:rsidRPr="002C3477">
        <w:rPr>
          <w:rFonts w:ascii="Times New Roman" w:hAnsi="Times New Roman" w:cs="Times New Roman"/>
          <w:sz w:val="28"/>
        </w:rPr>
        <w:t xml:space="preserve">Резкое увеличение производства электроэнергии в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Жамбылской</w:t>
      </w:r>
      <w:proofErr w:type="spellEnd"/>
      <w:r w:rsidR="00CE4699" w:rsidRPr="002C3477">
        <w:rPr>
          <w:rFonts w:ascii="Times New Roman" w:hAnsi="Times New Roman" w:cs="Times New Roman"/>
          <w:sz w:val="28"/>
        </w:rPr>
        <w:t xml:space="preserve"> области на 351,1 млн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кВтч</w:t>
      </w:r>
      <w:proofErr w:type="spellEnd"/>
      <w:proofErr w:type="gramStart"/>
      <w:r w:rsidR="00CE4699" w:rsidRPr="002C3477">
        <w:rPr>
          <w:rFonts w:ascii="Times New Roman" w:hAnsi="Times New Roman" w:cs="Times New Roman"/>
          <w:sz w:val="28"/>
        </w:rPr>
        <w:t>.</w:t>
      </w:r>
      <w:proofErr w:type="gramEnd"/>
      <w:r w:rsidR="00CE4699" w:rsidRPr="002C3477">
        <w:rPr>
          <w:rFonts w:ascii="Times New Roman" w:hAnsi="Times New Roman" w:cs="Times New Roman"/>
          <w:sz w:val="28"/>
        </w:rPr>
        <w:t xml:space="preserve"> или на 64,2% связано с включением дополнительно двух блоков</w:t>
      </w:r>
      <w:r w:rsidR="009669D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9669D2">
        <w:rPr>
          <w:rFonts w:ascii="Times New Roman" w:hAnsi="Times New Roman" w:cs="Times New Roman"/>
          <w:sz w:val="28"/>
        </w:rPr>
        <w:t>Жамбылской</w:t>
      </w:r>
      <w:proofErr w:type="spellEnd"/>
      <w:r w:rsidR="009669D2">
        <w:rPr>
          <w:rFonts w:ascii="Times New Roman" w:hAnsi="Times New Roman" w:cs="Times New Roman"/>
          <w:sz w:val="28"/>
        </w:rPr>
        <w:t xml:space="preserve"> ГРЭС</w:t>
      </w:r>
      <w:r w:rsidR="00CE4699" w:rsidRPr="002C3477">
        <w:rPr>
          <w:rFonts w:ascii="Times New Roman" w:hAnsi="Times New Roman" w:cs="Times New Roman"/>
          <w:sz w:val="28"/>
        </w:rPr>
        <w:t xml:space="preserve"> в целях покрытия дефицита электроэнергии в Южной зоне. </w:t>
      </w:r>
    </w:p>
    <w:p w:rsidR="00794336" w:rsidRPr="000D46F5" w:rsidRDefault="00305F73" w:rsidP="00D00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3477">
        <w:rPr>
          <w:rFonts w:ascii="Times New Roman" w:hAnsi="Times New Roman" w:cs="Times New Roman"/>
          <w:sz w:val="28"/>
        </w:rPr>
        <w:t xml:space="preserve">В то же время, </w:t>
      </w:r>
      <w:r w:rsidR="00CE4699" w:rsidRPr="002C3477">
        <w:rPr>
          <w:rFonts w:ascii="Times New Roman" w:hAnsi="Times New Roman" w:cs="Times New Roman"/>
          <w:sz w:val="28"/>
        </w:rPr>
        <w:t>уменьшение</w:t>
      </w:r>
      <w:r w:rsidRPr="002C3477">
        <w:rPr>
          <w:rFonts w:ascii="Times New Roman" w:hAnsi="Times New Roman" w:cs="Times New Roman"/>
          <w:sz w:val="28"/>
        </w:rPr>
        <w:t xml:space="preserve"> производства электроэнергии наблюдалось в</w:t>
      </w:r>
      <w:r w:rsidR="00C12640" w:rsidRPr="002C3477">
        <w:rPr>
          <w:rFonts w:ascii="Times New Roman" w:hAnsi="Times New Roman" w:cs="Times New Roman"/>
          <w:sz w:val="28"/>
        </w:rPr>
        <w:t xml:space="preserve"> </w:t>
      </w:r>
      <w:r w:rsidR="00CE4699" w:rsidRPr="002C3477">
        <w:rPr>
          <w:rFonts w:ascii="Times New Roman" w:hAnsi="Times New Roman" w:cs="Times New Roman"/>
          <w:sz w:val="28"/>
        </w:rPr>
        <w:t>Актюбинской</w:t>
      </w:r>
      <w:r w:rsidR="00C12640" w:rsidRPr="002C347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E4699" w:rsidRPr="002C3477">
        <w:rPr>
          <w:rFonts w:ascii="Times New Roman" w:hAnsi="Times New Roman" w:cs="Times New Roman"/>
          <w:sz w:val="28"/>
        </w:rPr>
        <w:t>Алматинской</w:t>
      </w:r>
      <w:proofErr w:type="spellEnd"/>
      <w:r w:rsidR="00CE4699" w:rsidRPr="002C3477">
        <w:rPr>
          <w:rFonts w:ascii="Times New Roman" w:hAnsi="Times New Roman" w:cs="Times New Roman"/>
          <w:sz w:val="28"/>
        </w:rPr>
        <w:t>, Карагандинской</w:t>
      </w:r>
      <w:r w:rsidR="002C3477" w:rsidRPr="002C347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C3477" w:rsidRPr="002C3477">
        <w:rPr>
          <w:rFonts w:ascii="Times New Roman" w:hAnsi="Times New Roman" w:cs="Times New Roman"/>
          <w:sz w:val="28"/>
        </w:rPr>
        <w:t>Кызылординской</w:t>
      </w:r>
      <w:proofErr w:type="spellEnd"/>
      <w:r w:rsidR="002C3477" w:rsidRPr="002C347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2C3477" w:rsidRPr="002C3477">
        <w:rPr>
          <w:rFonts w:ascii="Times New Roman" w:hAnsi="Times New Roman" w:cs="Times New Roman"/>
          <w:sz w:val="28"/>
        </w:rPr>
        <w:t xml:space="preserve">Павлодарской, </w:t>
      </w:r>
      <w:r w:rsidR="00CE4699" w:rsidRPr="002C3477">
        <w:rPr>
          <w:rFonts w:ascii="Times New Roman" w:hAnsi="Times New Roman" w:cs="Times New Roman"/>
          <w:sz w:val="28"/>
        </w:rPr>
        <w:t xml:space="preserve"> Северо</w:t>
      </w:r>
      <w:proofErr w:type="gramEnd"/>
      <w:r w:rsidR="00CE4699" w:rsidRPr="002C3477">
        <w:rPr>
          <w:rFonts w:ascii="Times New Roman" w:hAnsi="Times New Roman" w:cs="Times New Roman"/>
          <w:sz w:val="28"/>
        </w:rPr>
        <w:t xml:space="preserve">-Казахстанской </w:t>
      </w:r>
      <w:r w:rsidR="002C3477" w:rsidRPr="002C3477">
        <w:rPr>
          <w:rFonts w:ascii="Times New Roman" w:hAnsi="Times New Roman" w:cs="Times New Roman"/>
          <w:sz w:val="28"/>
        </w:rPr>
        <w:t xml:space="preserve">и Туркестанской </w:t>
      </w:r>
      <w:r w:rsidRPr="002C3477">
        <w:rPr>
          <w:rFonts w:ascii="Times New Roman" w:hAnsi="Times New Roman" w:cs="Times New Roman"/>
          <w:sz w:val="28"/>
        </w:rPr>
        <w:t xml:space="preserve">областях. </w:t>
      </w:r>
    </w:p>
    <w:p w:rsidR="00305F73" w:rsidRPr="000D46F5" w:rsidRDefault="00305F73" w:rsidP="000D0A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D46F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D46F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514FE9" w:rsidRPr="00A76F07" w:rsidTr="00B35D81">
        <w:trPr>
          <w:trHeight w:val="324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5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5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Январь</w:t>
            </w:r>
            <w:r w:rsidR="007F1AC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-февраль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Δ, млн. </w:t>
            </w:r>
            <w:proofErr w:type="spellStart"/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514FE9" w:rsidRPr="00A76F07" w:rsidTr="00B35D81">
        <w:trPr>
          <w:trHeight w:val="32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E9" w:rsidRPr="00A76F07" w:rsidRDefault="00514FE9" w:rsidP="005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E9" w:rsidRPr="00A76F07" w:rsidRDefault="00514FE9" w:rsidP="0051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2022г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E9" w:rsidRPr="00A76F07" w:rsidRDefault="00514FE9" w:rsidP="009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040,3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="002C3477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Актюбинская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676,5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2C3477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1 301,0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2C3477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1 152,2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13,1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Восточно-Казахстанская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1 438,3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546,9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898</w:t>
            </w:r>
            <w:r w:rsidR="002C3477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445,5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Карагандинская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2 785,4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-221,9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2C3477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221,4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Кызылординская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-1,4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Павлодарская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8 936,6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012B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810,9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-1,4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Северо-Казахстанская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623,8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402,8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-221</w:t>
            </w:r>
            <w:r w:rsidR="002C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-35,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Туркестанская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7F1AC1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F1AC1">
              <w:rPr>
                <w:rFonts w:ascii="Times New Roman" w:hAnsi="Times New Roman" w:cs="Times New Roman"/>
                <w:sz w:val="24"/>
                <w:szCs w:val="20"/>
              </w:rPr>
              <w:t>337,2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280,4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sz w:val="24"/>
                <w:szCs w:val="24"/>
              </w:rPr>
              <w:t>-56,8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4699">
              <w:rPr>
                <w:rFonts w:ascii="Times New Roman" w:hAnsi="Times New Roman" w:cs="Times New Roman"/>
                <w:sz w:val="24"/>
                <w:szCs w:val="20"/>
              </w:rPr>
              <w:t>-16,8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</w:tr>
      <w:tr w:rsidR="00CE4699" w:rsidRPr="00A76F07" w:rsidTr="002C3477">
        <w:trPr>
          <w:trHeight w:val="3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99" w:rsidRPr="00A76F07" w:rsidRDefault="00CE4699" w:rsidP="00CE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A76F0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Итого по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b/>
                <w:sz w:val="24"/>
                <w:szCs w:val="20"/>
              </w:rPr>
              <w:t>20 393,8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4699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="00012B2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E4699">
              <w:rPr>
                <w:rFonts w:ascii="Times New Roman" w:hAnsi="Times New Roman" w:cs="Times New Roman"/>
                <w:b/>
                <w:sz w:val="24"/>
                <w:szCs w:val="20"/>
              </w:rPr>
              <w:t>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CE4699" w:rsidP="00CE4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99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99" w:rsidRPr="00CE4699" w:rsidRDefault="002C3477" w:rsidP="00CE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0,1</w:t>
            </w:r>
            <w:r w:rsidR="00CE4699" w:rsidRPr="00CE4699">
              <w:rPr>
                <w:rFonts w:ascii="Times New Roman" w:hAnsi="Times New Roman" w:cs="Times New Roman"/>
                <w:b/>
                <w:sz w:val="24"/>
                <w:szCs w:val="20"/>
              </w:rPr>
              <w:t>%</w:t>
            </w:r>
          </w:p>
        </w:tc>
      </w:tr>
    </w:tbl>
    <w:p w:rsidR="00E566ED" w:rsidRDefault="00E566ED" w:rsidP="00E566ED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794336" w:rsidRDefault="00794336">
      <w:r>
        <w:br w:type="page"/>
      </w:r>
    </w:p>
    <w:p w:rsidR="00BF3092" w:rsidRPr="00B35D81" w:rsidRDefault="009E35F6" w:rsidP="00B35D81">
      <w:pPr>
        <w:pStyle w:val="1"/>
        <w:spacing w:before="0" w:line="240" w:lineRule="auto"/>
        <w:jc w:val="center"/>
        <w:rPr>
          <w:rFonts w:ascii="Times New Roman" w:eastAsia="Yu Gothic UI Semibold" w:hAnsi="Times New Roman" w:cs="Times New Roman"/>
          <w:i/>
          <w:sz w:val="28"/>
          <w:szCs w:val="28"/>
        </w:rPr>
      </w:pPr>
      <w:bookmarkStart w:id="3" w:name="_Toc99467102"/>
      <w:r w:rsidRPr="006B4B0C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1.2 </w:t>
      </w:r>
      <w:bookmarkStart w:id="4" w:name="_Toc510196465"/>
      <w:r w:rsidR="00763ABA"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Производство электроэнергии </w:t>
      </w:r>
      <w:proofErr w:type="spellStart"/>
      <w:r w:rsidR="00763ABA" w:rsidRPr="00F52587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энергопроизводящими</w:t>
      </w:r>
      <w:proofErr w:type="spellEnd"/>
      <w:r w:rsidR="00763ABA"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о</w:t>
      </w:r>
      <w:r w:rsidR="00F52587">
        <w:rPr>
          <w:rFonts w:ascii="Times New Roman" w:hAnsi="Times New Roman" w:cs="Times New Roman"/>
          <w:i/>
          <w:color w:val="000000" w:themeColor="text1"/>
          <w:sz w:val="28"/>
        </w:rPr>
        <w:t>рганизациями</w:t>
      </w:r>
      <w:bookmarkEnd w:id="3"/>
      <w:r w:rsid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</w:p>
    <w:p w:rsidR="00763ABA" w:rsidRPr="00BF3092" w:rsidRDefault="000F513C" w:rsidP="00BF309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5" w:name="_Toc99467103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АО «Самрук-Энерго»</w:t>
      </w:r>
      <w:bookmarkEnd w:id="5"/>
    </w:p>
    <w:p w:rsidR="000F513C" w:rsidRPr="006B4B0C" w:rsidRDefault="000F513C" w:rsidP="00EF54F8">
      <w:pPr>
        <w:spacing w:after="0" w:line="240" w:lineRule="auto"/>
        <w:ind w:firstLine="709"/>
        <w:contextualSpacing/>
        <w:jc w:val="center"/>
        <w:rPr>
          <w:rFonts w:ascii="Times New Roman" w:eastAsia="Yu Gothic UI Semibold" w:hAnsi="Times New Roman" w:cs="Times New Roman"/>
          <w:i/>
          <w:sz w:val="28"/>
          <w:szCs w:val="28"/>
        </w:rPr>
      </w:pPr>
    </w:p>
    <w:p w:rsidR="000D46F5" w:rsidRPr="00862F90" w:rsidRDefault="008364B1" w:rsidP="00D744EE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54179A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</w:t>
      </w:r>
      <w:r w:rsidR="00B36051" w:rsidRPr="0054179A">
        <w:rPr>
          <w:rFonts w:ascii="Times New Roman" w:eastAsia="Yu Gothic UI Semibold" w:hAnsi="Times New Roman" w:cs="Times New Roman"/>
          <w:sz w:val="28"/>
          <w:szCs w:val="28"/>
        </w:rPr>
        <w:t>и АО «</w:t>
      </w:r>
      <w:proofErr w:type="spellStart"/>
      <w:r w:rsidR="00B36051" w:rsidRPr="0054179A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="00B36051" w:rsidRPr="0054179A">
        <w:rPr>
          <w:rFonts w:ascii="Times New Roman" w:eastAsia="Yu Gothic UI Semibold" w:hAnsi="Times New Roman" w:cs="Times New Roman"/>
          <w:sz w:val="28"/>
          <w:szCs w:val="28"/>
        </w:rPr>
        <w:t>» за январь</w:t>
      </w:r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-февраль</w:t>
      </w:r>
      <w:r w:rsidR="00B36051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Pr="0054179A">
        <w:rPr>
          <w:rFonts w:ascii="Times New Roman" w:eastAsia="Yu Gothic UI Semibold" w:hAnsi="Times New Roman" w:cs="Times New Roman"/>
          <w:sz w:val="28"/>
          <w:szCs w:val="28"/>
        </w:rPr>
        <w:t>202</w:t>
      </w:r>
      <w:r w:rsidR="0076489C" w:rsidRPr="0054179A">
        <w:rPr>
          <w:rFonts w:ascii="Times New Roman" w:eastAsia="Yu Gothic UI Semibold" w:hAnsi="Times New Roman" w:cs="Times New Roman"/>
          <w:sz w:val="28"/>
          <w:szCs w:val="28"/>
        </w:rPr>
        <w:t>2</w:t>
      </w:r>
      <w:r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года составил </w:t>
      </w:r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6 344,1</w:t>
      </w:r>
      <w:r w:rsidRPr="0054179A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млн. </w:t>
      </w:r>
      <w:proofErr w:type="spellStart"/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 w:rsidR="0076489C" w:rsidRPr="0054179A">
        <w:rPr>
          <w:rFonts w:ascii="Times New Roman" w:eastAsia="Yu Gothic UI Semibold" w:hAnsi="Times New Roman" w:cs="Times New Roman"/>
          <w:sz w:val="28"/>
          <w:szCs w:val="28"/>
        </w:rPr>
        <w:t>Снижение</w:t>
      </w:r>
      <w:r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</w:t>
      </w:r>
      <w:r w:rsidRPr="0054179A">
        <w:rPr>
          <w:rFonts w:ascii="Times New Roman" w:eastAsia="Yu Gothic UI Semibold" w:hAnsi="Times New Roman" w:cs="Times New Roman"/>
          <w:sz w:val="28"/>
          <w:szCs w:val="28"/>
        </w:rPr>
        <w:t>в сравнении с показателями аналогичного периода 202</w:t>
      </w:r>
      <w:r w:rsidR="0076489C" w:rsidRPr="0054179A">
        <w:rPr>
          <w:rFonts w:ascii="Times New Roman" w:eastAsia="Yu Gothic UI Semibold" w:hAnsi="Times New Roman" w:cs="Times New Roman"/>
          <w:sz w:val="28"/>
          <w:szCs w:val="28"/>
        </w:rPr>
        <w:t>1</w:t>
      </w:r>
      <w:r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года</w:t>
      </w:r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составило</w:t>
      </w:r>
      <w:r w:rsidR="00000C10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455,1</w:t>
      </w:r>
      <w:r w:rsidR="00000C10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="00000C10" w:rsidRPr="0054179A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="00000C10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или</w:t>
      </w:r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6,7</w:t>
      </w:r>
      <w:r w:rsidR="00BB2D2B" w:rsidRPr="0054179A">
        <w:rPr>
          <w:rFonts w:ascii="Times New Roman" w:eastAsia="Yu Gothic UI Semibold" w:hAnsi="Times New Roman" w:cs="Times New Roman"/>
          <w:sz w:val="28"/>
          <w:szCs w:val="28"/>
        </w:rPr>
        <w:t>%</w:t>
      </w:r>
      <w:r w:rsidR="00867311" w:rsidRPr="0054179A">
        <w:rPr>
          <w:rFonts w:ascii="Times New Roman" w:eastAsia="Yu Gothic UI Semibold" w:hAnsi="Times New Roman" w:cs="Times New Roman"/>
          <w:sz w:val="28"/>
          <w:szCs w:val="28"/>
        </w:rPr>
        <w:t>.</w:t>
      </w:r>
      <w:r w:rsidR="00C86D09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Снижение наблюдается на всех электрических станциях</w:t>
      </w:r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, за исключением </w:t>
      </w:r>
      <w:proofErr w:type="spellStart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Мойнакской</w:t>
      </w:r>
      <w:proofErr w:type="spellEnd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ГЭС и ТОО «</w:t>
      </w:r>
      <w:proofErr w:type="spellStart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Samruk-Green</w:t>
      </w:r>
      <w:proofErr w:type="spellEnd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proofErr w:type="spellStart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Energy</w:t>
      </w:r>
      <w:proofErr w:type="spellEnd"/>
      <w:r w:rsidR="00BA782E" w:rsidRPr="0054179A">
        <w:rPr>
          <w:rFonts w:ascii="Times New Roman" w:eastAsia="Yu Gothic UI Semibold" w:hAnsi="Times New Roman" w:cs="Times New Roman"/>
          <w:sz w:val="28"/>
          <w:szCs w:val="28"/>
        </w:rPr>
        <w:t>».</w:t>
      </w:r>
    </w:p>
    <w:p w:rsidR="008364B1" w:rsidRPr="006B4B0C" w:rsidRDefault="008364B1" w:rsidP="00D744E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4B0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438"/>
        <w:gridCol w:w="3166"/>
        <w:gridCol w:w="1196"/>
        <w:gridCol w:w="1101"/>
        <w:gridCol w:w="1196"/>
        <w:gridCol w:w="1101"/>
        <w:gridCol w:w="1134"/>
        <w:gridCol w:w="968"/>
      </w:tblGrid>
      <w:tr w:rsidR="008364B1" w:rsidRPr="0054179A" w:rsidTr="00794336">
        <w:trPr>
          <w:trHeight w:val="31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64B1" w:rsidRPr="0054179A" w:rsidRDefault="008364B1" w:rsidP="00D7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64B1" w:rsidRPr="0054179A" w:rsidRDefault="008364B1" w:rsidP="00D7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64B1" w:rsidRPr="0054179A" w:rsidRDefault="008364B1" w:rsidP="007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64B1" w:rsidRPr="0054179A" w:rsidRDefault="008364B1" w:rsidP="007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76489C"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364B1" w:rsidRPr="0054179A" w:rsidRDefault="008364B1" w:rsidP="007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</w:t>
            </w:r>
            <w:r w:rsidR="0076489C"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/202</w:t>
            </w:r>
            <w:r w:rsidR="0076489C"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</w:t>
            </w:r>
          </w:p>
        </w:tc>
      </w:tr>
      <w:tr w:rsidR="00226B4C" w:rsidRPr="0054179A" w:rsidTr="00794336">
        <w:trPr>
          <w:trHeight w:val="665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D7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D74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Январь</w:t>
            </w:r>
            <w:r w:rsidR="00BA782E" w:rsidRPr="0054179A">
              <w:rPr>
                <w:rFonts w:ascii="Times New Roman" w:hAnsi="Times New Roman" w:cs="Times New Roman"/>
                <w:b/>
                <w:bCs/>
              </w:rPr>
              <w:t>-февраль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BA782E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Январь-февраль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54179A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6B4C" w:rsidRPr="0054179A" w:rsidRDefault="00226B4C" w:rsidP="005B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A782E" w:rsidRPr="0054179A" w:rsidTr="00A77E4F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6</w:t>
            </w:r>
            <w:r w:rsidR="00D247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179A">
              <w:rPr>
                <w:rFonts w:ascii="Times New Roman" w:hAnsi="Times New Roman" w:cs="Times New Roman"/>
                <w:b/>
                <w:bCs/>
              </w:rPr>
              <w:t>799,2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33,3%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6 344,1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31,1%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-455,1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79A">
              <w:rPr>
                <w:rFonts w:ascii="Times New Roman" w:hAnsi="Times New Roman" w:cs="Times New Roman"/>
                <w:b/>
                <w:bCs/>
              </w:rPr>
              <w:t>-6,7%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</w:rPr>
              <w:t>1</w:t>
            </w:r>
            <w:r w:rsidR="00D24711">
              <w:rPr>
                <w:rFonts w:ascii="Times New Roman" w:hAnsi="Times New Roman" w:cs="Times New Roman"/>
                <w:i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</w:rPr>
              <w:t>125,2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5,5%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</w:rPr>
              <w:t>1</w:t>
            </w:r>
            <w:r w:rsidR="00D24711">
              <w:rPr>
                <w:rFonts w:ascii="Times New Roman" w:hAnsi="Times New Roman" w:cs="Times New Roman"/>
                <w:i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</w:rPr>
              <w:t>056,7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-6,1%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4</w:t>
            </w:r>
            <w:r w:rsidR="00D24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  <w:iCs/>
              </w:rPr>
              <w:t>197,2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20,6%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3</w:t>
            </w:r>
            <w:r w:rsidR="00D24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  <w:iCs/>
              </w:rPr>
              <w:t>934,0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19,3%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-263,2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-6,3%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1</w:t>
            </w:r>
            <w:r w:rsidR="00D24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  <w:iCs/>
              </w:rPr>
              <w:t>245,2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6,1%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1</w:t>
            </w:r>
            <w:r w:rsidR="00D247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179A">
              <w:rPr>
                <w:rFonts w:ascii="Times New Roman" w:hAnsi="Times New Roman" w:cs="Times New Roman"/>
                <w:i/>
                <w:iCs/>
              </w:rPr>
              <w:t>188,0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-57,2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-4,6%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125,6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41,5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-84,1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-67,0%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72,3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92,5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20,2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27,9%</w:t>
            </w:r>
          </w:p>
        </w:tc>
      </w:tr>
      <w:tr w:rsidR="00BA782E" w:rsidRPr="0054179A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</w:rPr>
              <w:t>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54179A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7,7%</w:t>
            </w:r>
          </w:p>
        </w:tc>
      </w:tr>
      <w:tr w:rsidR="00BA782E" w:rsidRPr="00794336" w:rsidTr="00BA782E">
        <w:trPr>
          <w:trHeight w:val="3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2E" w:rsidRPr="0054179A" w:rsidRDefault="00BA782E" w:rsidP="00BA7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417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31,1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28,6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2E" w:rsidRPr="0054179A" w:rsidRDefault="00BA782E" w:rsidP="00BA7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179A">
              <w:rPr>
                <w:rFonts w:ascii="Times New Roman" w:hAnsi="Times New Roman" w:cs="Times New Roman"/>
                <w:i/>
                <w:iCs/>
              </w:rPr>
              <w:t>-8,0%</w:t>
            </w:r>
          </w:p>
        </w:tc>
      </w:tr>
      <w:bookmarkEnd w:id="4"/>
    </w:tbl>
    <w:p w:rsidR="00211524" w:rsidRPr="006B4B0C" w:rsidRDefault="00211524" w:rsidP="00AC0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1524" w:rsidRPr="00F52587" w:rsidRDefault="00F52587" w:rsidP="00F52587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99467104"/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>1.</w:t>
      </w:r>
      <w:r w:rsidR="00B35D81">
        <w:rPr>
          <w:rFonts w:ascii="Times New Roman" w:hAnsi="Times New Roman" w:cs="Times New Roman"/>
          <w:i/>
          <w:color w:val="000000" w:themeColor="text1"/>
          <w:sz w:val="28"/>
        </w:rPr>
        <w:t>3</w:t>
      </w:r>
      <w:r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AC0DD3"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="00211524" w:rsidRPr="00F52587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="00211524"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="00211524" w:rsidRPr="00F52587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="00211524"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6"/>
      <w:r w:rsidR="00211524"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C0DD3" w:rsidRPr="00F52587" w:rsidRDefault="00211524" w:rsidP="00AC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AC0DD3"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C0DD3" w:rsidRPr="00F525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="00AC0DD3" w:rsidRPr="00F52587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:rsidR="004E43BC" w:rsidRDefault="004E43BC" w:rsidP="004E4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B4E26" w:rsidRPr="004E43BC" w:rsidRDefault="004E43BC" w:rsidP="004E43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17AD">
        <w:rPr>
          <w:rFonts w:ascii="Times New Roman" w:hAnsi="Times New Roman" w:cs="Times New Roman"/>
          <w:sz w:val="28"/>
        </w:rPr>
        <w:t xml:space="preserve">Как может быть видно из представленного ниже графика доля компании </w:t>
      </w:r>
      <w:r w:rsidR="00C504DF">
        <w:rPr>
          <w:rFonts w:ascii="Times New Roman" w:hAnsi="Times New Roman" w:cs="Times New Roman"/>
          <w:sz w:val="28"/>
        </w:rPr>
        <w:br/>
      </w:r>
      <w:r w:rsidRPr="005217AD">
        <w:rPr>
          <w:rFonts w:ascii="Times New Roman" w:hAnsi="Times New Roman" w:cs="Times New Roman"/>
          <w:sz w:val="28"/>
        </w:rPr>
        <w:t>АО «</w:t>
      </w:r>
      <w:proofErr w:type="spellStart"/>
      <w:r w:rsidRPr="005217AD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217AD">
        <w:rPr>
          <w:rFonts w:ascii="Times New Roman" w:hAnsi="Times New Roman" w:cs="Times New Roman"/>
          <w:sz w:val="28"/>
        </w:rPr>
        <w:t>» на рынке электрической энергии Казахстана остается лидирующей и составляет 3</w:t>
      </w:r>
      <w:r w:rsidR="00862F90" w:rsidRPr="005217AD">
        <w:rPr>
          <w:rFonts w:ascii="Times New Roman" w:hAnsi="Times New Roman" w:cs="Times New Roman"/>
          <w:sz w:val="28"/>
          <w:lang w:val="kk-KZ"/>
        </w:rPr>
        <w:t>1</w:t>
      </w:r>
      <w:r w:rsidRPr="005217AD">
        <w:rPr>
          <w:rFonts w:ascii="Times New Roman" w:hAnsi="Times New Roman" w:cs="Times New Roman"/>
          <w:sz w:val="28"/>
        </w:rPr>
        <w:t>,</w:t>
      </w:r>
      <w:r w:rsidR="00862F90" w:rsidRPr="005217AD">
        <w:rPr>
          <w:rFonts w:ascii="Times New Roman" w:hAnsi="Times New Roman" w:cs="Times New Roman"/>
          <w:sz w:val="28"/>
        </w:rPr>
        <w:t>1</w:t>
      </w:r>
      <w:r w:rsidRPr="005217AD">
        <w:rPr>
          <w:rFonts w:ascii="Times New Roman" w:hAnsi="Times New Roman" w:cs="Times New Roman"/>
          <w:sz w:val="28"/>
        </w:rPr>
        <w:t>%.</w:t>
      </w:r>
    </w:p>
    <w:p w:rsidR="00BA383A" w:rsidRPr="006B4B0C" w:rsidRDefault="00E9001D" w:rsidP="00AC0D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5AC8B" wp14:editId="30793C8B">
                <wp:simplePos x="0" y="0"/>
                <wp:positionH relativeFrom="margin">
                  <wp:align>center</wp:align>
                </wp:positionH>
                <wp:positionV relativeFrom="paragraph">
                  <wp:posOffset>911225</wp:posOffset>
                </wp:positionV>
                <wp:extent cx="2028190" cy="1424774"/>
                <wp:effectExtent l="0" t="0" r="0" b="444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1424774"/>
                          <a:chOff x="0" y="0"/>
                          <a:chExt cx="2028190" cy="1424774"/>
                        </a:xfrm>
                      </wpg:grpSpPr>
                      <wps:wsp>
                        <wps:cNvPr id="7" name="椭圆 9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FE6E634-EEC9-4F81-9C4A-7C69A477A8AE}"/>
                            </a:ext>
                          </a:extLst>
                        </wps:cNvPr>
                        <wps:cNvSpPr/>
                        <wps:spPr>
                          <a:xfrm>
                            <a:off x="285750" y="0"/>
                            <a:ext cx="1443309" cy="1424774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35000">
                                <a:sysClr val="window" lastClr="FFFFFF">
                                  <a:lumMod val="85000"/>
                                </a:sysClr>
                              </a:gs>
                              <a:gs pos="100000">
                                <a:srgbClr val="F1F1F1"/>
                              </a:gs>
                            </a:gsLst>
                            <a:lin ang="2700000" scaled="1"/>
                            <a:tileRect/>
                          </a:gradFill>
                          <a:ln w="285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文本框 2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42787"/>
                            <a:ext cx="20281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5D81" w:rsidRPr="005217AD" w:rsidRDefault="00B35D81" w:rsidP="0029181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Казахстан</w:t>
                              </w:r>
                            </w:p>
                            <w:p w:rsidR="00B35D81" w:rsidRPr="005217AD" w:rsidRDefault="00B35D81" w:rsidP="0029181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20 410,2</w:t>
                              </w:r>
                            </w:p>
                            <w:p w:rsidR="00B35D81" w:rsidRPr="00291819" w:rsidRDefault="00B35D81" w:rsidP="00291819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</w:pPr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млн. </w:t>
                              </w:r>
                              <w:proofErr w:type="spellStart"/>
                              <w:r w:rsidRPr="005217AD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кВтч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5AC8B" id="Группа 4" o:spid="_x0000_s1026" style="position:absolute;left:0;text-align:left;margin-left:0;margin-top:71.75pt;width:159.7pt;height:112.2pt;z-index:251661312;mso-position-horizontal:center;mso-position-horizontal-relative:margin;mso-width-relative:margin;mso-height-relative:margin" coordsize="20281,1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">
                <v:oval id="椭圆 99" o:spid="_x0000_s1027" style="position:absolute;left:2857;width:14433;height:1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mA8QA&#10;AADaAAAADwAAAGRycy9kb3ducmV2LnhtbESPQWsCMRSE74L/ITzBi9SsHlS2RikFaVUUqqW9vm5e&#10;d5cmL8smuqu/3hQEj8PMfMPMl6014ky1Lx0rGA0TEMSZ0yXnCj6Pq6cZCB+QNRrHpOBCHpaLbmeO&#10;qXYNf9D5EHIRIexTVFCEUKVS+qwgi37oKuLo/braYoiyzqWusYlwa+Q4SSbSYslxocCKXgvK/g4n&#10;q6AZfO1/1pXb7g2/ba7bXF+/zU6pfq99eQYRqA2P8L39rhVM4f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JgPEAAAA2gAAAA8AAAAAAAAAAAAAAAAAmAIAAGRycy9k&#10;b3ducmV2LnhtbFBLBQYAAAAABAAEAPUAAACJAwAAAAA=&#10;" fillcolor="#d9d9d9" stroked="f" strokeweight="2.25pt">
                  <v:fill color2="#f1f1f1" rotate="t" angle="45" colors="0 #d9d9d9;22938f #d9d9d9" focus="100%" type="gradien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427;width:20281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B35D81" w:rsidRPr="005217AD" w:rsidRDefault="00B35D81" w:rsidP="00291819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Казахстан</w:t>
                        </w:r>
                      </w:p>
                      <w:p w:rsidR="00B35D81" w:rsidRPr="005217AD" w:rsidRDefault="00B35D81" w:rsidP="00291819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20 410,2</w:t>
                        </w:r>
                      </w:p>
                      <w:p w:rsidR="00B35D81" w:rsidRPr="00291819" w:rsidRDefault="00B35D81" w:rsidP="00291819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</w:pPr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млн. </w:t>
                        </w:r>
                        <w:proofErr w:type="spellStart"/>
                        <w:r w:rsidRPr="005217AD">
                          <w:rPr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кВтч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44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77A3" wp14:editId="4A3E8B92">
                <wp:simplePos x="0" y="0"/>
                <wp:positionH relativeFrom="column">
                  <wp:posOffset>1325880</wp:posOffset>
                </wp:positionH>
                <wp:positionV relativeFrom="paragraph">
                  <wp:posOffset>886460</wp:posOffset>
                </wp:positionV>
                <wp:extent cx="762000" cy="617017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70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5D81" w:rsidRPr="00291819" w:rsidRDefault="00B35D81" w:rsidP="0019448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477A3" id="文本框 29" o:spid="_x0000_s1029" type="#_x0000_t202" style="position:absolute;left:0;text-align:left;margin-left:104.4pt;margin-top:69.8pt;width:60pt;height:4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" filled="f" stroked="f">
                <v:textbox style="mso-fit-shape-to-text:t">
                  <w:txbxContent>
                    <w:p w:rsidR="00B35D81" w:rsidRPr="00291819" w:rsidRDefault="00B35D81" w:rsidP="0019448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="00BA383A">
        <w:rPr>
          <w:noProof/>
          <w:lang w:eastAsia="ru-RU"/>
        </w:rPr>
        <w:drawing>
          <wp:inline distT="0" distB="0" distL="0" distR="0" wp14:anchorId="5C7D3455" wp14:editId="20D36650">
            <wp:extent cx="5534025" cy="3314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513C" w:rsidRPr="006B4B0C" w:rsidRDefault="000F513C" w:rsidP="004C51FE">
      <w:pPr>
        <w:rPr>
          <w:rFonts w:ascii="Times New Roman" w:hAnsi="Times New Roman" w:cs="Times New Roman"/>
          <w:sz w:val="28"/>
          <w:szCs w:val="28"/>
        </w:rPr>
      </w:pPr>
    </w:p>
    <w:p w:rsidR="004119EF" w:rsidRPr="005217AD" w:rsidRDefault="004119EF" w:rsidP="005217AD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07606020"/>
      <w:bookmarkStart w:id="8" w:name="_Toc99467105"/>
      <w:r w:rsidRPr="005217AD">
        <w:rPr>
          <w:rFonts w:ascii="Times New Roman" w:hAnsi="Times New Roman" w:cs="Times New Roman"/>
          <w:b/>
          <w:color w:val="auto"/>
          <w:sz w:val="28"/>
        </w:rPr>
        <w:lastRenderedPageBreak/>
        <w:t>Потребление электрической энергии в ЕЭС Казахстана</w:t>
      </w:r>
      <w:bookmarkEnd w:id="7"/>
      <w:bookmarkEnd w:id="8"/>
    </w:p>
    <w:p w:rsidR="004119EF" w:rsidRPr="005217AD" w:rsidRDefault="004119EF" w:rsidP="005217A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855B1" w:rsidRPr="005217AD" w:rsidRDefault="00451707" w:rsidP="005217AD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 w:rsidRPr="005217AD">
        <w:rPr>
          <w:rFonts w:ascii="Times New Roman" w:hAnsi="Times New Roman" w:cs="Times New Roman"/>
          <w:sz w:val="28"/>
        </w:rPr>
        <w:t>В январе-феврале 2022г. по сравнению с январем-февралем 2021 года индекс пр</w:t>
      </w:r>
      <w:r w:rsidR="00C504DF">
        <w:rPr>
          <w:rFonts w:ascii="Times New Roman" w:hAnsi="Times New Roman" w:cs="Times New Roman"/>
          <w:sz w:val="28"/>
        </w:rPr>
        <w:t xml:space="preserve">омышленного производства (далее – </w:t>
      </w:r>
      <w:r w:rsidRPr="005217AD">
        <w:rPr>
          <w:rFonts w:ascii="Times New Roman" w:hAnsi="Times New Roman" w:cs="Times New Roman"/>
          <w:sz w:val="28"/>
        </w:rPr>
        <w:t xml:space="preserve">ИПП) составил 104,7%. Увеличение объемов производства зафиксировано в 14 регионах республики, снижение наблюдается в Актюбинской, </w:t>
      </w:r>
      <w:proofErr w:type="spellStart"/>
      <w:r w:rsidRPr="005217AD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5217AD">
        <w:rPr>
          <w:rFonts w:ascii="Times New Roman" w:hAnsi="Times New Roman" w:cs="Times New Roman"/>
          <w:sz w:val="28"/>
        </w:rPr>
        <w:t xml:space="preserve"> и Павлодарской областях</w:t>
      </w:r>
      <w:r w:rsidR="001855B1" w:rsidRPr="005217AD">
        <w:rPr>
          <w:rFonts w:ascii="Times New Roman" w:hAnsi="Times New Roman" w:cs="Times New Roman"/>
          <w:sz w:val="28"/>
        </w:rPr>
        <w:t>.</w:t>
      </w:r>
    </w:p>
    <w:p w:rsidR="001855B1" w:rsidRPr="005217AD" w:rsidRDefault="001855B1" w:rsidP="005217AD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5B1" w:rsidRPr="005217AD" w:rsidRDefault="001855B1" w:rsidP="005217AD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объемов промышленной продукции по регионам</w:t>
      </w:r>
    </w:p>
    <w:p w:rsidR="001855B1" w:rsidRPr="005217AD" w:rsidRDefault="001855B1" w:rsidP="005217AD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5217AD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:rsidR="001855B1" w:rsidRPr="005217AD" w:rsidRDefault="00451707" w:rsidP="005217AD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lang w:eastAsia="ru-RU"/>
        </w:rPr>
      </w:pPr>
      <w:r w:rsidRPr="005217AD">
        <w:rPr>
          <w:rFonts w:ascii="Calibri" w:hAnsi="Calibri" w:cs="Arial"/>
          <w:noProof/>
          <w:lang w:eastAsia="ru-RU"/>
        </w:rPr>
        <w:drawing>
          <wp:inline distT="0" distB="0" distL="0" distR="0" wp14:anchorId="6B79A3C0" wp14:editId="348BDE15">
            <wp:extent cx="5287617" cy="285451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55B1" w:rsidRPr="005217AD" w:rsidRDefault="001855B1" w:rsidP="005217AD">
      <w:pPr>
        <w:tabs>
          <w:tab w:val="left" w:pos="1418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Атырауской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ИПП составил 115% за счет увеличения добычи сырой нефти, производства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бензина, керосина, углеводородных сжиженных газов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Карагандинской области рост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106,5% за счет увеличения добычи цинковых концентратов, производства чугуна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передельного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черновой меди, плоского проката, нелегированной стали, прутков и стержней из стали.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Жамбылской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за счет роста добычи медных руд, производства фармацевтических препаратов, фосфора, ортофосфорной кислоты, дизельного топлива, добавок для цементов и строительных растворов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5,6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В Туркестанской области за счет роста добычи урановых и ториевых руд, золотосодержащих концентратов, производства сыров, колбасных изделий, труб из пластмасс, трансформаторов, автоматических выключателей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ИПП составил 10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5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4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Алматинской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105,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за счет увеличения производства безалкогольных напитков, шоколада, сигарет, стеклянной тары, лекарств, упаковочных изделий из пластмасс, бумаги и картона,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преформ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В г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ороде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Алматы за счет роста производства кондитерских изделий, мебели, строительных растворов, плиток, кирпичей из цемента и бетона, легковых и грузовых автомобилей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103,9%.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Северо-Казахстанской области за счет роста добычи урановых и ториевых руд, производства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муки, спирта питьевого, мешков и пакетов упаковочных, товарного бетона,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увеличения выпуска грузовых вагонов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3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Костанайской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102,5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за счет увеличения </w:t>
      </w:r>
      <w:r w:rsidR="00D006A0"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добычи алюминиевых руд,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асбеста, производства муки, отрубей, прутков и стержней горячекатаных из стали, комбайнов и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грузовых автомобилей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Восточно-Казахстанской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102,3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% за счет роста добычи медных концентратов, золотосодержащих руд, глины и каолина, производства подсолнечного масла, рафинированной меди, золота в сплаве доре.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Шымке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н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за счет увеличения производства лекарств, топочного мазута, дизельного топлива, трансформаторов, прутков и стержней горячекатаных из стали, товарного бетона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101,8%.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Западно-Казахстанской ИПП составил 101,7% за счет роста добычи газового конденсата, производства труб, рукавов, шлангов и фитингов из пластмасс, бесшовных труб из стали, товарного бетона, колбасных изделий.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Акмолинской области за счет увеличения добычи золотосодержащих руд, производства охлажденного мяса птицы, муки,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готовых кормов для животных, шлаковаты, дизельного топлива 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101,6%.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городе </w:t>
      </w:r>
      <w:proofErr w:type="spellStart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</w:t>
      </w:r>
      <w:proofErr w:type="spellEnd"/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-Султан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101,5% за счет роста производства аффинированного золота, безалкогольных напитков, товарного бетона, труб из пластмасс,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конструкций строительных сборных из цемента и бетона,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 железнодорожных локомотивов.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В Мангистауской области ИПП составил 101,1% за счет увеличения добычи сырой нефти,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природного газа,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производства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битума, портландцемента, азотной кислоты, аммиака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Павлодарской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ИПП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99% за счет снижения доб</w:t>
      </w:r>
      <w:r w:rsidR="00D006A0"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ычи медных руд и концентратов,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производства феррохрома, полимеров пропилена, бензина, дизельного топлива, топочного мазута, труб из стали.</w:t>
      </w:r>
    </w:p>
    <w:p w:rsidR="00451707" w:rsidRPr="005217AD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Кызылординской области ИПП составил 94,2% за счет сокращения добычи сырой нефти, производства риса, портландцемента, углеводородных сжиженных газов, строительных сборных конструкций из бетона.</w:t>
      </w:r>
    </w:p>
    <w:p w:rsidR="00451707" w:rsidRPr="00451707" w:rsidRDefault="00451707" w:rsidP="00521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Актюбинской области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ИПП составил 92,1% за счет снижения добычи медных, цинковых и хромовых концентратов, медно-цинковых руд, </w:t>
      </w:r>
      <w:r w:rsidRPr="005217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газового конденсата, </w:t>
      </w:r>
      <w:r w:rsidRPr="005217AD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производства феррохрома, строительных сборных металлоконструкций.</w:t>
      </w:r>
      <w:r w:rsidRPr="00451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51707" w:rsidRPr="000D46F5" w:rsidRDefault="00451707" w:rsidP="0052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5B1" w:rsidRDefault="001855B1" w:rsidP="001855B1">
      <w:pPr>
        <w:pStyle w:val="1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220F66" w:rsidRDefault="00031F5F" w:rsidP="00BB5A8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99467106"/>
      <w:r>
        <w:rPr>
          <w:rFonts w:ascii="Times New Roman" w:hAnsi="Times New Roman" w:cs="Times New Roman"/>
          <w:i/>
          <w:color w:val="auto"/>
          <w:sz w:val="28"/>
        </w:rPr>
        <w:t>2.1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 Потребление электрической энергии по зонам и областям</w:t>
      </w:r>
      <w:bookmarkEnd w:id="9"/>
    </w:p>
    <w:p w:rsidR="00BB5A83" w:rsidRPr="00BB5A83" w:rsidRDefault="00BB5A83" w:rsidP="00A76F07">
      <w:pPr>
        <w:spacing w:after="0"/>
      </w:pPr>
    </w:p>
    <w:p w:rsidR="00A511A0" w:rsidRPr="00A511A0" w:rsidRDefault="00A511A0" w:rsidP="00A5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3B1">
        <w:rPr>
          <w:rFonts w:ascii="Times New Roman" w:hAnsi="Times New Roman" w:cs="Times New Roman"/>
          <w:sz w:val="28"/>
        </w:rPr>
        <w:t>По данным Сис</w:t>
      </w:r>
      <w:r>
        <w:rPr>
          <w:rFonts w:ascii="Times New Roman" w:hAnsi="Times New Roman" w:cs="Times New Roman"/>
          <w:sz w:val="28"/>
        </w:rPr>
        <w:t>темного оператора, в январе</w:t>
      </w:r>
      <w:r w:rsidR="00DA0DBB">
        <w:rPr>
          <w:rFonts w:ascii="Times New Roman" w:hAnsi="Times New Roman" w:cs="Times New Roman"/>
          <w:sz w:val="28"/>
        </w:rPr>
        <w:t>-феврале</w:t>
      </w:r>
      <w:r>
        <w:rPr>
          <w:rFonts w:ascii="Times New Roman" w:hAnsi="Times New Roman" w:cs="Times New Roman"/>
          <w:sz w:val="28"/>
        </w:rPr>
        <w:t xml:space="preserve"> 2022</w:t>
      </w:r>
      <w:r w:rsidRPr="004223B1">
        <w:rPr>
          <w:rFonts w:ascii="Times New Roman" w:hAnsi="Times New Roman" w:cs="Times New Roman"/>
          <w:sz w:val="28"/>
        </w:rPr>
        <w:t xml:space="preserve"> года наблюда</w:t>
      </w:r>
      <w:r>
        <w:rPr>
          <w:rFonts w:ascii="Times New Roman" w:hAnsi="Times New Roman" w:cs="Times New Roman"/>
          <w:sz w:val="28"/>
        </w:rPr>
        <w:t>лось</w:t>
      </w:r>
      <w:r w:rsidRPr="004223B1">
        <w:rPr>
          <w:rFonts w:ascii="Times New Roman" w:hAnsi="Times New Roman" w:cs="Times New Roman"/>
          <w:sz w:val="28"/>
        </w:rPr>
        <w:t xml:space="preserve"> </w:t>
      </w:r>
      <w:r w:rsidR="007700E6">
        <w:rPr>
          <w:rFonts w:ascii="Times New Roman" w:hAnsi="Times New Roman" w:cs="Times New Roman"/>
          <w:sz w:val="28"/>
        </w:rPr>
        <w:t>увеличение</w:t>
      </w:r>
      <w:r w:rsidRPr="004223B1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</w:t>
      </w:r>
      <w:r w:rsidR="00DA0DBB">
        <w:rPr>
          <w:rFonts w:ascii="Times New Roman" w:hAnsi="Times New Roman" w:cs="Times New Roman"/>
          <w:sz w:val="28"/>
        </w:rPr>
        <w:t xml:space="preserve">аналогичными </w:t>
      </w:r>
      <w:r w:rsidRPr="004223B1">
        <w:rPr>
          <w:rFonts w:ascii="Times New Roman" w:hAnsi="Times New Roman" w:cs="Times New Roman"/>
          <w:sz w:val="28"/>
        </w:rPr>
        <w:t>показателями 202</w:t>
      </w:r>
      <w:r>
        <w:rPr>
          <w:rFonts w:ascii="Times New Roman" w:hAnsi="Times New Roman" w:cs="Times New Roman"/>
          <w:sz w:val="28"/>
        </w:rPr>
        <w:t>1</w:t>
      </w:r>
      <w:r w:rsidRPr="004223B1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на </w:t>
      </w:r>
      <w:r w:rsidR="007700E6">
        <w:rPr>
          <w:rFonts w:ascii="Times New Roman" w:hAnsi="Times New Roman" w:cs="Times New Roman"/>
          <w:sz w:val="28"/>
        </w:rPr>
        <w:t>238,3</w:t>
      </w:r>
      <w:r>
        <w:rPr>
          <w:rFonts w:ascii="Times New Roman" w:hAnsi="Times New Roman" w:cs="Times New Roman"/>
          <w:sz w:val="28"/>
        </w:rPr>
        <w:t xml:space="preserve"> млн. </w:t>
      </w:r>
      <w:proofErr w:type="spellStart"/>
      <w:r>
        <w:rPr>
          <w:rFonts w:ascii="Times New Roman" w:hAnsi="Times New Roman" w:cs="Times New Roman"/>
          <w:sz w:val="28"/>
        </w:rPr>
        <w:t>кВтч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="007700E6">
        <w:rPr>
          <w:rFonts w:ascii="Times New Roman" w:hAnsi="Times New Roman" w:cs="Times New Roman"/>
          <w:sz w:val="28"/>
        </w:rPr>
        <w:t>1,2</w:t>
      </w:r>
      <w:r>
        <w:rPr>
          <w:rFonts w:ascii="Times New Roman" w:hAnsi="Times New Roman" w:cs="Times New Roman"/>
          <w:sz w:val="28"/>
        </w:rPr>
        <w:t>%</w:t>
      </w:r>
      <w:r w:rsidRPr="004223B1">
        <w:rPr>
          <w:rFonts w:ascii="Times New Roman" w:hAnsi="Times New Roman" w:cs="Times New Roman"/>
          <w:sz w:val="28"/>
        </w:rPr>
        <w:t xml:space="preserve">. Так, в </w:t>
      </w:r>
      <w:r w:rsidR="007700E6">
        <w:rPr>
          <w:rFonts w:ascii="Times New Roman" w:hAnsi="Times New Roman" w:cs="Times New Roman"/>
          <w:sz w:val="28"/>
        </w:rPr>
        <w:t>западной и южной зонах</w:t>
      </w:r>
      <w:r w:rsidRPr="004223B1">
        <w:rPr>
          <w:rFonts w:ascii="Times New Roman" w:hAnsi="Times New Roman" w:cs="Times New Roman"/>
          <w:sz w:val="28"/>
        </w:rPr>
        <w:t xml:space="preserve"> республики потребление </w:t>
      </w:r>
      <w:r>
        <w:rPr>
          <w:rFonts w:ascii="Times New Roman" w:hAnsi="Times New Roman" w:cs="Times New Roman"/>
          <w:sz w:val="28"/>
        </w:rPr>
        <w:t>у</w:t>
      </w:r>
      <w:r w:rsidR="007700E6">
        <w:rPr>
          <w:rFonts w:ascii="Times New Roman" w:hAnsi="Times New Roman" w:cs="Times New Roman"/>
          <w:sz w:val="28"/>
        </w:rPr>
        <w:t xml:space="preserve">величилось </w:t>
      </w:r>
      <w:r w:rsidRPr="004223B1">
        <w:rPr>
          <w:rFonts w:ascii="Times New Roman" w:hAnsi="Times New Roman" w:cs="Times New Roman"/>
          <w:sz w:val="28"/>
        </w:rPr>
        <w:t xml:space="preserve">на </w:t>
      </w:r>
      <w:r w:rsidR="007700E6">
        <w:rPr>
          <w:rFonts w:ascii="Times New Roman" w:hAnsi="Times New Roman" w:cs="Times New Roman"/>
          <w:sz w:val="28"/>
        </w:rPr>
        <w:t>7,2%</w:t>
      </w:r>
      <w:r>
        <w:rPr>
          <w:rFonts w:ascii="Times New Roman" w:hAnsi="Times New Roman" w:cs="Times New Roman"/>
          <w:sz w:val="28"/>
        </w:rPr>
        <w:t xml:space="preserve"> и</w:t>
      </w:r>
      <w:r w:rsidR="007700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7700E6">
        <w:rPr>
          <w:rFonts w:ascii="Times New Roman" w:hAnsi="Times New Roman" w:cs="Times New Roman"/>
          <w:sz w:val="28"/>
        </w:rPr>
        <w:t>4,1</w:t>
      </w:r>
      <w:r>
        <w:rPr>
          <w:rFonts w:ascii="Times New Roman" w:hAnsi="Times New Roman" w:cs="Times New Roman"/>
          <w:sz w:val="28"/>
        </w:rPr>
        <w:t>%</w:t>
      </w:r>
      <w:r w:rsidR="00E566ED">
        <w:rPr>
          <w:rFonts w:ascii="Times New Roman" w:hAnsi="Times New Roman" w:cs="Times New Roman"/>
          <w:sz w:val="28"/>
        </w:rPr>
        <w:t xml:space="preserve"> </w:t>
      </w:r>
      <w:r w:rsidR="007700E6">
        <w:rPr>
          <w:rFonts w:ascii="Times New Roman" w:hAnsi="Times New Roman" w:cs="Times New Roman"/>
          <w:sz w:val="28"/>
        </w:rPr>
        <w:t>соответственно.</w:t>
      </w:r>
    </w:p>
    <w:p w:rsidR="00220F66" w:rsidRPr="006B4B0C" w:rsidRDefault="00220F66" w:rsidP="006B651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600"/>
        <w:gridCol w:w="1418"/>
        <w:gridCol w:w="1560"/>
      </w:tblGrid>
      <w:tr w:rsidR="007C6544" w:rsidRPr="006B4B0C" w:rsidTr="007C6544">
        <w:trPr>
          <w:trHeight w:val="3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544" w:rsidRPr="005B4E26" w:rsidRDefault="00DA0DBB" w:rsidP="007C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hAnsi="Times New Roman" w:cs="Times New Roman"/>
                <w:b/>
              </w:rPr>
              <w:t>Δ,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hAnsi="Times New Roman" w:cs="Times New Roman"/>
                <w:b/>
              </w:rPr>
              <w:t xml:space="preserve">Δ, </w:t>
            </w: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C6544" w:rsidRPr="006B4B0C" w:rsidTr="00DA0DBB">
        <w:trPr>
          <w:trHeight w:val="340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6544" w:rsidRPr="005B4E26" w:rsidRDefault="007C6544" w:rsidP="006B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DBB">
              <w:rPr>
                <w:rFonts w:ascii="Times New Roman" w:hAnsi="Times New Roman" w:cs="Times New Roman"/>
                <w:b/>
                <w:bCs/>
                <w:color w:val="FFFFFF"/>
              </w:rPr>
              <w:t>20 041,1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DBB">
              <w:rPr>
                <w:rFonts w:ascii="Times New Roman" w:hAnsi="Times New Roman" w:cs="Times New Roman"/>
                <w:b/>
              </w:rPr>
              <w:t>20 279,4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DBB">
              <w:rPr>
                <w:rFonts w:ascii="Times New Roman" w:hAnsi="Times New Roman" w:cs="Times New Roman"/>
                <w:b/>
              </w:rPr>
              <w:t>238,3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DBB">
              <w:rPr>
                <w:rFonts w:ascii="Times New Roman" w:hAnsi="Times New Roman" w:cs="Times New Roman"/>
                <w:b/>
              </w:rPr>
              <w:t>1,2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  <w:bCs/>
              </w:rPr>
              <w:t>13 231,4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13 113,5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-117,9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-0,9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  <w:bCs/>
              </w:rPr>
              <w:t>2 443,6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7,2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  <w:bCs/>
              </w:rPr>
              <w:t>4 366,1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4 545,9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4,1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B651E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1E" w:rsidRPr="005B4E26" w:rsidRDefault="006B651E" w:rsidP="006B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1E" w:rsidRPr="005B4E26" w:rsidRDefault="006B651E" w:rsidP="006B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в </w:t>
            </w:r>
            <w:proofErr w:type="spellStart"/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т.ч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1E" w:rsidRPr="005B4E26" w:rsidRDefault="006B651E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1E" w:rsidRPr="005B4E26" w:rsidRDefault="006B651E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1E" w:rsidRPr="005B4E26" w:rsidRDefault="006B651E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1E" w:rsidRPr="005B4E26" w:rsidRDefault="006B651E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Акмолинская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1 971,5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2 049,8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1 203,5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1 129,0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-6,2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Алматинская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2 260,9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2 299,4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1,7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Атырауская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1 104,1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1 193,9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8,1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1 698,7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1 899,8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11,8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Жамбылская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7,9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Западно-Казахстанская</w:t>
            </w:r>
            <w:proofErr w:type="gram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14,4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3 430,1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3 424,2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-0,2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Костанайская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864,4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3,1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Кызылординская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-1,7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Мангистауская</w:t>
            </w:r>
            <w:proofErr w:type="spellEnd"/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898,9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2,6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3 717,1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-320,4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-8,6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323,1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-6,6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A0DBB" w:rsidRPr="006B4B0C" w:rsidTr="00DA0DB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B" w:rsidRPr="005B4E26" w:rsidRDefault="00DA0DBB" w:rsidP="00DA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B4E2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931,8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1 014,8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B" w:rsidRPr="00DA0DBB" w:rsidRDefault="00DA0DBB" w:rsidP="00DA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A0DBB">
              <w:rPr>
                <w:rFonts w:ascii="Times New Roman" w:hAnsi="Times New Roman" w:cs="Times New Roman"/>
              </w:rPr>
              <w:t>8,9</w:t>
            </w:r>
            <w:r w:rsidR="007700E6">
              <w:rPr>
                <w:rFonts w:ascii="Times New Roman" w:hAnsi="Times New Roman" w:cs="Times New Roman"/>
              </w:rPr>
              <w:t>%</w:t>
            </w:r>
          </w:p>
        </w:tc>
      </w:tr>
    </w:tbl>
    <w:p w:rsidR="004E6BB1" w:rsidRDefault="004E6BB1" w:rsidP="004E6BB1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bookmarkStart w:id="10" w:name="_Toc510196470"/>
    </w:p>
    <w:p w:rsidR="00220F66" w:rsidRPr="006B4B0C" w:rsidRDefault="00031F5F" w:rsidP="004E6BB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99467107"/>
      <w:r>
        <w:rPr>
          <w:rFonts w:ascii="Times New Roman" w:hAnsi="Times New Roman" w:cs="Times New Roman"/>
          <w:i/>
          <w:color w:val="auto"/>
          <w:sz w:val="28"/>
        </w:rPr>
        <w:t>2.2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6B4B0C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6B4B0C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10"/>
      <w:proofErr w:type="spellStart"/>
      <w:r w:rsidR="00194BBF" w:rsidRPr="006B4B0C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6B4B0C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6B4B0C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6B4B0C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1"/>
    </w:p>
    <w:p w:rsidR="00220F66" w:rsidRPr="006B4B0C" w:rsidRDefault="00220F66" w:rsidP="00220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20F66" w:rsidRPr="006B4B0C" w:rsidRDefault="00194BBF" w:rsidP="00220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4B0C">
        <w:rPr>
          <w:rFonts w:ascii="Times New Roman" w:hAnsi="Times New Roman" w:cs="Times New Roman"/>
          <w:sz w:val="28"/>
        </w:rPr>
        <w:t xml:space="preserve">За </w:t>
      </w:r>
      <w:r w:rsidRPr="005D4CFF">
        <w:rPr>
          <w:rFonts w:ascii="Times New Roman" w:hAnsi="Times New Roman" w:cs="Times New Roman"/>
          <w:sz w:val="28"/>
        </w:rPr>
        <w:t>январь</w:t>
      </w:r>
      <w:r w:rsidR="006E752A" w:rsidRPr="005D4CFF">
        <w:rPr>
          <w:rFonts w:ascii="Times New Roman" w:hAnsi="Times New Roman" w:cs="Times New Roman"/>
          <w:sz w:val="28"/>
        </w:rPr>
        <w:t>-февраль</w:t>
      </w:r>
      <w:r w:rsidR="00220F66" w:rsidRPr="006B4B0C">
        <w:rPr>
          <w:rFonts w:ascii="Times New Roman" w:hAnsi="Times New Roman" w:cs="Times New Roman"/>
          <w:sz w:val="28"/>
        </w:rPr>
        <w:t xml:space="preserve"> 202</w:t>
      </w:r>
      <w:r w:rsidRPr="006B4B0C">
        <w:rPr>
          <w:rFonts w:ascii="Times New Roman" w:hAnsi="Times New Roman" w:cs="Times New Roman"/>
          <w:sz w:val="28"/>
        </w:rPr>
        <w:t>2</w:t>
      </w:r>
      <w:r w:rsidR="00220F66" w:rsidRPr="006B4B0C">
        <w:rPr>
          <w:rFonts w:ascii="Times New Roman" w:hAnsi="Times New Roman" w:cs="Times New Roman"/>
          <w:sz w:val="28"/>
        </w:rPr>
        <w:t xml:space="preserve"> года наблюдается </w:t>
      </w:r>
      <w:r w:rsidRPr="006B4B0C">
        <w:rPr>
          <w:rFonts w:ascii="Times New Roman" w:hAnsi="Times New Roman" w:cs="Times New Roman"/>
          <w:sz w:val="28"/>
        </w:rPr>
        <w:t xml:space="preserve">снижение </w:t>
      </w:r>
      <w:r w:rsidR="00220F66" w:rsidRPr="006B4B0C">
        <w:rPr>
          <w:rFonts w:ascii="Times New Roman" w:hAnsi="Times New Roman" w:cs="Times New Roman"/>
          <w:sz w:val="28"/>
        </w:rPr>
        <w:t>электропотребления потребителями</w:t>
      </w:r>
      <w:r w:rsidRPr="006B4B0C">
        <w:t xml:space="preserve"> </w:t>
      </w:r>
      <w:proofErr w:type="spellStart"/>
      <w:r w:rsidRPr="006B4B0C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6B4B0C">
        <w:rPr>
          <w:rFonts w:ascii="Times New Roman" w:hAnsi="Times New Roman" w:cs="Times New Roman"/>
          <w:sz w:val="28"/>
        </w:rPr>
        <w:t xml:space="preserve"> и</w:t>
      </w:r>
      <w:r w:rsidR="0076489C" w:rsidRPr="006B4B0C">
        <w:rPr>
          <w:rFonts w:ascii="Times New Roman" w:hAnsi="Times New Roman" w:cs="Times New Roman"/>
          <w:sz w:val="28"/>
        </w:rPr>
        <w:t xml:space="preserve"> крупных </w:t>
      </w:r>
      <w:proofErr w:type="spellStart"/>
      <w:r w:rsidR="0076489C" w:rsidRPr="006B4B0C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="0076489C" w:rsidRPr="006B4B0C">
        <w:rPr>
          <w:rFonts w:ascii="Times New Roman" w:hAnsi="Times New Roman" w:cs="Times New Roman"/>
          <w:sz w:val="28"/>
        </w:rPr>
        <w:t xml:space="preserve"> организаций.</w:t>
      </w:r>
    </w:p>
    <w:p w:rsidR="00220F66" w:rsidRPr="006B4B0C" w:rsidRDefault="00220F66" w:rsidP="00220F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2274" w:type="dxa"/>
        <w:tblInd w:w="93" w:type="dxa"/>
        <w:tblLook w:val="04A0" w:firstRow="1" w:lastRow="0" w:firstColumn="1" w:lastColumn="0" w:noHBand="0" w:noVBand="1"/>
      </w:tblPr>
      <w:tblGrid>
        <w:gridCol w:w="516"/>
        <w:gridCol w:w="3795"/>
        <w:gridCol w:w="1320"/>
        <w:gridCol w:w="1231"/>
        <w:gridCol w:w="1597"/>
        <w:gridCol w:w="1572"/>
        <w:gridCol w:w="787"/>
        <w:gridCol w:w="1456"/>
      </w:tblGrid>
      <w:tr w:rsidR="00220F66" w:rsidRPr="005D4CFF" w:rsidTr="005B4E26">
        <w:trPr>
          <w:gridAfter w:val="2"/>
          <w:wAfter w:w="2243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0F66" w:rsidRPr="006E752A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="006E752A" w:rsidRPr="005D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-февраль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0F66" w:rsidRPr="005D4CFF" w:rsidRDefault="00B43361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</w:t>
            </w:r>
            <w:r w:rsidR="00220F66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млн. </w:t>
            </w:r>
            <w:proofErr w:type="spellStart"/>
            <w:r w:rsidR="00220F66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20F66" w:rsidRPr="005D4CFF" w:rsidTr="005B4E26">
        <w:trPr>
          <w:gridAfter w:val="2"/>
          <w:wAfter w:w="2243" w:type="dxa"/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4BBF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20F66" w:rsidRPr="005D4CFF" w:rsidRDefault="00194BBF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20F66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752A" w:rsidRPr="005D4CFF" w:rsidTr="00F861C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8 009,0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7 817,0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-192,0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-2,4%</w:t>
            </w: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2 619,4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2 440,8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-178,7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-6,8%</w:t>
            </w: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ТОО «Корпорация </w:t>
            </w:r>
            <w:proofErr w:type="spellStart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Казахмыс</w:t>
            </w:r>
            <w:proofErr w:type="spellEnd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701,2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6,5%</w:t>
            </w:r>
          </w:p>
        </w:tc>
      </w:tr>
      <w:tr w:rsidR="006E752A" w:rsidRPr="005D4CFF" w:rsidTr="00A76F07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ТОО «</w:t>
            </w:r>
            <w:proofErr w:type="spellStart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Казцинк</w:t>
            </w:r>
            <w:proofErr w:type="spellEnd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-1,4%</w:t>
            </w:r>
          </w:p>
        </w:tc>
        <w:tc>
          <w:tcPr>
            <w:tcW w:w="787" w:type="dxa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АО «</w:t>
            </w:r>
            <w:proofErr w:type="spellStart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Арселор</w:t>
            </w:r>
            <w:proofErr w:type="spellEnd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Миттал</w:t>
            </w:r>
            <w:proofErr w:type="spellEnd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657,7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3,8%</w:t>
            </w: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ТОО «ККС»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1 149,5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1 157,3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0,7%</w:t>
            </w: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АО «ЦАЭК»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1 068,1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-52,4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-4,7%</w:t>
            </w:r>
          </w:p>
        </w:tc>
      </w:tr>
      <w:tr w:rsidR="006E752A" w:rsidRPr="005D4CFF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5D4C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ГРЭС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472,8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5,4%</w:t>
            </w:r>
          </w:p>
        </w:tc>
      </w:tr>
      <w:tr w:rsidR="006E752A" w:rsidRPr="006E752A" w:rsidTr="00A76F07">
        <w:trPr>
          <w:gridAfter w:val="2"/>
          <w:wAfter w:w="2243" w:type="dxa"/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A" w:rsidRPr="005D4CFF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-52,5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-6,0%</w:t>
            </w:r>
          </w:p>
        </w:tc>
      </w:tr>
    </w:tbl>
    <w:p w:rsidR="00220F66" w:rsidRDefault="00220F66" w:rsidP="0022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3C" w:rsidRDefault="006E752A" w:rsidP="000F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CFF">
        <w:rPr>
          <w:rFonts w:ascii="Times New Roman" w:hAnsi="Times New Roman" w:cs="Times New Roman"/>
          <w:sz w:val="28"/>
        </w:rPr>
        <w:t>В январе-феврале 2</w:t>
      </w:r>
      <w:r w:rsidR="00220F66" w:rsidRPr="005D4CFF">
        <w:rPr>
          <w:rFonts w:ascii="Times New Roman" w:hAnsi="Times New Roman" w:cs="Times New Roman"/>
          <w:sz w:val="28"/>
        </w:rPr>
        <w:t>02</w:t>
      </w:r>
      <w:r w:rsidR="00194BBF" w:rsidRPr="005D4CFF">
        <w:rPr>
          <w:rFonts w:ascii="Times New Roman" w:hAnsi="Times New Roman" w:cs="Times New Roman"/>
          <w:sz w:val="28"/>
        </w:rPr>
        <w:t>2 год</w:t>
      </w:r>
      <w:r w:rsidRPr="005D4CFF">
        <w:rPr>
          <w:rFonts w:ascii="Times New Roman" w:hAnsi="Times New Roman" w:cs="Times New Roman"/>
          <w:sz w:val="28"/>
        </w:rPr>
        <w:t>а</w:t>
      </w:r>
      <w:r w:rsidR="00194BBF" w:rsidRPr="005D4CFF">
        <w:rPr>
          <w:rFonts w:ascii="Times New Roman" w:hAnsi="Times New Roman" w:cs="Times New Roman"/>
          <w:sz w:val="28"/>
        </w:rPr>
        <w:t xml:space="preserve"> наблюдается </w:t>
      </w:r>
      <w:r w:rsidRPr="005D4CFF">
        <w:rPr>
          <w:rFonts w:ascii="Times New Roman" w:hAnsi="Times New Roman" w:cs="Times New Roman"/>
          <w:sz w:val="28"/>
        </w:rPr>
        <w:t>рост</w:t>
      </w:r>
      <w:r w:rsidR="00194BBF" w:rsidRPr="005D4CFF">
        <w:rPr>
          <w:rFonts w:ascii="Times New Roman" w:hAnsi="Times New Roman" w:cs="Times New Roman"/>
          <w:sz w:val="28"/>
        </w:rPr>
        <w:t xml:space="preserve"> </w:t>
      </w:r>
      <w:r w:rsidR="00220F66" w:rsidRPr="005D4CFF">
        <w:rPr>
          <w:rFonts w:ascii="Times New Roman" w:hAnsi="Times New Roman" w:cs="Times New Roman"/>
          <w:sz w:val="28"/>
        </w:rPr>
        <w:t>потребления электроэнергии компаниям</w:t>
      </w:r>
      <w:r w:rsidR="00194BBF" w:rsidRPr="005D4CFF">
        <w:rPr>
          <w:rFonts w:ascii="Times New Roman" w:hAnsi="Times New Roman" w:cs="Times New Roman"/>
          <w:sz w:val="28"/>
        </w:rPr>
        <w:t xml:space="preserve">и АО «Самрук-Энерго» </w:t>
      </w:r>
      <w:r w:rsidR="005D4CFF">
        <w:rPr>
          <w:rFonts w:ascii="Times New Roman" w:hAnsi="Times New Roman" w:cs="Times New Roman"/>
          <w:sz w:val="28"/>
        </w:rPr>
        <w:t xml:space="preserve">на 5,8 млн. </w:t>
      </w:r>
      <w:proofErr w:type="spellStart"/>
      <w:r w:rsidR="005D4CFF">
        <w:rPr>
          <w:rFonts w:ascii="Times New Roman" w:hAnsi="Times New Roman" w:cs="Times New Roman"/>
          <w:sz w:val="28"/>
        </w:rPr>
        <w:t>кВтч</w:t>
      </w:r>
      <w:proofErr w:type="spellEnd"/>
      <w:proofErr w:type="gramStart"/>
      <w:r w:rsidR="005D4CFF">
        <w:rPr>
          <w:rFonts w:ascii="Times New Roman" w:hAnsi="Times New Roman" w:cs="Times New Roman"/>
          <w:sz w:val="28"/>
        </w:rPr>
        <w:t>.</w:t>
      </w:r>
      <w:proofErr w:type="gramEnd"/>
      <w:r w:rsidR="005D4CFF">
        <w:rPr>
          <w:rFonts w:ascii="Times New Roman" w:hAnsi="Times New Roman" w:cs="Times New Roman"/>
          <w:sz w:val="28"/>
        </w:rPr>
        <w:t xml:space="preserve"> или на</w:t>
      </w:r>
      <w:r w:rsidR="00194BBF" w:rsidRPr="005D4CFF">
        <w:rPr>
          <w:rFonts w:ascii="Times New Roman" w:hAnsi="Times New Roman" w:cs="Times New Roman"/>
          <w:sz w:val="28"/>
        </w:rPr>
        <w:t xml:space="preserve"> </w:t>
      </w:r>
      <w:r w:rsidR="005D4CFF">
        <w:rPr>
          <w:rFonts w:ascii="Times New Roman" w:hAnsi="Times New Roman" w:cs="Times New Roman"/>
          <w:sz w:val="28"/>
        </w:rPr>
        <w:t>0,4</w:t>
      </w:r>
      <w:r w:rsidR="00C0301C" w:rsidRPr="005D4CFF">
        <w:rPr>
          <w:rFonts w:ascii="Times New Roman" w:hAnsi="Times New Roman" w:cs="Times New Roman"/>
          <w:sz w:val="28"/>
        </w:rPr>
        <w:t xml:space="preserve">% в сравнении с </w:t>
      </w:r>
      <w:r w:rsidRPr="005D4CFF">
        <w:rPr>
          <w:rFonts w:ascii="Times New Roman" w:hAnsi="Times New Roman" w:cs="Times New Roman"/>
          <w:sz w:val="28"/>
        </w:rPr>
        <w:t xml:space="preserve">аналогичными показателями </w:t>
      </w:r>
      <w:r w:rsidR="00C0301C" w:rsidRPr="005D4CFF">
        <w:rPr>
          <w:rFonts w:ascii="Times New Roman" w:hAnsi="Times New Roman" w:cs="Times New Roman"/>
          <w:sz w:val="28"/>
        </w:rPr>
        <w:t>2021</w:t>
      </w:r>
      <w:r w:rsidR="00220F66" w:rsidRPr="005D4CFF">
        <w:rPr>
          <w:rFonts w:ascii="Times New Roman" w:hAnsi="Times New Roman" w:cs="Times New Roman"/>
          <w:sz w:val="28"/>
        </w:rPr>
        <w:t xml:space="preserve"> год.</w:t>
      </w:r>
    </w:p>
    <w:p w:rsidR="00F861C7" w:rsidRPr="006B4B0C" w:rsidRDefault="00F861C7" w:rsidP="00F861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B4B0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B4B0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303"/>
        <w:gridCol w:w="1205"/>
        <w:gridCol w:w="1602"/>
        <w:gridCol w:w="1560"/>
      </w:tblGrid>
      <w:tr w:rsidR="00220F66" w:rsidRPr="005B4E26" w:rsidTr="005B4E2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6" w:rsidRPr="00F861C7" w:rsidRDefault="00220F66" w:rsidP="000E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66" w:rsidRPr="00F861C7" w:rsidRDefault="00220F66" w:rsidP="000E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D4CFF">
              <w:rPr>
                <w:rFonts w:ascii="Times New Roman" w:hAnsi="Times New Roman" w:cs="Times New Roman"/>
                <w:b/>
                <w:bCs/>
                <w:sz w:val="24"/>
              </w:rPr>
              <w:t>Январь</w:t>
            </w:r>
            <w:r w:rsidR="006E752A" w:rsidRPr="005D4CFF">
              <w:rPr>
                <w:rFonts w:ascii="Times New Roman" w:hAnsi="Times New Roman" w:cs="Times New Roman"/>
                <w:b/>
                <w:bCs/>
                <w:sz w:val="24"/>
              </w:rPr>
              <w:t>-февраль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66" w:rsidRPr="005D4CFF" w:rsidRDefault="00B43361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</w:t>
            </w:r>
            <w:r w:rsidR="00220F66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, млн. </w:t>
            </w:r>
            <w:proofErr w:type="spellStart"/>
            <w:r w:rsidR="00220F66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Δ, %</w:t>
            </w:r>
          </w:p>
        </w:tc>
      </w:tr>
      <w:tr w:rsidR="00220F66" w:rsidRPr="005B4E26" w:rsidTr="005B4E26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F66" w:rsidRPr="00F861C7" w:rsidRDefault="00220F66" w:rsidP="000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F861C7" w:rsidRDefault="00220F66" w:rsidP="000E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4BBF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4BBF"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D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66" w:rsidRPr="005D4CFF" w:rsidRDefault="00220F66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752A" w:rsidRPr="005B4E26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АО «Самрук-Энерго»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D4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468,3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1 474,2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0,4%</w:t>
            </w:r>
          </w:p>
        </w:tc>
      </w:tr>
      <w:tr w:rsidR="006E752A" w:rsidRPr="005B4E26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ТОО «Богатырь-Комир»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-0,7%</w:t>
            </w:r>
          </w:p>
        </w:tc>
      </w:tr>
      <w:tr w:rsidR="006E752A" w:rsidRPr="005B4E26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АО «</w:t>
            </w:r>
            <w:proofErr w:type="spellStart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АлатауЖарык</w:t>
            </w:r>
            <w:proofErr w:type="spellEnd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spellStart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Компаниясы</w:t>
            </w:r>
            <w:proofErr w:type="spellEnd"/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5D4CFF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10,0%</w:t>
            </w:r>
          </w:p>
        </w:tc>
      </w:tr>
      <w:tr w:rsidR="006E752A" w:rsidRPr="005B4E26" w:rsidTr="00F861C7">
        <w:trPr>
          <w:trHeight w:val="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A" w:rsidRPr="00F861C7" w:rsidRDefault="006E752A" w:rsidP="006E7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F861C7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ТОО «АлматыЭнергоСбыт»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5D4CFF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1 199,4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A" w:rsidRPr="00D24711" w:rsidRDefault="006E752A" w:rsidP="006E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-1,1%</w:t>
            </w:r>
          </w:p>
        </w:tc>
      </w:tr>
    </w:tbl>
    <w:p w:rsidR="007C6544" w:rsidRDefault="007C6544" w:rsidP="00961F76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507606021"/>
    </w:p>
    <w:p w:rsidR="007C6544" w:rsidRDefault="007C6544">
      <w:pPr>
        <w:rPr>
          <w:rFonts w:ascii="Times New Roman" w:eastAsiaTheme="maj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61F76" w:rsidRPr="00B35D81" w:rsidRDefault="000D0A75" w:rsidP="00B35D8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13" w:name="_Toc99467108"/>
      <w:r w:rsidRPr="005D4CF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2.</w:t>
      </w:r>
      <w:r w:rsidR="00031F5F" w:rsidRPr="005D4CFF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A12026" w:rsidRPr="005D4CFF">
        <w:t xml:space="preserve"> </w:t>
      </w:r>
      <w:bookmarkStart w:id="14" w:name="_Toc510196469"/>
      <w:r w:rsidR="001855B1" w:rsidRPr="00B35D81">
        <w:rPr>
          <w:rFonts w:ascii="Times New Roman" w:hAnsi="Times New Roman" w:cs="Times New Roman"/>
          <w:i/>
          <w:color w:val="000000" w:themeColor="text1"/>
          <w:sz w:val="28"/>
        </w:rPr>
        <w:t>Электропотребление крупными потребителями Казахстана</w:t>
      </w:r>
      <w:bookmarkEnd w:id="14"/>
      <w:bookmarkEnd w:id="13"/>
    </w:p>
    <w:p w:rsidR="00BB5A83" w:rsidRPr="00961F76" w:rsidRDefault="00BB5A83" w:rsidP="004B427A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:rsidR="007C6544" w:rsidRPr="003221AC" w:rsidRDefault="001855B1" w:rsidP="00F1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AC">
        <w:rPr>
          <w:rFonts w:ascii="Times New Roman" w:hAnsi="Times New Roman" w:cs="Times New Roman"/>
          <w:sz w:val="28"/>
          <w:szCs w:val="28"/>
        </w:rPr>
        <w:t>За январь</w:t>
      </w:r>
      <w:r w:rsidR="00755353" w:rsidRPr="00755353">
        <w:rPr>
          <w:rFonts w:ascii="Times New Roman" w:hAnsi="Times New Roman" w:cs="Times New Roman"/>
          <w:sz w:val="28"/>
          <w:szCs w:val="28"/>
        </w:rPr>
        <w:t>-</w:t>
      </w:r>
      <w:r w:rsidR="00755353">
        <w:rPr>
          <w:rFonts w:ascii="Times New Roman" w:hAnsi="Times New Roman" w:cs="Times New Roman"/>
          <w:sz w:val="28"/>
          <w:szCs w:val="28"/>
        </w:rPr>
        <w:t>февраль</w:t>
      </w:r>
      <w:r w:rsidRPr="003221AC">
        <w:rPr>
          <w:rFonts w:ascii="Times New Roman" w:hAnsi="Times New Roman" w:cs="Times New Roman"/>
          <w:sz w:val="28"/>
          <w:szCs w:val="28"/>
        </w:rPr>
        <w:t xml:space="preserve"> 2022 года по отношению к аналогичному периоду 2021 года потребление электроэнергии по крупным потребителям у</w:t>
      </w:r>
      <w:r w:rsidR="00B5487E">
        <w:rPr>
          <w:rFonts w:ascii="Times New Roman" w:hAnsi="Times New Roman" w:cs="Times New Roman"/>
          <w:sz w:val="28"/>
          <w:szCs w:val="28"/>
        </w:rPr>
        <w:t>величилось</w:t>
      </w:r>
      <w:r w:rsidRPr="003221AC">
        <w:rPr>
          <w:rFonts w:ascii="Times New Roman" w:hAnsi="Times New Roman" w:cs="Times New Roman"/>
          <w:sz w:val="28"/>
          <w:szCs w:val="28"/>
        </w:rPr>
        <w:t xml:space="preserve"> на</w:t>
      </w:r>
      <w:r w:rsidR="00961F76">
        <w:rPr>
          <w:rFonts w:ascii="Times New Roman" w:hAnsi="Times New Roman" w:cs="Times New Roman"/>
          <w:sz w:val="28"/>
          <w:szCs w:val="28"/>
        </w:rPr>
        <w:t xml:space="preserve"> </w:t>
      </w:r>
      <w:r w:rsidR="00B5487E">
        <w:rPr>
          <w:rFonts w:ascii="Times New Roman" w:hAnsi="Times New Roman" w:cs="Times New Roman"/>
          <w:sz w:val="28"/>
          <w:szCs w:val="28"/>
        </w:rPr>
        <w:t>98,6</w:t>
      </w:r>
      <w:r w:rsidR="00961F76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961F76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961F7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5487E">
        <w:rPr>
          <w:rFonts w:ascii="Times New Roman" w:hAnsi="Times New Roman" w:cs="Times New Roman"/>
          <w:sz w:val="28"/>
          <w:szCs w:val="28"/>
        </w:rPr>
        <w:t>1,7</w:t>
      </w:r>
      <w:r w:rsidRPr="003221A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55B1" w:rsidRPr="00C7676D" w:rsidRDefault="001855B1" w:rsidP="001855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676D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C7676D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tblInd w:w="-10" w:type="dxa"/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1855B1" w:rsidRPr="004B427A" w:rsidTr="004B427A">
        <w:trPr>
          <w:trHeight w:val="324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55B1" w:rsidRPr="004B427A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855B1" w:rsidRPr="004B427A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1855B1" w:rsidRPr="00595229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="007553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8CCE4"/>
            <w:vAlign w:val="center"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8CCE4"/>
            <w:vAlign w:val="center"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855B1" w:rsidRPr="004B427A" w:rsidTr="00AE09B0">
        <w:trPr>
          <w:trHeight w:val="324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B1" w:rsidRPr="004B427A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B1" w:rsidRPr="004B427A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1855B1" w:rsidRPr="004B427A" w:rsidRDefault="001855B1" w:rsidP="004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09B0" w:rsidRPr="004B427A" w:rsidTr="00AE09B0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Арселор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Миттал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633,6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657,7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E09B0" w:rsidRPr="004B427A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АЗФ (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Аксуйский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) «ТНК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906,2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-91,9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-10,1</w:t>
            </w:r>
          </w:p>
        </w:tc>
      </w:tr>
      <w:tr w:rsidR="00AE09B0" w:rsidRPr="004B427A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Kazakhmys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Smelting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209,2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Казцинк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481,1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-1,8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Соколовско-Сарбайское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ТОО «Корпорация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Казахмыс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219,1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АО АЗФ (Актюбинский) «ТНК 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Казхром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539,2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-85,3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-15,8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РГП «Канал им. Сатпаева»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«Казфосфат»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272,6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АО «НДФЗ» </w:t>
            </w:r>
          </w:p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(входит в структуру ТОО Казфосфат)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Таразский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-38,8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-56,2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Усть-Каменогорский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титано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-магниевый</w:t>
            </w:r>
            <w:proofErr w:type="gram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Тенгизшевройл</w:t>
            </w:r>
            <w:proofErr w:type="spellEnd"/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AE09B0" w:rsidRPr="00AE09B0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155,8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AE09B0" w:rsidRPr="004B427A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624,4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-4,9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</w:tr>
      <w:tr w:rsidR="00AE09B0" w:rsidRPr="004B427A" w:rsidTr="00AE09B0">
        <w:trPr>
          <w:trHeight w:val="3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4B427A" w:rsidRDefault="00AE09B0" w:rsidP="00AE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1 016,8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1 022,6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0" w:rsidRPr="00AE09B0" w:rsidRDefault="00AE09B0" w:rsidP="00AE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lang w:eastAsia="ru-RU"/>
              </w:rPr>
              <w:t>-0,6</w:t>
            </w:r>
          </w:p>
        </w:tc>
      </w:tr>
      <w:tr w:rsidR="00B5487E" w:rsidRPr="004B427A" w:rsidTr="00AE09B0">
        <w:trPr>
          <w:trHeight w:val="3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7E" w:rsidRPr="004B427A" w:rsidRDefault="00B5487E" w:rsidP="00B5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7E" w:rsidRPr="005D4CFF" w:rsidRDefault="00AE09B0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b/>
                <w:lang w:eastAsia="ru-RU"/>
              </w:rPr>
              <w:t>5 829,1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7E" w:rsidRPr="005D4CFF" w:rsidRDefault="00AE09B0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b/>
                <w:lang w:eastAsia="ru-RU"/>
              </w:rPr>
              <w:t>5 927,7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7E" w:rsidRPr="00AE09B0" w:rsidRDefault="00B5487E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7E" w:rsidRPr="00AE09B0" w:rsidRDefault="00B5487E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9B0">
              <w:rPr>
                <w:rFonts w:ascii="Times New Roman" w:eastAsia="Times New Roman" w:hAnsi="Times New Roman" w:cs="Times New Roman"/>
                <w:b/>
                <w:lang w:eastAsia="ru-RU"/>
              </w:rPr>
              <w:t>1,7%</w:t>
            </w:r>
          </w:p>
        </w:tc>
      </w:tr>
    </w:tbl>
    <w:p w:rsidR="00C7676D" w:rsidRDefault="00C7676D" w:rsidP="001D5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7676D" w:rsidRDefault="00C76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5A83" w:rsidRDefault="00EF54F8" w:rsidP="00031F5F">
      <w:pPr>
        <w:pStyle w:val="1"/>
        <w:numPr>
          <w:ilvl w:val="1"/>
          <w:numId w:val="4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99467109"/>
      <w:bookmarkEnd w:id="12"/>
      <w:r w:rsidRPr="000F513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Экспорт-импорт электрической энергии</w:t>
      </w:r>
      <w:bookmarkEnd w:id="15"/>
    </w:p>
    <w:p w:rsidR="00BB5A83" w:rsidRPr="00BB5A83" w:rsidRDefault="00BB5A83" w:rsidP="00BB5A83">
      <w:pPr>
        <w:spacing w:after="0"/>
      </w:pPr>
    </w:p>
    <w:p w:rsidR="00EF54F8" w:rsidRPr="000D46F5" w:rsidRDefault="00EF54F8" w:rsidP="00D5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F5">
        <w:rPr>
          <w:rFonts w:ascii="Times New Roman" w:hAnsi="Times New Roman" w:cs="Times New Roman"/>
          <w:sz w:val="28"/>
          <w:szCs w:val="28"/>
        </w:rPr>
        <w:t>В целях балансирования производства-потр</w:t>
      </w:r>
      <w:r>
        <w:rPr>
          <w:rFonts w:ascii="Times New Roman" w:hAnsi="Times New Roman" w:cs="Times New Roman"/>
          <w:sz w:val="28"/>
          <w:szCs w:val="28"/>
        </w:rPr>
        <w:t>ебления электроэнергии в январе</w:t>
      </w:r>
      <w:r w:rsidR="00D54D43">
        <w:rPr>
          <w:rFonts w:ascii="Times New Roman" w:hAnsi="Times New Roman" w:cs="Times New Roman"/>
          <w:sz w:val="28"/>
          <w:szCs w:val="28"/>
        </w:rPr>
        <w:t>-феврале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D46F5">
        <w:rPr>
          <w:rFonts w:ascii="Times New Roman" w:hAnsi="Times New Roman" w:cs="Times New Roman"/>
          <w:sz w:val="28"/>
          <w:szCs w:val="28"/>
        </w:rPr>
        <w:t xml:space="preserve"> года экспорт в РФ составил </w:t>
      </w:r>
      <w:r w:rsidR="00D54D43">
        <w:rPr>
          <w:rFonts w:ascii="Times New Roman" w:hAnsi="Times New Roman" w:cs="Times New Roman"/>
          <w:sz w:val="28"/>
          <w:szCs w:val="28"/>
        </w:rPr>
        <w:t>174,7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 xml:space="preserve">, импорт из РФ </w:t>
      </w:r>
      <w:r w:rsidR="00D54D43">
        <w:rPr>
          <w:rFonts w:ascii="Times New Roman" w:hAnsi="Times New Roman" w:cs="Times New Roman"/>
          <w:sz w:val="28"/>
          <w:szCs w:val="28"/>
        </w:rPr>
        <w:t>269,8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>.</w:t>
      </w:r>
    </w:p>
    <w:p w:rsidR="00EF54F8" w:rsidRDefault="00EF54F8" w:rsidP="00EF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F5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</w:t>
      </w:r>
      <w:r w:rsidR="00D54D43">
        <w:rPr>
          <w:rFonts w:ascii="Times New Roman" w:hAnsi="Times New Roman" w:cs="Times New Roman"/>
          <w:sz w:val="28"/>
          <w:szCs w:val="28"/>
        </w:rPr>
        <w:t>167,1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</w:t>
      </w:r>
      <w:r w:rsidR="00D54D43" w:rsidRPr="00D54D43">
        <w:rPr>
          <w:rFonts w:ascii="Times New Roman" w:hAnsi="Times New Roman" w:cs="Times New Roman"/>
          <w:sz w:val="28"/>
          <w:szCs w:val="28"/>
        </w:rPr>
        <w:t>239,4</w:t>
      </w:r>
      <w:r w:rsidRPr="000D46F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0D46F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D46F5">
        <w:rPr>
          <w:rFonts w:ascii="Times New Roman" w:hAnsi="Times New Roman" w:cs="Times New Roman"/>
          <w:sz w:val="28"/>
          <w:szCs w:val="28"/>
        </w:rPr>
        <w:t>.</w:t>
      </w:r>
    </w:p>
    <w:p w:rsidR="004B427A" w:rsidRDefault="00404E1F" w:rsidP="00F1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внешнеторгового товарообмена объем экспорта электроэнергии</w:t>
      </w:r>
      <w:r w:rsidR="003221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221AC">
        <w:rPr>
          <w:rFonts w:ascii="Times New Roman" w:hAnsi="Times New Roman" w:cs="Times New Roman"/>
          <w:sz w:val="28"/>
          <w:szCs w:val="28"/>
        </w:rPr>
        <w:t>Кыргызскую</w:t>
      </w:r>
      <w:proofErr w:type="spellEnd"/>
      <w:r w:rsidR="003221AC">
        <w:rPr>
          <w:rFonts w:ascii="Times New Roman" w:hAnsi="Times New Roman" w:cs="Times New Roman"/>
          <w:sz w:val="28"/>
          <w:szCs w:val="28"/>
        </w:rPr>
        <w:t xml:space="preserve"> Республику</w:t>
      </w:r>
      <w:r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B5487E">
        <w:rPr>
          <w:rFonts w:ascii="Times New Roman" w:hAnsi="Times New Roman" w:cs="Times New Roman"/>
          <w:sz w:val="28"/>
          <w:szCs w:val="28"/>
        </w:rPr>
        <w:t>-февраль</w:t>
      </w:r>
      <w:r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B5487E" w:rsidRPr="00B5487E">
        <w:rPr>
          <w:rFonts w:ascii="Times New Roman" w:hAnsi="Times New Roman" w:cs="Times New Roman"/>
          <w:sz w:val="28"/>
          <w:szCs w:val="28"/>
        </w:rPr>
        <w:t>219,7</w:t>
      </w:r>
      <w:r w:rsidR="00B5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proofErr w:type="spellStart"/>
      <w:r w:rsidR="00035DE9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D61" w:rsidRPr="00F17D61" w:rsidRDefault="00F17D61" w:rsidP="00F1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4F8" w:rsidRPr="000D46F5" w:rsidRDefault="00EF54F8" w:rsidP="00EF54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D46F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0D46F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5E357B" w:rsidTr="00B5487E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66043" w:rsidRPr="005E357B" w:rsidRDefault="00D66043" w:rsidP="00D66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5E357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5E357B" w:rsidTr="00B5487E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043" w:rsidRPr="005E357B" w:rsidRDefault="00D66043" w:rsidP="00D66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C73D8" w:rsidRPr="005E357B" w:rsidTr="00B5487E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D8" w:rsidRPr="005E357B" w:rsidRDefault="000C73D8" w:rsidP="000C7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D12D99" w:rsidRDefault="00D12D99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C73D8"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D12D99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hAnsi="Times New Roman" w:cs="Times New Roman"/>
                <w:b/>
                <w:bCs/>
              </w:rPr>
              <w:t>-30,7%</w:t>
            </w:r>
          </w:p>
        </w:tc>
      </w:tr>
      <w:tr w:rsidR="000C73D8" w:rsidRPr="005E357B" w:rsidTr="00B5487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5E357B" w:rsidRDefault="000C73D8" w:rsidP="000C73D8">
            <w:pPr>
              <w:spacing w:after="0" w:line="240" w:lineRule="auto"/>
              <w:ind w:firstLineChars="269" w:firstLine="59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D12D99" w:rsidRDefault="00D12D99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C73D8"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3D8" w:rsidRPr="00D12D99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hAnsi="Times New Roman" w:cs="Times New Roman"/>
                <w:b/>
                <w:bCs/>
              </w:rPr>
              <w:t>-11,3%</w:t>
            </w:r>
          </w:p>
        </w:tc>
      </w:tr>
      <w:tr w:rsidR="00D66043" w:rsidRPr="005E357B" w:rsidTr="00B5487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43" w:rsidRPr="005E357B" w:rsidRDefault="00D66043" w:rsidP="00D66043">
            <w:pPr>
              <w:spacing w:after="0" w:line="240" w:lineRule="auto"/>
              <w:ind w:firstLineChars="270" w:firstLine="596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5E357B" w:rsidRDefault="00D66043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D12D99" w:rsidRDefault="00D12D99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C73D8"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D12D99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</w:t>
            </w:r>
            <w:r w:rsidR="002953A6"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E357B" w:rsidRPr="005E357B" w:rsidTr="00B5487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7B" w:rsidRPr="005E357B" w:rsidRDefault="005E357B" w:rsidP="005E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7B" w:rsidRPr="005E357B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</w:pPr>
            <w:r w:rsidRPr="005E357B">
              <w:rPr>
                <w:rFonts w:ascii="Times New Roman" w:hAnsi="Times New Roman" w:cs="Times New Roman"/>
                <w:b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5E357B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</w:pPr>
            <w:r w:rsidRPr="005E357B">
              <w:rPr>
                <w:rFonts w:ascii="Times New Roman" w:hAnsi="Times New Roman" w:cs="Times New Roman"/>
                <w:b/>
              </w:rPr>
              <w:t>270,9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D12D99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D12D99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hAnsi="Times New Roman" w:cs="Times New Roman"/>
                <w:b/>
                <w:bCs/>
              </w:rPr>
              <w:t>26,2%</w:t>
            </w:r>
          </w:p>
        </w:tc>
      </w:tr>
      <w:tr w:rsidR="005E357B" w:rsidRPr="005E357B" w:rsidTr="00B5487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7B" w:rsidRPr="005E357B" w:rsidRDefault="005E357B" w:rsidP="005E357B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5E357B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E357B">
              <w:rPr>
                <w:rFonts w:ascii="Times New Roman" w:hAnsi="Times New Roman" w:cs="Times New Roman"/>
                <w:b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5E357B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E357B">
              <w:rPr>
                <w:rFonts w:ascii="Times New Roman" w:hAnsi="Times New Roman" w:cs="Times New Roman"/>
                <w:b/>
              </w:rPr>
              <w:t>269,8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D12D99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hAnsi="Times New Roman" w:cs="Times New Roman"/>
                <w:b/>
                <w:bCs/>
              </w:rPr>
              <w:t>55,2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7B" w:rsidRPr="00D12D99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hAnsi="Times New Roman" w:cs="Times New Roman"/>
                <w:b/>
                <w:bCs/>
              </w:rPr>
              <w:t>25,7%</w:t>
            </w:r>
          </w:p>
        </w:tc>
      </w:tr>
      <w:tr w:rsidR="00D66043" w:rsidRPr="005E357B" w:rsidTr="00B5487E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043" w:rsidRPr="005E357B" w:rsidRDefault="00C504DF" w:rsidP="00D66043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</w:t>
            </w:r>
            <w:r w:rsidR="00D66043"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5E357B" w:rsidRDefault="000C73D8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5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D12D99" w:rsidRDefault="00D12D99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0C73D8"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43" w:rsidRPr="00D12D99" w:rsidRDefault="005E357B" w:rsidP="00B5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D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-65,1%</w:t>
            </w:r>
          </w:p>
        </w:tc>
      </w:tr>
    </w:tbl>
    <w:p w:rsidR="000F513C" w:rsidRDefault="000F513C" w:rsidP="000F513C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:rsidR="000F513C" w:rsidRPr="000F513C" w:rsidRDefault="00BB5A83" w:rsidP="004B42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E02F0" w:rsidRDefault="00A32670" w:rsidP="006A1A33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6" w:name="_Toc99467110"/>
      <w:r w:rsidRPr="000D46F5">
        <w:rPr>
          <w:rFonts w:ascii="Times New Roman" w:hAnsi="Times New Roman" w:cs="Times New Roman"/>
          <w:b/>
          <w:color w:val="auto"/>
        </w:rPr>
        <w:lastRenderedPageBreak/>
        <w:t>Уголь</w:t>
      </w:r>
      <w:bookmarkStart w:id="17" w:name="_Toc510196473"/>
      <w:bookmarkEnd w:id="16"/>
    </w:p>
    <w:p w:rsidR="00AD64FC" w:rsidRPr="00AD64FC" w:rsidRDefault="00AD64FC" w:rsidP="00AD64FC">
      <w:pPr>
        <w:spacing w:after="0"/>
      </w:pPr>
    </w:p>
    <w:bookmarkEnd w:id="17"/>
    <w:p w:rsidR="00305F73" w:rsidRPr="004F1FD4" w:rsidRDefault="000E75C2" w:rsidP="00AD6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FD4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</w:t>
      </w:r>
      <w:r w:rsidR="004D2045" w:rsidRPr="004F1FD4">
        <w:rPr>
          <w:rFonts w:ascii="Times New Roman" w:hAnsi="Times New Roman" w:cs="Times New Roman"/>
          <w:sz w:val="28"/>
          <w:szCs w:val="28"/>
        </w:rPr>
        <w:t>-феврале</w:t>
      </w:r>
      <w:r w:rsidRPr="004F1FD4">
        <w:rPr>
          <w:rFonts w:ascii="Times New Roman" w:hAnsi="Times New Roman" w:cs="Times New Roman"/>
          <w:sz w:val="28"/>
          <w:szCs w:val="28"/>
        </w:rPr>
        <w:t xml:space="preserve"> </w:t>
      </w:r>
      <w:r w:rsidR="000F513C" w:rsidRPr="004F1FD4">
        <w:rPr>
          <w:rFonts w:ascii="Times New Roman" w:hAnsi="Times New Roman" w:cs="Times New Roman"/>
          <w:sz w:val="28"/>
          <w:szCs w:val="28"/>
        </w:rPr>
        <w:br/>
      </w:r>
      <w:r w:rsidRPr="004F1FD4">
        <w:rPr>
          <w:rFonts w:ascii="Times New Roman" w:hAnsi="Times New Roman" w:cs="Times New Roman"/>
          <w:sz w:val="28"/>
          <w:szCs w:val="28"/>
        </w:rPr>
        <w:t xml:space="preserve">2022 года добыто </w:t>
      </w:r>
      <w:r w:rsidR="004D2045" w:rsidRPr="004F1FD4">
        <w:rPr>
          <w:rFonts w:ascii="Times New Roman" w:hAnsi="Times New Roman" w:cs="Times New Roman"/>
          <w:sz w:val="28"/>
          <w:szCs w:val="28"/>
        </w:rPr>
        <w:t>19</w:t>
      </w:r>
      <w:r w:rsidR="004F1FD4" w:rsidRPr="004F1FD4">
        <w:rPr>
          <w:rFonts w:ascii="Times New Roman" w:hAnsi="Times New Roman" w:cs="Times New Roman"/>
          <w:sz w:val="28"/>
          <w:szCs w:val="28"/>
        </w:rPr>
        <w:t> </w:t>
      </w:r>
      <w:r w:rsidR="004D2045" w:rsidRPr="004F1FD4">
        <w:rPr>
          <w:rFonts w:ascii="Times New Roman" w:hAnsi="Times New Roman" w:cs="Times New Roman"/>
          <w:sz w:val="28"/>
          <w:szCs w:val="28"/>
        </w:rPr>
        <w:t>5</w:t>
      </w:r>
      <w:r w:rsidR="004F1FD4" w:rsidRPr="004F1FD4">
        <w:rPr>
          <w:rFonts w:ascii="Times New Roman" w:hAnsi="Times New Roman" w:cs="Times New Roman"/>
          <w:sz w:val="28"/>
          <w:szCs w:val="28"/>
        </w:rPr>
        <w:t>51,3</w:t>
      </w:r>
      <w:r w:rsidRPr="004F1FD4">
        <w:rPr>
          <w:rFonts w:ascii="Times New Roman" w:hAnsi="Times New Roman" w:cs="Times New Roman"/>
          <w:sz w:val="28"/>
          <w:szCs w:val="28"/>
        </w:rPr>
        <w:t xml:space="preserve"> тыс. тонн каменного угля, что на 4</w:t>
      </w:r>
      <w:r w:rsidR="004F1FD4">
        <w:rPr>
          <w:rFonts w:ascii="Times New Roman" w:hAnsi="Times New Roman" w:cs="Times New Roman"/>
          <w:sz w:val="28"/>
          <w:szCs w:val="28"/>
        </w:rPr>
        <w:t>,2</w:t>
      </w:r>
      <w:r w:rsidRPr="004F1FD4">
        <w:rPr>
          <w:rFonts w:ascii="Times New Roman" w:hAnsi="Times New Roman" w:cs="Times New Roman"/>
          <w:sz w:val="28"/>
          <w:szCs w:val="28"/>
        </w:rPr>
        <w:t xml:space="preserve">% </w:t>
      </w:r>
      <w:r w:rsidR="004D2045" w:rsidRPr="004F1FD4">
        <w:rPr>
          <w:rFonts w:ascii="Times New Roman" w:hAnsi="Times New Roman" w:cs="Times New Roman"/>
          <w:sz w:val="28"/>
          <w:szCs w:val="28"/>
        </w:rPr>
        <w:t>больше</w:t>
      </w:r>
      <w:r w:rsidR="00CC092F" w:rsidRPr="004F1FD4">
        <w:rPr>
          <w:rFonts w:ascii="Times New Roman" w:hAnsi="Times New Roman" w:cs="Times New Roman"/>
          <w:sz w:val="28"/>
          <w:szCs w:val="28"/>
        </w:rPr>
        <w:t xml:space="preserve"> </w:t>
      </w:r>
      <w:r w:rsidRPr="004F1FD4">
        <w:rPr>
          <w:rFonts w:ascii="Times New Roman" w:hAnsi="Times New Roman" w:cs="Times New Roman"/>
          <w:sz w:val="28"/>
          <w:szCs w:val="28"/>
        </w:rPr>
        <w:t>чем за аналогичный период 2021 года (</w:t>
      </w:r>
      <w:r w:rsidR="004D2045" w:rsidRPr="004F1FD4">
        <w:rPr>
          <w:rFonts w:ascii="Times New Roman" w:hAnsi="Times New Roman" w:cs="Times New Roman"/>
          <w:sz w:val="28"/>
          <w:szCs w:val="28"/>
        </w:rPr>
        <w:t>18</w:t>
      </w:r>
      <w:r w:rsidR="004F1FD4" w:rsidRPr="004F1FD4">
        <w:rPr>
          <w:rFonts w:ascii="Times New Roman" w:hAnsi="Times New Roman" w:cs="Times New Roman"/>
          <w:sz w:val="28"/>
          <w:szCs w:val="28"/>
        </w:rPr>
        <w:t> </w:t>
      </w:r>
      <w:r w:rsidR="004D2045" w:rsidRPr="004F1FD4">
        <w:rPr>
          <w:rFonts w:ascii="Times New Roman" w:hAnsi="Times New Roman" w:cs="Times New Roman"/>
          <w:sz w:val="28"/>
          <w:szCs w:val="28"/>
        </w:rPr>
        <w:t>761</w:t>
      </w:r>
      <w:r w:rsidR="004F1FD4" w:rsidRPr="004F1FD4">
        <w:rPr>
          <w:rFonts w:ascii="Times New Roman" w:hAnsi="Times New Roman" w:cs="Times New Roman"/>
          <w:sz w:val="28"/>
          <w:szCs w:val="28"/>
        </w:rPr>
        <w:t>,2</w:t>
      </w:r>
      <w:r w:rsidR="004D2045" w:rsidRPr="004F1FD4">
        <w:rPr>
          <w:rFonts w:ascii="Times New Roman" w:hAnsi="Times New Roman" w:cs="Times New Roman"/>
          <w:sz w:val="28"/>
          <w:szCs w:val="28"/>
        </w:rPr>
        <w:t xml:space="preserve"> </w:t>
      </w:r>
      <w:r w:rsidRPr="004F1FD4">
        <w:rPr>
          <w:rFonts w:ascii="Times New Roman" w:hAnsi="Times New Roman" w:cs="Times New Roman"/>
          <w:sz w:val="28"/>
          <w:szCs w:val="28"/>
        </w:rPr>
        <w:t>тыс. тонн).</w:t>
      </w:r>
    </w:p>
    <w:p w:rsidR="000E75C2" w:rsidRPr="004F1FD4" w:rsidRDefault="000E75C2" w:rsidP="000E75C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1FD4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466179" w:rsidRPr="004F1FD4" w:rsidTr="00AD64FC">
        <w:trPr>
          <w:trHeight w:val="274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66179" w:rsidRPr="004F1FD4" w:rsidRDefault="00466179" w:rsidP="000E75C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:rsidR="00466179" w:rsidRPr="004F1FD4" w:rsidRDefault="00466179" w:rsidP="000E75C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vAlign w:val="center"/>
          </w:tcPr>
          <w:p w:rsidR="00466179" w:rsidRPr="004F1FD4" w:rsidRDefault="00466179" w:rsidP="004B42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  <w:r w:rsidR="004D2045" w:rsidRPr="004F1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-Февраль</w:t>
            </w:r>
          </w:p>
        </w:tc>
        <w:tc>
          <w:tcPr>
            <w:tcW w:w="1559" w:type="dxa"/>
            <w:vMerge w:val="restart"/>
            <w:vAlign w:val="center"/>
          </w:tcPr>
          <w:p w:rsidR="00466179" w:rsidRPr="004F1FD4" w:rsidRDefault="00466179" w:rsidP="004B42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6179" w:rsidRPr="004F1FD4" w:rsidRDefault="00466179" w:rsidP="004B42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466179" w:rsidRPr="004F1FD4" w:rsidTr="00AD64FC">
        <w:trPr>
          <w:trHeight w:val="355"/>
        </w:trPr>
        <w:tc>
          <w:tcPr>
            <w:tcW w:w="564" w:type="dxa"/>
            <w:vMerge/>
            <w:shd w:val="clear" w:color="auto" w:fill="B6DDE8" w:themeFill="accent5" w:themeFillTint="66"/>
            <w:vAlign w:val="center"/>
          </w:tcPr>
          <w:p w:rsidR="00466179" w:rsidRPr="004F1FD4" w:rsidRDefault="00466179" w:rsidP="000E75C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B6DDE8" w:themeFill="accent5" w:themeFillTint="66"/>
            <w:vAlign w:val="center"/>
          </w:tcPr>
          <w:p w:rsidR="00466179" w:rsidRPr="004F1FD4" w:rsidRDefault="00466179" w:rsidP="000E75C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66179" w:rsidRPr="004F1FD4" w:rsidRDefault="00466179" w:rsidP="004B4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179" w:rsidRPr="004F1FD4" w:rsidRDefault="00466179" w:rsidP="004B4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F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66179" w:rsidRPr="004F1FD4" w:rsidRDefault="00466179" w:rsidP="004B42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6179" w:rsidRPr="004F1FD4" w:rsidRDefault="00466179" w:rsidP="004B42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EE7" w:rsidRPr="004F1FD4" w:rsidTr="00AD64FC">
        <w:trPr>
          <w:trHeight w:val="333"/>
        </w:trPr>
        <w:tc>
          <w:tcPr>
            <w:tcW w:w="564" w:type="dxa"/>
            <w:vAlign w:val="center"/>
          </w:tcPr>
          <w:p w:rsidR="00E73EE7" w:rsidRPr="004F1FD4" w:rsidRDefault="00E73EE7" w:rsidP="00E73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vAlign w:val="center"/>
          </w:tcPr>
          <w:p w:rsidR="00E73EE7" w:rsidRPr="004F1FD4" w:rsidRDefault="00E73EE7" w:rsidP="00E73EE7">
            <w:pPr>
              <w:contextualSpacing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5832C7" w:rsidP="004B4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D4">
              <w:rPr>
                <w:rFonts w:ascii="Times New Roman" w:hAnsi="Times New Roman" w:cs="Times New Roman"/>
                <w:color w:val="000000"/>
              </w:rPr>
              <w:t>11</w:t>
            </w:r>
            <w:r w:rsidR="004F1FD4">
              <w:rPr>
                <w:rFonts w:ascii="Times New Roman" w:hAnsi="Times New Roman" w:cs="Times New Roman"/>
                <w:color w:val="000000"/>
              </w:rPr>
              <w:t> </w:t>
            </w:r>
            <w:r w:rsidRPr="004F1FD4">
              <w:rPr>
                <w:rFonts w:ascii="Times New Roman" w:hAnsi="Times New Roman" w:cs="Times New Roman"/>
                <w:color w:val="000000"/>
              </w:rPr>
              <w:t>879</w:t>
            </w:r>
            <w:r w:rsidR="004F1FD4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4B4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12 262,6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3,2</w:t>
            </w:r>
            <w:r w:rsidR="00E73EE7" w:rsidRPr="004F1FD4">
              <w:rPr>
                <w:rFonts w:ascii="Times New Roman" w:hAnsi="Times New Roman" w:cs="Times New Roman"/>
              </w:rPr>
              <w:t>%</w:t>
            </w:r>
          </w:p>
        </w:tc>
      </w:tr>
      <w:tr w:rsidR="00E73EE7" w:rsidRPr="004F1FD4" w:rsidTr="00AD64FC">
        <w:trPr>
          <w:trHeight w:val="333"/>
        </w:trPr>
        <w:tc>
          <w:tcPr>
            <w:tcW w:w="564" w:type="dxa"/>
            <w:vAlign w:val="center"/>
          </w:tcPr>
          <w:p w:rsidR="00E73EE7" w:rsidRPr="004F1FD4" w:rsidRDefault="00E73EE7" w:rsidP="00E73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vAlign w:val="center"/>
          </w:tcPr>
          <w:p w:rsidR="00E73EE7" w:rsidRPr="004F1FD4" w:rsidRDefault="00E73EE7" w:rsidP="00E73EE7">
            <w:pPr>
              <w:contextualSpacing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D2045" w:rsidP="004B4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D4">
              <w:rPr>
                <w:rFonts w:ascii="Times New Roman" w:hAnsi="Times New Roman" w:cs="Times New Roman"/>
                <w:color w:val="000000"/>
              </w:rPr>
              <w:t>5</w:t>
            </w:r>
            <w:r w:rsidR="004F1FD4">
              <w:rPr>
                <w:rFonts w:ascii="Times New Roman" w:hAnsi="Times New Roman" w:cs="Times New Roman"/>
                <w:color w:val="000000"/>
              </w:rPr>
              <w:t> </w:t>
            </w:r>
            <w:r w:rsidRPr="004F1FD4">
              <w:rPr>
                <w:rFonts w:ascii="Times New Roman" w:hAnsi="Times New Roman" w:cs="Times New Roman"/>
                <w:color w:val="000000"/>
              </w:rPr>
              <w:t>309</w:t>
            </w:r>
            <w:r w:rsidR="004F1FD4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D2045" w:rsidP="004F1F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D4">
              <w:rPr>
                <w:rFonts w:ascii="Times New Roman" w:hAnsi="Times New Roman" w:cs="Times New Roman"/>
                <w:color w:val="000000"/>
              </w:rPr>
              <w:t>5</w:t>
            </w:r>
            <w:r w:rsidR="004F1FD4">
              <w:rPr>
                <w:rFonts w:ascii="Times New Roman" w:hAnsi="Times New Roman" w:cs="Times New Roman"/>
                <w:color w:val="000000"/>
              </w:rPr>
              <w:t> 601,2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  <w:r w:rsidR="00800C23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4F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5,5</w:t>
            </w:r>
            <w:r w:rsidR="00E73EE7" w:rsidRPr="004F1FD4">
              <w:rPr>
                <w:rFonts w:ascii="Times New Roman" w:hAnsi="Times New Roman" w:cs="Times New Roman"/>
              </w:rPr>
              <w:t>%</w:t>
            </w:r>
          </w:p>
        </w:tc>
      </w:tr>
      <w:tr w:rsidR="00E73EE7" w:rsidRPr="004F1FD4" w:rsidTr="00AD64FC">
        <w:trPr>
          <w:trHeight w:val="333"/>
        </w:trPr>
        <w:tc>
          <w:tcPr>
            <w:tcW w:w="564" w:type="dxa"/>
            <w:vAlign w:val="center"/>
          </w:tcPr>
          <w:p w:rsidR="00E73EE7" w:rsidRPr="004F1FD4" w:rsidRDefault="00E73EE7" w:rsidP="00E73E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vAlign w:val="center"/>
          </w:tcPr>
          <w:p w:rsidR="00E73EE7" w:rsidRPr="004F1FD4" w:rsidRDefault="00E73EE7" w:rsidP="00E73EE7">
            <w:pPr>
              <w:contextualSpacing/>
              <w:rPr>
                <w:rFonts w:ascii="Times New Roman" w:hAnsi="Times New Roman" w:cs="Times New Roman"/>
              </w:rPr>
            </w:pPr>
            <w:r w:rsidRPr="004F1FD4">
              <w:rPr>
                <w:rFonts w:ascii="Times New Roman" w:hAnsi="Times New Roman" w:cs="Times New Roman"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5832C7" w:rsidP="004B4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D4">
              <w:rPr>
                <w:rFonts w:ascii="Times New Roman" w:hAnsi="Times New Roman" w:cs="Times New Roman"/>
                <w:color w:val="000000"/>
              </w:rPr>
              <w:t>1</w:t>
            </w:r>
            <w:r w:rsidR="004F1FD4">
              <w:rPr>
                <w:rFonts w:ascii="Times New Roman" w:hAnsi="Times New Roman" w:cs="Times New Roman"/>
                <w:color w:val="000000"/>
              </w:rPr>
              <w:t> </w:t>
            </w:r>
            <w:r w:rsidRPr="004F1FD4">
              <w:rPr>
                <w:rFonts w:ascii="Times New Roman" w:hAnsi="Times New Roman" w:cs="Times New Roman"/>
                <w:color w:val="000000"/>
              </w:rPr>
              <w:t>528</w:t>
            </w:r>
            <w:r w:rsidR="004F1FD4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4B4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0C23">
              <w:rPr>
                <w:rFonts w:ascii="Times New Roman" w:hAnsi="Times New Roman" w:cs="Times New Roman"/>
              </w:rPr>
              <w:t>,0</w:t>
            </w:r>
            <w:r w:rsidR="00E73EE7" w:rsidRPr="004F1FD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E73EE7" w:rsidRPr="006A1A33" w:rsidTr="00AD64FC">
        <w:trPr>
          <w:trHeight w:val="333"/>
        </w:trPr>
        <w:tc>
          <w:tcPr>
            <w:tcW w:w="564" w:type="dxa"/>
            <w:vAlign w:val="center"/>
          </w:tcPr>
          <w:p w:rsidR="00E73EE7" w:rsidRPr="004F1FD4" w:rsidRDefault="00E73EE7" w:rsidP="00E73E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E73EE7" w:rsidRPr="004F1FD4" w:rsidRDefault="00E73EE7" w:rsidP="00E73EE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1FD4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5832C7" w:rsidP="004B42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FD4">
              <w:rPr>
                <w:rFonts w:ascii="Times New Roman" w:hAnsi="Times New Roman" w:cs="Times New Roman"/>
                <w:b/>
                <w:bCs/>
              </w:rPr>
              <w:t>18</w:t>
            </w:r>
            <w:r w:rsidR="004F1FD4">
              <w:rPr>
                <w:rFonts w:ascii="Times New Roman" w:hAnsi="Times New Roman" w:cs="Times New Roman"/>
                <w:b/>
                <w:bCs/>
              </w:rPr>
              <w:t> </w:t>
            </w:r>
            <w:r w:rsidRPr="004F1FD4">
              <w:rPr>
                <w:rFonts w:ascii="Times New Roman" w:hAnsi="Times New Roman" w:cs="Times New Roman"/>
                <w:b/>
                <w:bCs/>
              </w:rPr>
              <w:t>761</w:t>
            </w:r>
            <w:r w:rsidR="004F1FD4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4F1FD4" w:rsidP="004B42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19 551,3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EE7" w:rsidRPr="004F1FD4" w:rsidRDefault="004F1FD4" w:rsidP="00583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4F1FD4" w:rsidRDefault="00E73EE7" w:rsidP="004B42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F1FD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="004F1FD4">
              <w:rPr>
                <w:rFonts w:ascii="Times New Roman" w:hAnsi="Times New Roman" w:cs="Times New Roman"/>
                <w:b/>
                <w:bCs/>
                <w:lang w:val="kk-KZ"/>
              </w:rPr>
              <w:t>,2</w:t>
            </w:r>
            <w:r w:rsidRPr="004F1FD4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</w:tr>
    </w:tbl>
    <w:p w:rsidR="0092430A" w:rsidRPr="006A1A33" w:rsidRDefault="0092430A" w:rsidP="00AD6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C092F" w:rsidRPr="00963E32" w:rsidRDefault="000E75C2" w:rsidP="006A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E32">
        <w:rPr>
          <w:rFonts w:ascii="Times New Roman" w:hAnsi="Times New Roman" w:cs="Times New Roman"/>
          <w:sz w:val="28"/>
          <w:szCs w:val="28"/>
        </w:rPr>
        <w:t>В январе</w:t>
      </w:r>
      <w:r w:rsidR="005832C7" w:rsidRPr="00963E32">
        <w:rPr>
          <w:rFonts w:ascii="Times New Roman" w:hAnsi="Times New Roman" w:cs="Times New Roman"/>
          <w:sz w:val="28"/>
          <w:szCs w:val="28"/>
        </w:rPr>
        <w:t>-феврале</w:t>
      </w:r>
      <w:r w:rsidRPr="00963E32">
        <w:rPr>
          <w:rFonts w:ascii="Times New Roman" w:hAnsi="Times New Roman" w:cs="Times New Roman"/>
          <w:sz w:val="28"/>
          <w:szCs w:val="28"/>
        </w:rPr>
        <w:t xml:space="preserve"> 2022 года ТОО «Богатырь Комир» добыто </w:t>
      </w:r>
      <w:r w:rsidR="005832C7" w:rsidRPr="00963E32">
        <w:rPr>
          <w:rFonts w:ascii="Times New Roman" w:hAnsi="Times New Roman" w:cs="Times New Roman"/>
          <w:sz w:val="28"/>
          <w:szCs w:val="28"/>
        </w:rPr>
        <w:t>7</w:t>
      </w:r>
      <w:r w:rsidR="00963E32">
        <w:rPr>
          <w:rFonts w:ascii="Times New Roman" w:hAnsi="Times New Roman" w:cs="Times New Roman"/>
          <w:sz w:val="28"/>
          <w:szCs w:val="28"/>
        </w:rPr>
        <w:t> </w:t>
      </w:r>
      <w:r w:rsidR="005832C7" w:rsidRPr="00963E32">
        <w:rPr>
          <w:rFonts w:ascii="Times New Roman" w:hAnsi="Times New Roman" w:cs="Times New Roman"/>
          <w:sz w:val="28"/>
          <w:szCs w:val="28"/>
        </w:rPr>
        <w:t>945</w:t>
      </w:r>
      <w:r w:rsidR="00963E32">
        <w:rPr>
          <w:rFonts w:ascii="Times New Roman" w:hAnsi="Times New Roman" w:cs="Times New Roman"/>
          <w:sz w:val="28"/>
          <w:szCs w:val="28"/>
        </w:rPr>
        <w:t>,4</w:t>
      </w:r>
      <w:r w:rsidRPr="00963E32">
        <w:rPr>
          <w:rFonts w:ascii="Times New Roman" w:hAnsi="Times New Roman" w:cs="Times New Roman"/>
          <w:sz w:val="28"/>
          <w:szCs w:val="28"/>
        </w:rPr>
        <w:t xml:space="preserve"> тыс. тонн, что на 2,</w:t>
      </w:r>
      <w:r w:rsidR="005832C7" w:rsidRPr="00963E32">
        <w:rPr>
          <w:rFonts w:ascii="Times New Roman" w:hAnsi="Times New Roman" w:cs="Times New Roman"/>
          <w:sz w:val="28"/>
          <w:szCs w:val="28"/>
        </w:rPr>
        <w:t>3</w:t>
      </w:r>
      <w:r w:rsidRPr="00963E32">
        <w:rPr>
          <w:rFonts w:ascii="Times New Roman" w:hAnsi="Times New Roman" w:cs="Times New Roman"/>
          <w:sz w:val="28"/>
          <w:szCs w:val="28"/>
        </w:rPr>
        <w:t xml:space="preserve">% </w:t>
      </w:r>
      <w:r w:rsidR="005832C7" w:rsidRPr="00963E32">
        <w:rPr>
          <w:rFonts w:ascii="Times New Roman" w:hAnsi="Times New Roman" w:cs="Times New Roman"/>
          <w:sz w:val="28"/>
          <w:szCs w:val="28"/>
        </w:rPr>
        <w:t>больше</w:t>
      </w:r>
      <w:r w:rsidRPr="00963E32">
        <w:rPr>
          <w:rFonts w:ascii="Times New Roman" w:hAnsi="Times New Roman" w:cs="Times New Roman"/>
          <w:sz w:val="28"/>
          <w:szCs w:val="28"/>
        </w:rPr>
        <w:t>, чем за соответствующий период 2021 года (</w:t>
      </w:r>
      <w:r w:rsidR="005832C7" w:rsidRPr="00963E32">
        <w:rPr>
          <w:rFonts w:ascii="Times New Roman" w:hAnsi="Times New Roman" w:cs="Times New Roman"/>
          <w:sz w:val="28"/>
          <w:szCs w:val="28"/>
        </w:rPr>
        <w:t>7</w:t>
      </w:r>
      <w:r w:rsidR="00963E32">
        <w:rPr>
          <w:rFonts w:ascii="Times New Roman" w:hAnsi="Times New Roman" w:cs="Times New Roman"/>
          <w:sz w:val="28"/>
          <w:szCs w:val="28"/>
        </w:rPr>
        <w:t> </w:t>
      </w:r>
      <w:r w:rsidR="005832C7" w:rsidRPr="00963E32">
        <w:rPr>
          <w:rFonts w:ascii="Times New Roman" w:hAnsi="Times New Roman" w:cs="Times New Roman"/>
          <w:sz w:val="28"/>
          <w:szCs w:val="28"/>
        </w:rPr>
        <w:t>76</w:t>
      </w:r>
      <w:r w:rsidR="00963E32">
        <w:rPr>
          <w:rFonts w:ascii="Times New Roman" w:hAnsi="Times New Roman" w:cs="Times New Roman"/>
          <w:sz w:val="28"/>
          <w:szCs w:val="28"/>
        </w:rPr>
        <w:t>7,6</w:t>
      </w:r>
      <w:r w:rsidRPr="00963E32">
        <w:rPr>
          <w:rFonts w:ascii="Times New Roman" w:hAnsi="Times New Roman" w:cs="Times New Roman"/>
          <w:sz w:val="28"/>
          <w:szCs w:val="28"/>
        </w:rPr>
        <w:t xml:space="preserve"> тыс. тонн).</w:t>
      </w:r>
      <w:bookmarkStart w:id="18" w:name="_Toc510196474"/>
      <w:r w:rsidR="00CC092F" w:rsidRPr="00963E32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</w:p>
    <w:p w:rsidR="00CC092F" w:rsidRPr="00963E32" w:rsidRDefault="00AD64FC" w:rsidP="006A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E32">
        <w:rPr>
          <w:rFonts w:ascii="Times New Roman" w:hAnsi="Times New Roman" w:cs="Times New Roman"/>
          <w:sz w:val="28"/>
          <w:szCs w:val="28"/>
        </w:rPr>
        <w:t>Р</w:t>
      </w:r>
      <w:r w:rsidR="000E75C2" w:rsidRPr="00963E32">
        <w:rPr>
          <w:rFonts w:ascii="Times New Roman" w:hAnsi="Times New Roman" w:cs="Times New Roman"/>
          <w:sz w:val="28"/>
          <w:szCs w:val="28"/>
        </w:rPr>
        <w:t>еализован</w:t>
      </w:r>
      <w:r w:rsidR="00CC092F" w:rsidRPr="00963E32">
        <w:rPr>
          <w:rFonts w:ascii="Times New Roman" w:hAnsi="Times New Roman" w:cs="Times New Roman"/>
          <w:sz w:val="28"/>
          <w:szCs w:val="28"/>
          <w:lang w:val="kk-KZ"/>
        </w:rPr>
        <w:t>ый объем угля в январе</w:t>
      </w:r>
      <w:r w:rsidR="005832C7" w:rsidRPr="00963E32">
        <w:rPr>
          <w:rFonts w:ascii="Times New Roman" w:hAnsi="Times New Roman" w:cs="Times New Roman"/>
          <w:sz w:val="28"/>
          <w:szCs w:val="28"/>
          <w:lang w:val="kk-KZ"/>
        </w:rPr>
        <w:t>-феврале</w:t>
      </w:r>
      <w:r w:rsidR="00CC092F" w:rsidRPr="00963E32">
        <w:rPr>
          <w:rFonts w:ascii="Times New Roman" w:hAnsi="Times New Roman" w:cs="Times New Roman"/>
          <w:sz w:val="28"/>
          <w:szCs w:val="28"/>
          <w:lang w:val="kk-KZ"/>
        </w:rPr>
        <w:t xml:space="preserve"> 2022 года составил </w:t>
      </w:r>
      <w:r w:rsidR="005832C7" w:rsidRPr="00963E32">
        <w:rPr>
          <w:rFonts w:ascii="Times New Roman" w:hAnsi="Times New Roman" w:cs="Times New Roman"/>
          <w:sz w:val="28"/>
          <w:szCs w:val="28"/>
        </w:rPr>
        <w:t>8</w:t>
      </w:r>
      <w:r w:rsidR="00963E32">
        <w:rPr>
          <w:rFonts w:ascii="Times New Roman" w:hAnsi="Times New Roman" w:cs="Times New Roman"/>
          <w:sz w:val="28"/>
          <w:szCs w:val="28"/>
        </w:rPr>
        <w:t> </w:t>
      </w:r>
      <w:r w:rsidR="005832C7" w:rsidRPr="00963E32">
        <w:rPr>
          <w:rFonts w:ascii="Times New Roman" w:hAnsi="Times New Roman" w:cs="Times New Roman"/>
          <w:sz w:val="28"/>
          <w:szCs w:val="28"/>
        </w:rPr>
        <w:t>05</w:t>
      </w:r>
      <w:r w:rsidR="00963E32">
        <w:rPr>
          <w:rFonts w:ascii="Times New Roman" w:hAnsi="Times New Roman" w:cs="Times New Roman"/>
          <w:sz w:val="28"/>
          <w:szCs w:val="28"/>
        </w:rPr>
        <w:t>2,7</w:t>
      </w:r>
      <w:r w:rsidR="00BB674F" w:rsidRPr="00963E32">
        <w:rPr>
          <w:rFonts w:ascii="Times New Roman" w:hAnsi="Times New Roman" w:cs="Times New Roman"/>
          <w:sz w:val="28"/>
          <w:szCs w:val="28"/>
        </w:rPr>
        <w:t xml:space="preserve"> тыс. тонн, из них 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на внутренний рынок РК </w:t>
      </w:r>
      <w:r w:rsidR="005832C7" w:rsidRPr="00963E32">
        <w:rPr>
          <w:rFonts w:ascii="Times New Roman" w:hAnsi="Times New Roman" w:cs="Times New Roman"/>
          <w:sz w:val="28"/>
          <w:szCs w:val="28"/>
        </w:rPr>
        <w:t>6</w:t>
      </w:r>
      <w:r w:rsidR="00963E32">
        <w:rPr>
          <w:rFonts w:ascii="Times New Roman" w:hAnsi="Times New Roman" w:cs="Times New Roman"/>
          <w:sz w:val="28"/>
          <w:szCs w:val="28"/>
        </w:rPr>
        <w:t> </w:t>
      </w:r>
      <w:r w:rsidR="005832C7" w:rsidRPr="00963E32">
        <w:rPr>
          <w:rFonts w:ascii="Times New Roman" w:hAnsi="Times New Roman" w:cs="Times New Roman"/>
          <w:sz w:val="28"/>
          <w:szCs w:val="28"/>
        </w:rPr>
        <w:t>368</w:t>
      </w:r>
      <w:r w:rsidR="00963E32">
        <w:rPr>
          <w:rFonts w:ascii="Times New Roman" w:hAnsi="Times New Roman" w:cs="Times New Roman"/>
          <w:sz w:val="28"/>
          <w:szCs w:val="28"/>
        </w:rPr>
        <w:t>,1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="005832C7" w:rsidRPr="00963E32">
        <w:rPr>
          <w:rFonts w:ascii="Times New Roman" w:hAnsi="Times New Roman" w:cs="Times New Roman"/>
          <w:sz w:val="28"/>
          <w:szCs w:val="28"/>
        </w:rPr>
        <w:t>13,5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 % меньше, чем за </w:t>
      </w:r>
      <w:r w:rsidR="00CC092F" w:rsidRPr="00963E32">
        <w:rPr>
          <w:rFonts w:ascii="Times New Roman" w:hAnsi="Times New Roman" w:cs="Times New Roman"/>
          <w:sz w:val="28"/>
          <w:szCs w:val="28"/>
        </w:rPr>
        <w:t>аналогичный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 период 2021 года (</w:t>
      </w:r>
      <w:r w:rsidR="005832C7" w:rsidRPr="00963E32">
        <w:rPr>
          <w:rFonts w:ascii="Times New Roman" w:hAnsi="Times New Roman" w:cs="Times New Roman"/>
          <w:sz w:val="28"/>
          <w:szCs w:val="28"/>
        </w:rPr>
        <w:t>7</w:t>
      </w:r>
      <w:r w:rsidR="00963E32">
        <w:rPr>
          <w:rFonts w:ascii="Times New Roman" w:hAnsi="Times New Roman" w:cs="Times New Roman"/>
          <w:sz w:val="28"/>
          <w:szCs w:val="28"/>
        </w:rPr>
        <w:t> </w:t>
      </w:r>
      <w:r w:rsidR="005832C7" w:rsidRPr="00963E32">
        <w:rPr>
          <w:rFonts w:ascii="Times New Roman" w:hAnsi="Times New Roman" w:cs="Times New Roman"/>
          <w:sz w:val="28"/>
          <w:szCs w:val="28"/>
        </w:rPr>
        <w:t>3</w:t>
      </w:r>
      <w:r w:rsidR="00963E32">
        <w:rPr>
          <w:rFonts w:ascii="Times New Roman" w:hAnsi="Times New Roman" w:cs="Times New Roman"/>
          <w:sz w:val="28"/>
          <w:szCs w:val="28"/>
        </w:rPr>
        <w:t>59,5</w:t>
      </w:r>
      <w:r w:rsidR="00BB674F" w:rsidRPr="00963E32">
        <w:rPr>
          <w:rFonts w:ascii="Times New Roman" w:hAnsi="Times New Roman" w:cs="Times New Roman"/>
          <w:sz w:val="28"/>
          <w:szCs w:val="28"/>
        </w:rPr>
        <w:t xml:space="preserve"> тыс. тонн) и 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на экспорт (РФ) – </w:t>
      </w:r>
      <w:r w:rsidR="00963E32">
        <w:rPr>
          <w:rFonts w:ascii="Times New Roman" w:hAnsi="Times New Roman" w:cs="Times New Roman"/>
          <w:sz w:val="28"/>
          <w:szCs w:val="28"/>
        </w:rPr>
        <w:t>1 684,6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="005832C7" w:rsidRPr="00963E32">
        <w:rPr>
          <w:rFonts w:ascii="Times New Roman" w:hAnsi="Times New Roman" w:cs="Times New Roman"/>
          <w:sz w:val="28"/>
          <w:szCs w:val="28"/>
        </w:rPr>
        <w:t>550,6</w:t>
      </w:r>
      <w:r w:rsidR="000E75C2" w:rsidRPr="00963E32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2021 года (</w:t>
      </w:r>
      <w:r w:rsidR="0068699C" w:rsidRPr="00963E32">
        <w:rPr>
          <w:rFonts w:ascii="Times New Roman" w:hAnsi="Times New Roman" w:cs="Times New Roman"/>
          <w:sz w:val="28"/>
          <w:szCs w:val="28"/>
        </w:rPr>
        <w:t>2</w:t>
      </w:r>
      <w:r w:rsidR="00963E32">
        <w:rPr>
          <w:rFonts w:ascii="Times New Roman" w:hAnsi="Times New Roman" w:cs="Times New Roman"/>
          <w:sz w:val="28"/>
          <w:szCs w:val="28"/>
        </w:rPr>
        <w:t>58,9</w:t>
      </w:r>
      <w:r w:rsidR="000E75C2" w:rsidRPr="00963E32">
        <w:rPr>
          <w:rFonts w:ascii="Times New Roman" w:hAnsi="Times New Roman" w:cs="Times New Roman"/>
          <w:sz w:val="28"/>
          <w:szCs w:val="28"/>
        </w:rPr>
        <w:t xml:space="preserve"> тыс. тонн).</w:t>
      </w:r>
      <w:r w:rsidR="00CC092F" w:rsidRPr="00963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C2" w:rsidRPr="00963E32" w:rsidRDefault="00CC092F" w:rsidP="006A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E32">
        <w:rPr>
          <w:rFonts w:ascii="Times New Roman" w:hAnsi="Times New Roman" w:cs="Times New Roman"/>
          <w:sz w:val="28"/>
          <w:szCs w:val="28"/>
        </w:rPr>
        <w:t>По показателям за январь</w:t>
      </w:r>
      <w:r w:rsidR="0068699C" w:rsidRPr="00963E32">
        <w:rPr>
          <w:rFonts w:ascii="Times New Roman" w:hAnsi="Times New Roman" w:cs="Times New Roman"/>
          <w:sz w:val="28"/>
          <w:szCs w:val="28"/>
        </w:rPr>
        <w:t>-февраль</w:t>
      </w:r>
      <w:r w:rsidRPr="00963E32">
        <w:rPr>
          <w:rFonts w:ascii="Times New Roman" w:hAnsi="Times New Roman" w:cs="Times New Roman"/>
          <w:sz w:val="28"/>
          <w:szCs w:val="28"/>
        </w:rPr>
        <w:t xml:space="preserve"> 2022 года в сравнении с </w:t>
      </w:r>
      <w:r w:rsidR="0068699C" w:rsidRPr="00963E32">
        <w:rPr>
          <w:rFonts w:ascii="Times New Roman" w:hAnsi="Times New Roman" w:cs="Times New Roman"/>
          <w:sz w:val="28"/>
          <w:szCs w:val="28"/>
        </w:rPr>
        <w:t>аналогичными показателями в</w:t>
      </w:r>
      <w:r w:rsidRPr="00963E32">
        <w:rPr>
          <w:rFonts w:ascii="Times New Roman" w:hAnsi="Times New Roman" w:cs="Times New Roman"/>
          <w:sz w:val="28"/>
          <w:szCs w:val="28"/>
        </w:rPr>
        <w:t xml:space="preserve"> 2021 г</w:t>
      </w:r>
      <w:r w:rsidR="0068699C" w:rsidRPr="00963E32">
        <w:rPr>
          <w:rFonts w:ascii="Times New Roman" w:hAnsi="Times New Roman" w:cs="Times New Roman"/>
          <w:sz w:val="28"/>
          <w:szCs w:val="28"/>
        </w:rPr>
        <w:t>оду</w:t>
      </w:r>
      <w:r w:rsidRPr="00963E32">
        <w:rPr>
          <w:rFonts w:ascii="Times New Roman" w:hAnsi="Times New Roman" w:cs="Times New Roman"/>
          <w:sz w:val="28"/>
          <w:szCs w:val="28"/>
        </w:rPr>
        <w:t xml:space="preserve"> в </w:t>
      </w:r>
      <w:r w:rsidR="00290E06" w:rsidRPr="00963E32">
        <w:rPr>
          <w:rFonts w:ascii="Times New Roman" w:hAnsi="Times New Roman" w:cs="Times New Roman"/>
          <w:sz w:val="28"/>
          <w:szCs w:val="28"/>
        </w:rPr>
        <w:t xml:space="preserve">ТОО «Богатырь Комир» </w:t>
      </w:r>
      <w:r w:rsidRPr="00963E32">
        <w:rPr>
          <w:rFonts w:ascii="Times New Roman" w:hAnsi="Times New Roman" w:cs="Times New Roman"/>
          <w:sz w:val="28"/>
          <w:szCs w:val="28"/>
        </w:rPr>
        <w:t xml:space="preserve">наблюдается увеличение реализации угля на </w:t>
      </w:r>
      <w:r w:rsidR="0068699C" w:rsidRPr="00963E32">
        <w:rPr>
          <w:rFonts w:ascii="Times New Roman" w:hAnsi="Times New Roman" w:cs="Times New Roman"/>
          <w:sz w:val="28"/>
          <w:szCs w:val="28"/>
        </w:rPr>
        <w:t>434</w:t>
      </w:r>
      <w:r w:rsidR="00963E32">
        <w:rPr>
          <w:rFonts w:ascii="Times New Roman" w:hAnsi="Times New Roman" w:cs="Times New Roman"/>
          <w:sz w:val="28"/>
          <w:szCs w:val="28"/>
        </w:rPr>
        <w:t>,2</w:t>
      </w:r>
      <w:r w:rsidRPr="00963E32">
        <w:rPr>
          <w:rFonts w:ascii="Times New Roman" w:hAnsi="Times New Roman" w:cs="Times New Roman"/>
          <w:sz w:val="28"/>
          <w:szCs w:val="28"/>
        </w:rPr>
        <w:t xml:space="preserve"> тыс. тонн или на 5</w:t>
      </w:r>
      <w:r w:rsidR="0068699C" w:rsidRPr="00963E32">
        <w:rPr>
          <w:rFonts w:ascii="Times New Roman" w:hAnsi="Times New Roman" w:cs="Times New Roman"/>
          <w:sz w:val="28"/>
          <w:szCs w:val="28"/>
        </w:rPr>
        <w:t>,7</w:t>
      </w:r>
      <w:r w:rsidRPr="00963E32">
        <w:rPr>
          <w:rFonts w:ascii="Times New Roman" w:hAnsi="Times New Roman" w:cs="Times New Roman"/>
          <w:sz w:val="28"/>
          <w:szCs w:val="28"/>
        </w:rPr>
        <w:t>%.</w:t>
      </w:r>
    </w:p>
    <w:p w:rsidR="00305F73" w:rsidRPr="00963E32" w:rsidRDefault="00305F73" w:rsidP="00D744E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63E3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137" w:type="dxa"/>
        <w:tblInd w:w="108" w:type="dxa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963E32" w:rsidTr="00BB674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D744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D744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Δ,</w:t>
            </w:r>
            <w:r w:rsidRPr="00963E32">
              <w:rPr>
                <w:rFonts w:ascii="Times New Roman" w:hAnsi="Times New Roman" w:cs="Times New Roman"/>
              </w:rPr>
              <w:t xml:space="preserve"> </w:t>
            </w:r>
            <w:r w:rsidRPr="00963E32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Δ, %</w:t>
            </w:r>
          </w:p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963E32" w:rsidTr="00322020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963E32" w:rsidRDefault="00E73EE7" w:rsidP="00D744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963E32" w:rsidRDefault="00E73EE7" w:rsidP="00D744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E7" w:rsidRPr="00963E32" w:rsidRDefault="00E73EE7" w:rsidP="00BB674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020" w:rsidRPr="00963E32" w:rsidTr="00322020">
        <w:trPr>
          <w:trHeight w:val="31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963E32" w:rsidP="003220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7 359,5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963E32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963E32">
              <w:rPr>
                <w:rFonts w:ascii="Times New Roman" w:hAnsi="Times New Roman" w:cs="Times New Roman"/>
                <w:b/>
                <w:lang w:val="en-US"/>
              </w:rPr>
              <w:t>368</w:t>
            </w:r>
            <w:r w:rsidR="00963E32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0" w:rsidRPr="00963E32" w:rsidRDefault="00322020" w:rsidP="00322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-991</w:t>
            </w:r>
            <w:r w:rsidR="00963E32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-13</w:t>
            </w:r>
            <w:r w:rsidRPr="00963E32">
              <w:rPr>
                <w:rFonts w:ascii="Times New Roman" w:hAnsi="Times New Roman" w:cs="Times New Roman"/>
                <w:b/>
                <w:lang w:val="kk-KZ"/>
              </w:rPr>
              <w:t>,5</w:t>
            </w:r>
            <w:r w:rsidRPr="00963E3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22020" w:rsidRPr="00963E32" w:rsidTr="00BB674F">
        <w:trPr>
          <w:trHeight w:val="315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963E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="00963E32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63E32">
              <w:rPr>
                <w:rFonts w:ascii="Times New Roman" w:hAnsi="Times New Roman" w:cs="Times New Roman"/>
                <w:b/>
                <w:lang w:val="en-US"/>
              </w:rPr>
              <w:t> 684,</w:t>
            </w:r>
            <w:r w:rsidR="00963E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0" w:rsidRPr="00963E32" w:rsidRDefault="00322020" w:rsidP="00963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63E32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963E32">
              <w:rPr>
                <w:rFonts w:ascii="Times New Roman" w:hAnsi="Times New Roman" w:cs="Times New Roman"/>
                <w:b/>
                <w:lang w:val="en-US"/>
              </w:rPr>
              <w:t>42</w:t>
            </w:r>
            <w:r w:rsidR="00963E32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20" w:rsidRPr="00963E32" w:rsidRDefault="00322020" w:rsidP="00322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E32">
              <w:rPr>
                <w:rFonts w:ascii="Times New Roman" w:hAnsi="Times New Roman" w:cs="Times New Roman"/>
                <w:b/>
              </w:rPr>
              <w:t>550,6%</w:t>
            </w:r>
          </w:p>
        </w:tc>
      </w:tr>
    </w:tbl>
    <w:p w:rsidR="00CC3A0E" w:rsidRDefault="00CC3A0E" w:rsidP="0045369F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  <w:bookmarkStart w:id="19" w:name="_Toc503289885"/>
    </w:p>
    <w:p w:rsidR="00CC3A0E" w:rsidRDefault="00CC3A0E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C42DB" w:rsidRPr="000D46F5" w:rsidRDefault="006C42DB" w:rsidP="00CC3A0E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0" w:name="_Toc99467111"/>
      <w:r w:rsidRPr="000D46F5">
        <w:rPr>
          <w:rFonts w:ascii="Times New Roman" w:hAnsi="Times New Roman" w:cs="Times New Roman"/>
          <w:b/>
          <w:color w:val="auto"/>
        </w:rPr>
        <w:lastRenderedPageBreak/>
        <w:t>Возобновляемые источники энергии</w:t>
      </w:r>
      <w:bookmarkEnd w:id="19"/>
      <w:bookmarkEnd w:id="20"/>
    </w:p>
    <w:p w:rsidR="00327D81" w:rsidRPr="00756921" w:rsidRDefault="00327D81" w:rsidP="00D74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:rsidR="00F52587" w:rsidRPr="00F52587" w:rsidRDefault="00F52587" w:rsidP="0045369F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ind w:left="1701" w:hanging="1843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99467112"/>
      <w:r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1"/>
    </w:p>
    <w:p w:rsidR="00756921" w:rsidRPr="00756921" w:rsidRDefault="00756921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:rsidR="001E7984" w:rsidRPr="006A1A33" w:rsidRDefault="008364B1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1A33">
        <w:rPr>
          <w:rFonts w:ascii="Times New Roman" w:hAnsi="Times New Roman" w:cs="Times New Roman"/>
          <w:sz w:val="28"/>
        </w:rPr>
        <w:t xml:space="preserve">По данным </w:t>
      </w:r>
      <w:r w:rsidR="000C5AB0" w:rsidRPr="006A1A33">
        <w:rPr>
          <w:rFonts w:ascii="Times New Roman" w:hAnsi="Times New Roman" w:cs="Times New Roman"/>
          <w:sz w:val="28"/>
        </w:rPr>
        <w:t>Системного оператора</w:t>
      </w:r>
      <w:r w:rsidRPr="006A1A33">
        <w:rPr>
          <w:rFonts w:ascii="Times New Roman" w:hAnsi="Times New Roman" w:cs="Times New Roman"/>
          <w:sz w:val="28"/>
        </w:rPr>
        <w:t xml:space="preserve"> объем производства электроэнергии объектами по использованию ВИЭ (СЭС, ВЭ</w:t>
      </w:r>
      <w:r w:rsidR="000C5AB0" w:rsidRPr="006A1A33">
        <w:rPr>
          <w:rFonts w:ascii="Times New Roman" w:hAnsi="Times New Roman" w:cs="Times New Roman"/>
          <w:sz w:val="28"/>
        </w:rPr>
        <w:t>С, БГС, малые ГЭС) РК за январь</w:t>
      </w:r>
      <w:r w:rsidR="005D4ED4" w:rsidRPr="006A1A33">
        <w:rPr>
          <w:rFonts w:ascii="Times New Roman" w:hAnsi="Times New Roman" w:cs="Times New Roman"/>
          <w:sz w:val="28"/>
        </w:rPr>
        <w:t>-</w:t>
      </w:r>
      <w:r w:rsidR="005D4ED4" w:rsidRPr="006A1A33">
        <w:rPr>
          <w:rFonts w:ascii="Times New Roman" w:hAnsi="Times New Roman" w:cs="Times New Roman"/>
          <w:sz w:val="28"/>
          <w:lang w:val="kk-KZ"/>
        </w:rPr>
        <w:t>февраль</w:t>
      </w:r>
      <w:r w:rsidRPr="006A1A33">
        <w:rPr>
          <w:rFonts w:ascii="Times New Roman" w:hAnsi="Times New Roman" w:cs="Times New Roman"/>
          <w:sz w:val="28"/>
        </w:rPr>
        <w:t xml:space="preserve"> 202</w:t>
      </w:r>
      <w:r w:rsidR="000C5AB0" w:rsidRPr="006A1A33">
        <w:rPr>
          <w:rFonts w:ascii="Times New Roman" w:hAnsi="Times New Roman" w:cs="Times New Roman"/>
          <w:sz w:val="28"/>
        </w:rPr>
        <w:t>2</w:t>
      </w:r>
      <w:r w:rsidRPr="006A1A33">
        <w:rPr>
          <w:rFonts w:ascii="Times New Roman" w:hAnsi="Times New Roman" w:cs="Times New Roman"/>
          <w:sz w:val="28"/>
        </w:rPr>
        <w:t xml:space="preserve"> года составил </w:t>
      </w:r>
      <w:r w:rsidR="005D4ED4" w:rsidRPr="006A1A33">
        <w:rPr>
          <w:rFonts w:ascii="Times New Roman" w:hAnsi="Times New Roman" w:cs="Times New Roman"/>
          <w:sz w:val="28"/>
          <w:lang w:val="kk-KZ"/>
        </w:rPr>
        <w:t>566</w:t>
      </w:r>
      <w:r w:rsidRPr="006A1A33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A1A33">
        <w:rPr>
          <w:rFonts w:ascii="Times New Roman" w:hAnsi="Times New Roman" w:cs="Times New Roman"/>
          <w:sz w:val="28"/>
        </w:rPr>
        <w:t>кВтч</w:t>
      </w:r>
      <w:proofErr w:type="spellEnd"/>
      <w:r w:rsidRPr="006A1A33">
        <w:rPr>
          <w:rFonts w:ascii="Times New Roman" w:hAnsi="Times New Roman" w:cs="Times New Roman"/>
          <w:sz w:val="28"/>
        </w:rPr>
        <w:t>. В сравнении с январ</w:t>
      </w:r>
      <w:r w:rsidR="00CC092F" w:rsidRPr="006A1A33">
        <w:rPr>
          <w:rFonts w:ascii="Times New Roman" w:hAnsi="Times New Roman" w:cs="Times New Roman"/>
          <w:sz w:val="28"/>
        </w:rPr>
        <w:t>ем</w:t>
      </w:r>
      <w:r w:rsidR="005D4ED4" w:rsidRPr="006A1A33">
        <w:rPr>
          <w:rFonts w:ascii="Times New Roman" w:hAnsi="Times New Roman" w:cs="Times New Roman"/>
          <w:sz w:val="28"/>
          <w:lang w:val="kk-KZ"/>
        </w:rPr>
        <w:t>-февралем</w:t>
      </w:r>
      <w:r w:rsidR="000C5AB0" w:rsidRPr="006A1A33">
        <w:rPr>
          <w:rFonts w:ascii="Times New Roman" w:hAnsi="Times New Roman" w:cs="Times New Roman"/>
          <w:sz w:val="28"/>
        </w:rPr>
        <w:t xml:space="preserve"> </w:t>
      </w:r>
      <w:r w:rsidRPr="006A1A33">
        <w:rPr>
          <w:rFonts w:ascii="Times New Roman" w:hAnsi="Times New Roman" w:cs="Times New Roman"/>
          <w:sz w:val="28"/>
        </w:rPr>
        <w:t>202</w:t>
      </w:r>
      <w:r w:rsidR="000C5AB0" w:rsidRPr="006A1A33">
        <w:rPr>
          <w:rFonts w:ascii="Times New Roman" w:hAnsi="Times New Roman" w:cs="Times New Roman"/>
          <w:sz w:val="28"/>
        </w:rPr>
        <w:t>1</w:t>
      </w:r>
      <w:r w:rsidRPr="006A1A33">
        <w:rPr>
          <w:rFonts w:ascii="Times New Roman" w:hAnsi="Times New Roman" w:cs="Times New Roman"/>
          <w:sz w:val="28"/>
        </w:rPr>
        <w:t xml:space="preserve"> года (</w:t>
      </w:r>
      <w:r w:rsidR="005D4ED4" w:rsidRPr="006A1A33">
        <w:rPr>
          <w:rFonts w:ascii="Times New Roman" w:hAnsi="Times New Roman" w:cs="Times New Roman"/>
          <w:sz w:val="28"/>
          <w:lang w:val="kk-KZ"/>
        </w:rPr>
        <w:t>493</w:t>
      </w:r>
      <w:r w:rsidRPr="006A1A33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A1A33">
        <w:rPr>
          <w:rFonts w:ascii="Times New Roman" w:hAnsi="Times New Roman" w:cs="Times New Roman"/>
          <w:sz w:val="28"/>
        </w:rPr>
        <w:t>кВтч</w:t>
      </w:r>
      <w:proofErr w:type="spellEnd"/>
      <w:r w:rsidRPr="006A1A33">
        <w:rPr>
          <w:rFonts w:ascii="Times New Roman" w:hAnsi="Times New Roman" w:cs="Times New Roman"/>
          <w:sz w:val="28"/>
        </w:rPr>
        <w:t xml:space="preserve">) прирост составил </w:t>
      </w:r>
      <w:r w:rsidR="005D4ED4" w:rsidRPr="006A1A33">
        <w:rPr>
          <w:rFonts w:ascii="Times New Roman" w:hAnsi="Times New Roman" w:cs="Times New Roman"/>
          <w:sz w:val="28"/>
          <w:lang w:val="kk-KZ"/>
        </w:rPr>
        <w:t>73</w:t>
      </w:r>
      <w:r w:rsidR="00BB674F" w:rsidRPr="006A1A33">
        <w:rPr>
          <w:rFonts w:ascii="Times New Roman" w:hAnsi="Times New Roman" w:cs="Times New Roman"/>
          <w:sz w:val="28"/>
        </w:rPr>
        <w:t xml:space="preserve"> млн </w:t>
      </w:r>
      <w:proofErr w:type="spellStart"/>
      <w:r w:rsidR="00BB674F" w:rsidRPr="006A1A33">
        <w:rPr>
          <w:rFonts w:ascii="Times New Roman" w:hAnsi="Times New Roman" w:cs="Times New Roman"/>
          <w:sz w:val="28"/>
        </w:rPr>
        <w:t>кВтч</w:t>
      </w:r>
      <w:proofErr w:type="spellEnd"/>
      <w:proofErr w:type="gramStart"/>
      <w:r w:rsidR="00BB674F" w:rsidRPr="006A1A33">
        <w:rPr>
          <w:rFonts w:ascii="Times New Roman" w:hAnsi="Times New Roman" w:cs="Times New Roman"/>
          <w:sz w:val="28"/>
        </w:rPr>
        <w:t>.</w:t>
      </w:r>
      <w:proofErr w:type="gramEnd"/>
      <w:r w:rsidR="00BB674F" w:rsidRPr="006A1A33">
        <w:rPr>
          <w:rFonts w:ascii="Times New Roman" w:hAnsi="Times New Roman" w:cs="Times New Roman"/>
          <w:sz w:val="28"/>
        </w:rPr>
        <w:t xml:space="preserve"> или </w:t>
      </w:r>
      <w:r w:rsidR="005D4ED4" w:rsidRPr="006A1A33">
        <w:rPr>
          <w:rFonts w:ascii="Times New Roman" w:hAnsi="Times New Roman" w:cs="Times New Roman"/>
          <w:sz w:val="28"/>
          <w:lang w:val="kk-KZ"/>
        </w:rPr>
        <w:t>14,8</w:t>
      </w:r>
      <w:r w:rsidRPr="006A1A33">
        <w:rPr>
          <w:rFonts w:ascii="Times New Roman" w:hAnsi="Times New Roman" w:cs="Times New Roman"/>
          <w:sz w:val="28"/>
        </w:rPr>
        <w:t>%.</w:t>
      </w:r>
      <w:r w:rsidR="00756921" w:rsidRPr="006A1A33">
        <w:rPr>
          <w:rFonts w:ascii="Times New Roman" w:hAnsi="Times New Roman" w:cs="Times New Roman"/>
          <w:sz w:val="28"/>
        </w:rPr>
        <w:t xml:space="preserve"> П</w:t>
      </w:r>
      <w:r w:rsidR="001E7984" w:rsidRPr="006A1A33">
        <w:rPr>
          <w:rFonts w:ascii="Times New Roman" w:hAnsi="Times New Roman" w:cs="Times New Roman"/>
          <w:sz w:val="28"/>
        </w:rPr>
        <w:t xml:space="preserve">овышение производства электроэнергии </w:t>
      </w:r>
      <w:r w:rsidR="00756921" w:rsidRPr="006A1A33">
        <w:rPr>
          <w:rFonts w:ascii="Times New Roman" w:hAnsi="Times New Roman" w:cs="Times New Roman"/>
          <w:sz w:val="28"/>
        </w:rPr>
        <w:t xml:space="preserve">наблюдается на </w:t>
      </w:r>
      <w:r w:rsidR="001E7984" w:rsidRPr="006A1A33">
        <w:rPr>
          <w:rFonts w:ascii="Times New Roman" w:hAnsi="Times New Roman" w:cs="Times New Roman"/>
          <w:sz w:val="28"/>
        </w:rPr>
        <w:t>ВЭС</w:t>
      </w:r>
      <w:r w:rsidR="005D4ED4" w:rsidRPr="006A1A33">
        <w:rPr>
          <w:rFonts w:ascii="Times New Roman" w:hAnsi="Times New Roman" w:cs="Times New Roman"/>
          <w:sz w:val="28"/>
        </w:rPr>
        <w:t>, СЭС</w:t>
      </w:r>
      <w:r w:rsidR="001E7984" w:rsidRPr="006A1A33">
        <w:rPr>
          <w:rFonts w:ascii="Times New Roman" w:hAnsi="Times New Roman" w:cs="Times New Roman"/>
          <w:sz w:val="28"/>
        </w:rPr>
        <w:t xml:space="preserve"> и </w:t>
      </w:r>
      <w:r w:rsidR="00756921" w:rsidRPr="006A1A33">
        <w:rPr>
          <w:rFonts w:ascii="Times New Roman" w:hAnsi="Times New Roman" w:cs="Times New Roman"/>
          <w:sz w:val="28"/>
        </w:rPr>
        <w:t xml:space="preserve">малых </w:t>
      </w:r>
      <w:r w:rsidR="001E7984" w:rsidRPr="006A1A33">
        <w:rPr>
          <w:rFonts w:ascii="Times New Roman" w:hAnsi="Times New Roman" w:cs="Times New Roman"/>
          <w:sz w:val="28"/>
        </w:rPr>
        <w:t>ГЭС по сравнению с аналогичным периодом 2021</w:t>
      </w:r>
      <w:r w:rsidR="00756921" w:rsidRPr="006A1A33">
        <w:rPr>
          <w:rFonts w:ascii="Times New Roman" w:hAnsi="Times New Roman" w:cs="Times New Roman"/>
          <w:sz w:val="28"/>
        </w:rPr>
        <w:t xml:space="preserve"> </w:t>
      </w:r>
      <w:r w:rsidR="001E7984" w:rsidRPr="006A1A33">
        <w:rPr>
          <w:rFonts w:ascii="Times New Roman" w:hAnsi="Times New Roman" w:cs="Times New Roman"/>
          <w:sz w:val="28"/>
        </w:rPr>
        <w:t>г</w:t>
      </w:r>
      <w:r w:rsidR="00756921" w:rsidRPr="006A1A33">
        <w:rPr>
          <w:rFonts w:ascii="Times New Roman" w:hAnsi="Times New Roman" w:cs="Times New Roman"/>
          <w:sz w:val="28"/>
        </w:rPr>
        <w:t xml:space="preserve">ода, в то время как объем выработки </w:t>
      </w:r>
      <w:r w:rsidR="005D4ED4" w:rsidRPr="006A1A33">
        <w:rPr>
          <w:rFonts w:ascii="Times New Roman" w:hAnsi="Times New Roman" w:cs="Times New Roman"/>
          <w:sz w:val="28"/>
        </w:rPr>
        <w:t>БГУ</w:t>
      </w:r>
      <w:r w:rsidR="00756921" w:rsidRPr="006A1A33">
        <w:rPr>
          <w:rFonts w:ascii="Times New Roman" w:hAnsi="Times New Roman" w:cs="Times New Roman"/>
          <w:sz w:val="28"/>
        </w:rPr>
        <w:t xml:space="preserve"> снизился по </w:t>
      </w:r>
      <w:r w:rsidR="005D4ED4" w:rsidRPr="006A1A33">
        <w:rPr>
          <w:rFonts w:ascii="Times New Roman" w:hAnsi="Times New Roman" w:cs="Times New Roman"/>
          <w:sz w:val="28"/>
        </w:rPr>
        <w:t>сравнению</w:t>
      </w:r>
      <w:r w:rsidR="00756921" w:rsidRPr="006A1A33">
        <w:rPr>
          <w:rFonts w:ascii="Times New Roman" w:hAnsi="Times New Roman" w:cs="Times New Roman"/>
          <w:sz w:val="28"/>
        </w:rPr>
        <w:t xml:space="preserve"> с прошлым годом</w:t>
      </w:r>
      <w:r w:rsidR="001E7984" w:rsidRPr="006A1A33">
        <w:rPr>
          <w:rFonts w:ascii="Times New Roman" w:hAnsi="Times New Roman" w:cs="Times New Roman"/>
          <w:sz w:val="28"/>
        </w:rPr>
        <w:t>.</w:t>
      </w:r>
    </w:p>
    <w:p w:rsidR="005D4ED4" w:rsidRPr="006A1A33" w:rsidRDefault="001E798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>Всего по данным</w:t>
      </w:r>
      <w:r w:rsidRPr="006A1A33">
        <w:t xml:space="preserve"> </w:t>
      </w:r>
      <w:r w:rsidRPr="006A1A33">
        <w:rPr>
          <w:rFonts w:ascii="Times New Roman" w:hAnsi="Times New Roman" w:cs="Times New Roman"/>
          <w:sz w:val="28"/>
        </w:rPr>
        <w:t xml:space="preserve">Системного оператора на </w:t>
      </w:r>
      <w:r w:rsidR="00834B93">
        <w:rPr>
          <w:rFonts w:ascii="Times New Roman" w:hAnsi="Times New Roman" w:cs="Times New Roman"/>
          <w:sz w:val="28"/>
        </w:rPr>
        <w:t xml:space="preserve">февраль </w:t>
      </w:r>
      <w:r w:rsidRPr="006A1A33">
        <w:rPr>
          <w:rFonts w:ascii="Times New Roman" w:hAnsi="Times New Roman" w:cs="Times New Roman"/>
          <w:sz w:val="28"/>
        </w:rPr>
        <w:t xml:space="preserve">2022 года в Казахстане действует </w:t>
      </w:r>
      <w:r w:rsidRPr="006A1A3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D4ED4" w:rsidRPr="006A1A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A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ВИЭ.</w:t>
      </w:r>
      <w:r w:rsidRPr="006A1A33">
        <w:rPr>
          <w:rFonts w:ascii="Times New Roman" w:hAnsi="Times New Roman" w:cs="Times New Roman"/>
          <w:sz w:val="28"/>
        </w:rPr>
        <w:t xml:space="preserve"> В </w:t>
      </w:r>
      <w:r w:rsidR="005D4ED4" w:rsidRPr="006A1A33">
        <w:rPr>
          <w:rFonts w:ascii="Times New Roman" w:hAnsi="Times New Roman" w:cs="Times New Roman"/>
          <w:sz w:val="28"/>
        </w:rPr>
        <w:t xml:space="preserve">феврале </w:t>
      </w:r>
      <w:r w:rsidRPr="006A1A33">
        <w:rPr>
          <w:rFonts w:ascii="Times New Roman" w:hAnsi="Times New Roman" w:cs="Times New Roman"/>
          <w:sz w:val="28"/>
        </w:rPr>
        <w:t>2022 года</w:t>
      </w:r>
      <w:r w:rsidR="005D4ED4" w:rsidRPr="006A1A33">
        <w:rPr>
          <w:rFonts w:ascii="Times New Roman" w:hAnsi="Times New Roman" w:cs="Times New Roman"/>
          <w:sz w:val="28"/>
        </w:rPr>
        <w:t xml:space="preserve"> введены новые</w:t>
      </w:r>
      <w:r w:rsidRPr="006A1A33">
        <w:rPr>
          <w:rFonts w:ascii="Times New Roman" w:hAnsi="Times New Roman" w:cs="Times New Roman"/>
          <w:sz w:val="28"/>
        </w:rPr>
        <w:t xml:space="preserve"> объекты ВИЭ</w:t>
      </w:r>
      <w:r w:rsidR="005D4ED4" w:rsidRPr="006A1A33">
        <w:rPr>
          <w:rFonts w:ascii="Times New Roman" w:hAnsi="Times New Roman" w:cs="Times New Roman"/>
          <w:sz w:val="28"/>
        </w:rPr>
        <w:t>:</w:t>
      </w:r>
    </w:p>
    <w:p w:rsidR="005D4ED4" w:rsidRPr="006A1A33" w:rsidRDefault="005D4ED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 xml:space="preserve">- ВЭС Тургай ТОО «ПФ </w:t>
      </w:r>
      <w:proofErr w:type="spellStart"/>
      <w:r w:rsidRPr="006A1A33">
        <w:rPr>
          <w:rFonts w:ascii="Times New Roman" w:hAnsi="Times New Roman" w:cs="Times New Roman"/>
          <w:sz w:val="28"/>
        </w:rPr>
        <w:t>ЭлектроСетьСтрой</w:t>
      </w:r>
      <w:proofErr w:type="spellEnd"/>
      <w:r w:rsidRPr="006A1A33">
        <w:rPr>
          <w:rFonts w:ascii="Times New Roman" w:hAnsi="Times New Roman" w:cs="Times New Roman"/>
          <w:sz w:val="28"/>
        </w:rPr>
        <w:t>»;</w:t>
      </w:r>
    </w:p>
    <w:p w:rsidR="005D4ED4" w:rsidRPr="006A1A33" w:rsidRDefault="005D4ED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 xml:space="preserve">- СЭС Нетто-потребитель </w:t>
      </w:r>
      <w:proofErr w:type="spellStart"/>
      <w:r w:rsidRPr="006A1A33">
        <w:rPr>
          <w:rFonts w:ascii="Times New Roman" w:hAnsi="Times New Roman" w:cs="Times New Roman"/>
          <w:sz w:val="28"/>
        </w:rPr>
        <w:t>Талдыкурганского</w:t>
      </w:r>
      <w:proofErr w:type="spellEnd"/>
      <w:r w:rsidRPr="006A1A33">
        <w:rPr>
          <w:rFonts w:ascii="Times New Roman" w:hAnsi="Times New Roman" w:cs="Times New Roman"/>
          <w:sz w:val="28"/>
        </w:rPr>
        <w:t xml:space="preserve"> узла;</w:t>
      </w:r>
    </w:p>
    <w:p w:rsidR="001E7984" w:rsidRPr="006A1A33" w:rsidRDefault="005D4ED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>- СЭС Нетто-потребитель Туркестанской области</w:t>
      </w:r>
      <w:r w:rsidR="001E7984" w:rsidRPr="006A1A33">
        <w:rPr>
          <w:rFonts w:ascii="Times New Roman" w:hAnsi="Times New Roman" w:cs="Times New Roman"/>
          <w:sz w:val="28"/>
        </w:rPr>
        <w:t>.</w:t>
      </w:r>
    </w:p>
    <w:p w:rsidR="005D4ED4" w:rsidRDefault="005D4ED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>По данным Министерства энергетики РК до конца 2022 года планируется ввести в эксплуатацию 10 объектов суммарной мощностью 290,6 МВт.</w:t>
      </w:r>
    </w:p>
    <w:p w:rsidR="005D4ED4" w:rsidRPr="00756921" w:rsidRDefault="005D4ED4" w:rsidP="001E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364B1" w:rsidRPr="00756921" w:rsidRDefault="008364B1" w:rsidP="00CD04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75692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5692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3208"/>
        <w:gridCol w:w="1134"/>
        <w:gridCol w:w="992"/>
        <w:gridCol w:w="1418"/>
        <w:gridCol w:w="992"/>
        <w:gridCol w:w="827"/>
        <w:gridCol w:w="895"/>
      </w:tblGrid>
      <w:tr w:rsidR="007D7642" w:rsidRPr="006A1A33" w:rsidTr="00CD0434">
        <w:trPr>
          <w:trHeight w:val="28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D7642" w:rsidRPr="006A1A33" w:rsidRDefault="007D7642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CD0434" w:rsidRPr="006A1A33" w:rsidTr="00CD0434">
        <w:trPr>
          <w:trHeight w:val="57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Январь 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Январь 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D45A7" w:rsidRPr="006A1A33" w:rsidRDefault="00DD45A7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434" w:rsidRPr="006A1A33" w:rsidTr="00CD0434">
        <w:trPr>
          <w:trHeight w:val="16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20</w:t>
            </w:r>
            <w:r w:rsidR="006A1A33" w:rsidRPr="006A1A33">
              <w:rPr>
                <w:rFonts w:ascii="Times New Roman" w:hAnsi="Times New Roman" w:cs="Times New Roman"/>
                <w:b/>
              </w:rPr>
              <w:t xml:space="preserve"> </w:t>
            </w:r>
            <w:r w:rsidRPr="006A1A33">
              <w:rPr>
                <w:rFonts w:ascii="Times New Roman" w:hAnsi="Times New Roman" w:cs="Times New Roman"/>
                <w:b/>
              </w:rPr>
              <w:t>393,8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20</w:t>
            </w:r>
            <w:r w:rsidR="006A1A33" w:rsidRPr="006A1A33">
              <w:rPr>
                <w:rFonts w:ascii="Times New Roman" w:hAnsi="Times New Roman" w:cs="Times New Roman"/>
                <w:b/>
              </w:rPr>
              <w:t xml:space="preserve"> </w:t>
            </w:r>
            <w:r w:rsidRPr="006A1A33">
              <w:rPr>
                <w:rFonts w:ascii="Times New Roman" w:hAnsi="Times New Roman" w:cs="Times New Roman"/>
                <w:b/>
              </w:rPr>
              <w:t>410,2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16,4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</w:tr>
      <w:tr w:rsidR="00CD0434" w:rsidRPr="006A1A33" w:rsidTr="00CD0434">
        <w:trPr>
          <w:trHeight w:val="15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2,4%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33">
              <w:rPr>
                <w:rFonts w:ascii="Times New Roman" w:hAnsi="Times New Roman" w:cs="Times New Roman"/>
                <w:b/>
              </w:rPr>
              <w:t>2,8%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73,0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14,8%</w:t>
            </w:r>
          </w:p>
        </w:tc>
      </w:tr>
      <w:tr w:rsidR="00CD0434" w:rsidRPr="006A1A33" w:rsidTr="00CD0434">
        <w:trPr>
          <w:trHeight w:val="41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A1A33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  <w:r w:rsidR="00C504DF" w:rsidRPr="006A1A33">
              <w:rPr>
                <w:rFonts w:ascii="Times New Roman" w:hAnsi="Times New Roman" w:cs="Times New Roman"/>
                <w:b/>
                <w:i/>
              </w:rPr>
              <w:t>, %</w:t>
            </w:r>
          </w:p>
        </w:tc>
      </w:tr>
      <w:tr w:rsidR="00CD0434" w:rsidRPr="006A1A33" w:rsidTr="00CD0434">
        <w:trPr>
          <w:trHeight w:val="20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1,3%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1,7%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53,8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25,6%</w:t>
            </w:r>
          </w:p>
        </w:tc>
      </w:tr>
      <w:tr w:rsidR="00CD0434" w:rsidRPr="006A1A33" w:rsidTr="00CD0434">
        <w:trPr>
          <w:trHeight w:val="17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9,9%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9,8%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23,3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10,3%</w:t>
            </w:r>
          </w:p>
        </w:tc>
      </w:tr>
      <w:tr w:rsidR="00CD0434" w:rsidRPr="006A1A33" w:rsidTr="00CD0434">
        <w:trPr>
          <w:trHeight w:val="16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2,0%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-4,1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-7,4%</w:t>
            </w:r>
          </w:p>
        </w:tc>
      </w:tr>
      <w:tr w:rsidR="00CD0434" w:rsidRPr="006A1A33" w:rsidTr="005A1D3D">
        <w:trPr>
          <w:trHeight w:val="3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зонам 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1A33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CD0434" w:rsidRPr="006A1A33" w:rsidTr="00CD0434">
        <w:trPr>
          <w:trHeight w:val="17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42,7%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46,7%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53,8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25,6%</w:t>
            </w:r>
          </w:p>
        </w:tc>
      </w:tr>
      <w:tr w:rsidR="00CD0434" w:rsidRPr="006A1A33" w:rsidTr="00CD0434">
        <w:trPr>
          <w:trHeight w:val="15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46,1%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44,3%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23,3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10,3%</w:t>
            </w:r>
          </w:p>
        </w:tc>
      </w:tr>
      <w:tr w:rsidR="00CD0434" w:rsidRPr="006A1A33" w:rsidTr="00CD0434">
        <w:trPr>
          <w:trHeight w:val="14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11,2%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9,1%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-4,1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-7,4%</w:t>
            </w:r>
          </w:p>
        </w:tc>
      </w:tr>
      <w:tr w:rsidR="00CD0434" w:rsidRPr="006A1A33" w:rsidTr="00CD0434">
        <w:trPr>
          <w:trHeight w:val="48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V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Выработка ВИЭ, в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т.ч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по типам </w:t>
            </w:r>
          </w:p>
        </w:tc>
        <w:tc>
          <w:tcPr>
            <w:tcW w:w="6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1A33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CD0434" w:rsidRPr="006A1A33" w:rsidTr="00CD0434">
        <w:trPr>
          <w:trHeight w:val="1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30,6%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29,0%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13,2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8,8%</w:t>
            </w:r>
          </w:p>
        </w:tc>
      </w:tr>
      <w:tr w:rsidR="00CD0434" w:rsidRPr="006A1A33" w:rsidTr="00CD0434">
        <w:trPr>
          <w:trHeight w:val="9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55,6%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58,8%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58,7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21,4%</w:t>
            </w:r>
          </w:p>
        </w:tc>
      </w:tr>
      <w:tr w:rsidR="00CD0434" w:rsidRPr="006A1A33" w:rsidTr="00CD0434">
        <w:trPr>
          <w:trHeight w:val="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13,7%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12,2%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1,8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2,7%</w:t>
            </w:r>
          </w:p>
        </w:tc>
      </w:tr>
      <w:tr w:rsidR="00CD0434" w:rsidRPr="005A1D3D" w:rsidTr="00CD0434">
        <w:trPr>
          <w:trHeight w:val="6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-0,7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34" w:rsidRPr="006A1A33" w:rsidRDefault="00CD0434" w:rsidP="005A1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-100%</w:t>
            </w:r>
          </w:p>
        </w:tc>
      </w:tr>
    </w:tbl>
    <w:p w:rsidR="00BE3B1B" w:rsidRDefault="00BE3B1B" w:rsidP="00CC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092" w:rsidRPr="00F52587" w:rsidRDefault="00BF3092" w:rsidP="00CC3A0E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99467113"/>
      <w:r>
        <w:rPr>
          <w:rFonts w:ascii="Times New Roman" w:hAnsi="Times New Roman" w:cs="Times New Roman"/>
          <w:i/>
          <w:color w:val="auto"/>
          <w:sz w:val="28"/>
          <w:szCs w:val="28"/>
        </w:rPr>
        <w:t>Роль АО «Самрук-Энерго» в производстве чистой электроэнергии</w:t>
      </w:r>
      <w:bookmarkEnd w:id="22"/>
    </w:p>
    <w:p w:rsidR="00BF3092" w:rsidRPr="00756921" w:rsidRDefault="00BF3092" w:rsidP="005B4E26">
      <w:pPr>
        <w:spacing w:after="0" w:line="240" w:lineRule="auto"/>
        <w:ind w:left="708"/>
        <w:rPr>
          <w:rFonts w:ascii="Times New Roman" w:hAnsi="Times New Roman" w:cs="Times New Roman"/>
          <w:i/>
          <w:sz w:val="18"/>
        </w:rPr>
      </w:pPr>
    </w:p>
    <w:p w:rsidR="007D7642" w:rsidRPr="00EE670D" w:rsidRDefault="00BC6073" w:rsidP="005B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A33">
        <w:rPr>
          <w:rFonts w:ascii="Times New Roman" w:hAnsi="Times New Roman" w:cs="Times New Roman"/>
          <w:sz w:val="28"/>
          <w:szCs w:val="24"/>
        </w:rPr>
        <w:t xml:space="preserve">Выработка электроэнергии объектами ВИЭ АО «Самрук-Энерго» </w:t>
      </w:r>
      <w:r w:rsidR="00AB2BF4" w:rsidRPr="006A1A33">
        <w:rPr>
          <w:rFonts w:ascii="Times New Roman" w:hAnsi="Times New Roman" w:cs="Times New Roman"/>
          <w:sz w:val="28"/>
          <w:szCs w:val="24"/>
        </w:rPr>
        <w:t>(СЭС, ВЭС</w:t>
      </w:r>
      <w:r w:rsidR="00756921" w:rsidRPr="006A1A33">
        <w:rPr>
          <w:rFonts w:ascii="Times New Roman" w:hAnsi="Times New Roman" w:cs="Times New Roman"/>
          <w:sz w:val="28"/>
          <w:szCs w:val="24"/>
        </w:rPr>
        <w:t xml:space="preserve"> и</w:t>
      </w:r>
      <w:r w:rsidR="00AB2BF4" w:rsidRPr="006A1A33">
        <w:rPr>
          <w:rFonts w:ascii="Times New Roman" w:hAnsi="Times New Roman" w:cs="Times New Roman"/>
          <w:sz w:val="28"/>
          <w:szCs w:val="24"/>
        </w:rPr>
        <w:t xml:space="preserve"> малые ГЭС) за январь</w:t>
      </w:r>
      <w:r w:rsidR="008D7F55" w:rsidRPr="006A1A33">
        <w:rPr>
          <w:rFonts w:ascii="Times New Roman" w:hAnsi="Times New Roman" w:cs="Times New Roman"/>
          <w:sz w:val="28"/>
          <w:szCs w:val="24"/>
        </w:rPr>
        <w:t>-февраль</w:t>
      </w:r>
      <w:r w:rsidR="00F34434"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="00AB2BF4" w:rsidRPr="006A1A33">
        <w:rPr>
          <w:rFonts w:ascii="Times New Roman" w:hAnsi="Times New Roman" w:cs="Times New Roman"/>
          <w:sz w:val="28"/>
          <w:szCs w:val="24"/>
        </w:rPr>
        <w:t>2022</w:t>
      </w:r>
      <w:r w:rsidRPr="006A1A33">
        <w:rPr>
          <w:rFonts w:ascii="Times New Roman" w:hAnsi="Times New Roman" w:cs="Times New Roman"/>
          <w:sz w:val="28"/>
          <w:szCs w:val="24"/>
        </w:rPr>
        <w:t xml:space="preserve"> года составила </w:t>
      </w:r>
      <w:r w:rsidR="008D7F55" w:rsidRPr="006A1A33">
        <w:rPr>
          <w:rFonts w:ascii="Times New Roman" w:hAnsi="Times New Roman" w:cs="Times New Roman"/>
          <w:sz w:val="28"/>
          <w:szCs w:val="24"/>
        </w:rPr>
        <w:t>51</w:t>
      </w:r>
      <w:r w:rsidR="00517648"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Pr="006A1A33">
        <w:rPr>
          <w:rFonts w:ascii="Times New Roman" w:hAnsi="Times New Roman" w:cs="Times New Roman"/>
          <w:sz w:val="28"/>
          <w:szCs w:val="24"/>
        </w:rPr>
        <w:t xml:space="preserve">млн. </w:t>
      </w:r>
      <w:proofErr w:type="spellStart"/>
      <w:r w:rsidRPr="006A1A33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="00756921" w:rsidRPr="006A1A33">
        <w:rPr>
          <w:rFonts w:ascii="Times New Roman" w:hAnsi="Times New Roman" w:cs="Times New Roman"/>
          <w:sz w:val="28"/>
          <w:szCs w:val="24"/>
        </w:rPr>
        <w:t>,</w:t>
      </w:r>
      <w:r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="007D7642" w:rsidRPr="006A1A33">
        <w:rPr>
          <w:rFonts w:ascii="Times New Roman" w:hAnsi="Times New Roman" w:cs="Times New Roman"/>
          <w:sz w:val="28"/>
          <w:szCs w:val="24"/>
        </w:rPr>
        <w:t xml:space="preserve">что </w:t>
      </w:r>
      <w:r w:rsidR="00756921" w:rsidRPr="006A1A33">
        <w:rPr>
          <w:rFonts w:ascii="Times New Roman" w:hAnsi="Times New Roman" w:cs="Times New Roman"/>
          <w:sz w:val="28"/>
          <w:szCs w:val="24"/>
        </w:rPr>
        <w:t xml:space="preserve">на </w:t>
      </w:r>
      <w:r w:rsidR="008D7F55" w:rsidRPr="006A1A33">
        <w:rPr>
          <w:rFonts w:ascii="Times New Roman" w:hAnsi="Times New Roman" w:cs="Times New Roman"/>
          <w:sz w:val="28"/>
          <w:szCs w:val="24"/>
        </w:rPr>
        <w:t>2,3</w:t>
      </w:r>
      <w:r w:rsidR="00756921" w:rsidRPr="006A1A33">
        <w:rPr>
          <w:rFonts w:ascii="Times New Roman" w:hAnsi="Times New Roman" w:cs="Times New Roman"/>
          <w:sz w:val="28"/>
          <w:szCs w:val="24"/>
        </w:rPr>
        <w:t xml:space="preserve">% </w:t>
      </w:r>
      <w:r w:rsidR="008D7F55" w:rsidRPr="006A1A33">
        <w:rPr>
          <w:rFonts w:ascii="Times New Roman" w:hAnsi="Times New Roman" w:cs="Times New Roman"/>
          <w:sz w:val="28"/>
          <w:szCs w:val="24"/>
        </w:rPr>
        <w:t>ниж</w:t>
      </w:r>
      <w:r w:rsidR="00756921" w:rsidRPr="006A1A33">
        <w:rPr>
          <w:rFonts w:ascii="Times New Roman" w:hAnsi="Times New Roman" w:cs="Times New Roman"/>
          <w:sz w:val="28"/>
          <w:szCs w:val="24"/>
        </w:rPr>
        <w:t xml:space="preserve">е </w:t>
      </w:r>
      <w:r w:rsidR="007D7642" w:rsidRPr="006A1A33">
        <w:rPr>
          <w:rFonts w:ascii="Times New Roman" w:hAnsi="Times New Roman" w:cs="Times New Roman"/>
          <w:sz w:val="28"/>
          <w:szCs w:val="24"/>
        </w:rPr>
        <w:t xml:space="preserve">по сравнению с аналогичным периодом 2021 года </w:t>
      </w:r>
      <w:r w:rsidR="00756921" w:rsidRPr="006A1A33">
        <w:rPr>
          <w:rFonts w:ascii="Times New Roman" w:hAnsi="Times New Roman" w:cs="Times New Roman"/>
          <w:sz w:val="28"/>
          <w:szCs w:val="24"/>
        </w:rPr>
        <w:t>(</w:t>
      </w:r>
      <w:r w:rsidR="008D7F55" w:rsidRPr="006A1A33">
        <w:rPr>
          <w:rFonts w:ascii="Times New Roman" w:hAnsi="Times New Roman" w:cs="Times New Roman"/>
          <w:sz w:val="28"/>
          <w:szCs w:val="24"/>
        </w:rPr>
        <w:t>52,2</w:t>
      </w:r>
      <w:r w:rsidR="00756921" w:rsidRPr="006A1A33">
        <w:rPr>
          <w:rFonts w:ascii="Times New Roman" w:hAnsi="Times New Roman" w:cs="Times New Roman"/>
          <w:sz w:val="28"/>
          <w:szCs w:val="24"/>
        </w:rPr>
        <w:t xml:space="preserve"> млн. </w:t>
      </w:r>
      <w:proofErr w:type="spellStart"/>
      <w:r w:rsidR="00756921" w:rsidRPr="006A1A33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="00756921" w:rsidRPr="006A1A33">
        <w:rPr>
          <w:rFonts w:ascii="Times New Roman" w:hAnsi="Times New Roman" w:cs="Times New Roman"/>
          <w:sz w:val="28"/>
          <w:szCs w:val="24"/>
        </w:rPr>
        <w:t>).</w:t>
      </w:r>
      <w:r w:rsidR="00756921" w:rsidRPr="00EE670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02F0" w:rsidRPr="00EE670D" w:rsidRDefault="007D7642" w:rsidP="007D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33">
        <w:rPr>
          <w:rFonts w:ascii="Times New Roman" w:hAnsi="Times New Roman" w:cs="Times New Roman"/>
          <w:sz w:val="28"/>
          <w:szCs w:val="24"/>
        </w:rPr>
        <w:t xml:space="preserve">Доля электроэнергии ВИЭ АО «Самрук-Энерго» </w:t>
      </w:r>
      <w:r w:rsidR="00EE670D" w:rsidRPr="006A1A33">
        <w:rPr>
          <w:rFonts w:ascii="Times New Roman" w:hAnsi="Times New Roman" w:cs="Times New Roman"/>
          <w:sz w:val="28"/>
          <w:szCs w:val="24"/>
        </w:rPr>
        <w:t>в январе</w:t>
      </w:r>
      <w:r w:rsidR="008D7F55" w:rsidRPr="006A1A33">
        <w:rPr>
          <w:rFonts w:ascii="Times New Roman" w:hAnsi="Times New Roman" w:cs="Times New Roman"/>
          <w:sz w:val="28"/>
          <w:szCs w:val="24"/>
        </w:rPr>
        <w:t xml:space="preserve">-феврале </w:t>
      </w:r>
      <w:r w:rsidR="00EE670D" w:rsidRPr="006A1A33">
        <w:rPr>
          <w:rFonts w:ascii="Times New Roman" w:hAnsi="Times New Roman" w:cs="Times New Roman"/>
          <w:sz w:val="28"/>
          <w:szCs w:val="24"/>
        </w:rPr>
        <w:t xml:space="preserve">2022 года </w:t>
      </w:r>
      <w:r w:rsidRPr="006A1A33">
        <w:rPr>
          <w:rFonts w:ascii="Times New Roman" w:hAnsi="Times New Roman" w:cs="Times New Roman"/>
          <w:sz w:val="28"/>
          <w:szCs w:val="24"/>
        </w:rPr>
        <w:t xml:space="preserve">составила </w:t>
      </w:r>
      <w:r w:rsidR="008D7F55" w:rsidRPr="006A1A33">
        <w:rPr>
          <w:rFonts w:ascii="Times New Roman" w:hAnsi="Times New Roman" w:cs="Times New Roman"/>
          <w:sz w:val="28"/>
          <w:szCs w:val="24"/>
        </w:rPr>
        <w:t>9</w:t>
      </w:r>
      <w:r w:rsidR="00BC6073" w:rsidRPr="006A1A33">
        <w:rPr>
          <w:rFonts w:ascii="Times New Roman" w:hAnsi="Times New Roman" w:cs="Times New Roman"/>
          <w:sz w:val="28"/>
          <w:szCs w:val="24"/>
        </w:rPr>
        <w:t>% от объема вырабатываемой объектами ВИЭ электроэнергии</w:t>
      </w:r>
      <w:r w:rsidR="00517648" w:rsidRPr="006A1A33">
        <w:rPr>
          <w:rFonts w:ascii="Times New Roman" w:hAnsi="Times New Roman" w:cs="Times New Roman"/>
          <w:sz w:val="28"/>
          <w:szCs w:val="24"/>
        </w:rPr>
        <w:t xml:space="preserve"> в РК</w:t>
      </w:r>
      <w:r w:rsidR="00F34434" w:rsidRPr="006A1A33">
        <w:rPr>
          <w:rFonts w:ascii="Times New Roman" w:hAnsi="Times New Roman" w:cs="Times New Roman"/>
          <w:sz w:val="28"/>
          <w:szCs w:val="24"/>
        </w:rPr>
        <w:t>,</w:t>
      </w:r>
      <w:r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="00EE670D" w:rsidRPr="006A1A33">
        <w:rPr>
          <w:rFonts w:ascii="Times New Roman" w:hAnsi="Times New Roman" w:cs="Times New Roman"/>
          <w:sz w:val="28"/>
          <w:szCs w:val="24"/>
        </w:rPr>
        <w:t>в то время как в</w:t>
      </w:r>
      <w:r w:rsidRPr="006A1A33">
        <w:rPr>
          <w:rFonts w:ascii="Times New Roman" w:hAnsi="Times New Roman" w:cs="Times New Roman"/>
          <w:sz w:val="28"/>
          <w:szCs w:val="24"/>
        </w:rPr>
        <w:t xml:space="preserve"> январ</w:t>
      </w:r>
      <w:r w:rsidR="00EE670D" w:rsidRPr="006A1A33">
        <w:rPr>
          <w:rFonts w:ascii="Times New Roman" w:hAnsi="Times New Roman" w:cs="Times New Roman"/>
          <w:sz w:val="28"/>
          <w:szCs w:val="24"/>
        </w:rPr>
        <w:t>е</w:t>
      </w:r>
      <w:r w:rsidR="008D7F55" w:rsidRPr="006A1A33">
        <w:rPr>
          <w:rFonts w:ascii="Times New Roman" w:hAnsi="Times New Roman" w:cs="Times New Roman"/>
          <w:sz w:val="28"/>
          <w:szCs w:val="24"/>
        </w:rPr>
        <w:t xml:space="preserve">-феврале </w:t>
      </w:r>
      <w:r w:rsidRPr="006A1A33">
        <w:rPr>
          <w:rFonts w:ascii="Times New Roman" w:hAnsi="Times New Roman" w:cs="Times New Roman"/>
          <w:sz w:val="28"/>
          <w:szCs w:val="24"/>
        </w:rPr>
        <w:t>2021</w:t>
      </w:r>
      <w:r w:rsidR="00EE670D"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Pr="006A1A33">
        <w:rPr>
          <w:rFonts w:ascii="Times New Roman" w:hAnsi="Times New Roman" w:cs="Times New Roman"/>
          <w:sz w:val="28"/>
          <w:szCs w:val="24"/>
        </w:rPr>
        <w:t>г</w:t>
      </w:r>
      <w:r w:rsidR="00EE670D" w:rsidRPr="006A1A33">
        <w:rPr>
          <w:rFonts w:ascii="Times New Roman" w:hAnsi="Times New Roman" w:cs="Times New Roman"/>
          <w:sz w:val="28"/>
          <w:szCs w:val="24"/>
        </w:rPr>
        <w:t>ода</w:t>
      </w:r>
      <w:r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="00EE670D" w:rsidRPr="006A1A33">
        <w:rPr>
          <w:rFonts w:ascii="Times New Roman" w:hAnsi="Times New Roman" w:cs="Times New Roman"/>
          <w:sz w:val="28"/>
          <w:szCs w:val="24"/>
        </w:rPr>
        <w:t>данный показатель</w:t>
      </w:r>
      <w:r w:rsidR="00F34434"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Pr="006A1A33">
        <w:rPr>
          <w:rFonts w:ascii="Times New Roman" w:hAnsi="Times New Roman" w:cs="Times New Roman"/>
          <w:sz w:val="28"/>
          <w:szCs w:val="24"/>
        </w:rPr>
        <w:t xml:space="preserve">составил </w:t>
      </w:r>
      <w:r w:rsidR="008D7F55" w:rsidRPr="006A1A33">
        <w:rPr>
          <w:rFonts w:ascii="Times New Roman" w:hAnsi="Times New Roman" w:cs="Times New Roman"/>
          <w:sz w:val="28"/>
          <w:szCs w:val="24"/>
        </w:rPr>
        <w:t>10,6</w:t>
      </w:r>
      <w:r w:rsidR="00EE670D" w:rsidRPr="006A1A33">
        <w:rPr>
          <w:rFonts w:ascii="Times New Roman" w:hAnsi="Times New Roman" w:cs="Times New Roman"/>
          <w:sz w:val="28"/>
          <w:szCs w:val="24"/>
        </w:rPr>
        <w:t>%</w:t>
      </w:r>
      <w:r w:rsidR="00BC6073" w:rsidRPr="006A1A33">
        <w:rPr>
          <w:rFonts w:ascii="Times New Roman" w:hAnsi="Times New Roman" w:cs="Times New Roman"/>
          <w:sz w:val="28"/>
          <w:szCs w:val="24"/>
        </w:rPr>
        <w:t>.</w:t>
      </w:r>
      <w:r w:rsidR="00EE670D" w:rsidRPr="006A1A33">
        <w:rPr>
          <w:rFonts w:ascii="Times New Roman" w:hAnsi="Times New Roman" w:cs="Times New Roman"/>
          <w:sz w:val="28"/>
          <w:szCs w:val="24"/>
        </w:rPr>
        <w:t xml:space="preserve"> </w:t>
      </w:r>
      <w:r w:rsidR="001E7984" w:rsidRPr="006A1A33">
        <w:rPr>
          <w:rFonts w:ascii="Times New Roman" w:hAnsi="Times New Roman" w:cs="Times New Roman"/>
          <w:sz w:val="28"/>
          <w:szCs w:val="28"/>
        </w:rPr>
        <w:t>Снижение доли ВИЭ</w:t>
      </w:r>
      <w:r w:rsidR="00EE670D" w:rsidRPr="006A1A33">
        <w:rPr>
          <w:rFonts w:ascii="Times New Roman" w:hAnsi="Times New Roman" w:cs="Times New Roman"/>
          <w:sz w:val="28"/>
          <w:szCs w:val="28"/>
        </w:rPr>
        <w:t xml:space="preserve"> </w:t>
      </w:r>
      <w:r w:rsidR="001E7984" w:rsidRPr="006A1A33">
        <w:rPr>
          <w:rFonts w:ascii="Times New Roman" w:hAnsi="Times New Roman" w:cs="Times New Roman"/>
          <w:sz w:val="28"/>
          <w:szCs w:val="28"/>
        </w:rPr>
        <w:t xml:space="preserve">АО «Самрук-Энерго» в выработке ВИЭ РК </w:t>
      </w:r>
      <w:r w:rsidR="00EE670D" w:rsidRPr="006A1A3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E7984" w:rsidRPr="006A1A33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EE7B3E">
        <w:rPr>
          <w:rFonts w:ascii="Times New Roman" w:hAnsi="Times New Roman" w:cs="Times New Roman"/>
          <w:sz w:val="28"/>
          <w:szCs w:val="28"/>
        </w:rPr>
        <w:t xml:space="preserve">с </w:t>
      </w:r>
      <w:r w:rsidR="00EE670D" w:rsidRPr="006A1A33">
        <w:rPr>
          <w:rFonts w:ascii="Times New Roman" w:hAnsi="Times New Roman" w:cs="Times New Roman"/>
          <w:sz w:val="28"/>
          <w:szCs w:val="28"/>
        </w:rPr>
        <w:t>ростом</w:t>
      </w:r>
      <w:r w:rsidR="001E7984" w:rsidRPr="006A1A33">
        <w:rPr>
          <w:rFonts w:ascii="Times New Roman" w:hAnsi="Times New Roman" w:cs="Times New Roman"/>
          <w:sz w:val="28"/>
          <w:szCs w:val="28"/>
        </w:rPr>
        <w:t xml:space="preserve"> </w:t>
      </w:r>
      <w:r w:rsidR="001E7984" w:rsidRPr="006A1A33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8D7F55" w:rsidRPr="006A1A33">
        <w:rPr>
          <w:rFonts w:ascii="Times New Roman" w:hAnsi="Times New Roman" w:cs="Times New Roman"/>
          <w:sz w:val="28"/>
          <w:szCs w:val="28"/>
        </w:rPr>
        <w:t>работки электроэнергии ВИЭ в РК, а также снижением выработки на ТОО «Первая ветровая электростанция».</w:t>
      </w:r>
    </w:p>
    <w:p w:rsidR="008364B1" w:rsidRPr="00EE670D" w:rsidRDefault="008364B1" w:rsidP="005B4E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70D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EE670D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4093"/>
        <w:gridCol w:w="851"/>
        <w:gridCol w:w="992"/>
        <w:gridCol w:w="851"/>
        <w:gridCol w:w="1134"/>
        <w:gridCol w:w="850"/>
        <w:gridCol w:w="851"/>
      </w:tblGrid>
      <w:tr w:rsidR="007D7642" w:rsidRPr="006A1A33" w:rsidTr="007D7642">
        <w:trPr>
          <w:trHeight w:val="27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B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5B4E26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FE02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FE02F0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D7642" w:rsidRPr="006A1A33" w:rsidRDefault="007D7642" w:rsidP="00FE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Δ, млн.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D7642" w:rsidRPr="006A1A33" w:rsidRDefault="007D7642" w:rsidP="00FE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8D7F55" w:rsidRPr="006A1A33" w:rsidTr="007D764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Январь 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Январь 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7F55" w:rsidRPr="006A1A33" w:rsidTr="007D7642">
        <w:trPr>
          <w:trHeight w:val="26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ВИЭ С-Э, </w:t>
            </w:r>
            <w:r w:rsidRPr="006A1A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10,6%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-1,2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A33">
              <w:rPr>
                <w:rFonts w:ascii="Times New Roman" w:hAnsi="Times New Roman" w:cs="Times New Roman"/>
                <w:b/>
                <w:bCs/>
              </w:rPr>
              <w:t>-2,3</w:t>
            </w:r>
          </w:p>
        </w:tc>
      </w:tr>
      <w:tr w:rsidR="008D7F55" w:rsidRPr="006A1A33" w:rsidTr="007D7642">
        <w:trPr>
          <w:trHeight w:val="26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Каскад малых ГЭС АО «АлЭС» 43,7МВт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5,9</w:t>
            </w:r>
          </w:p>
        </w:tc>
      </w:tr>
      <w:tr w:rsidR="008D7F55" w:rsidRPr="006A1A33" w:rsidTr="007D7642">
        <w:trPr>
          <w:trHeight w:val="39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 «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Samruk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Green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Energy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СЭС 2МВт + СЭС 1МВт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50,0</w:t>
            </w:r>
          </w:p>
        </w:tc>
      </w:tr>
      <w:tr w:rsidR="008D7F55" w:rsidRPr="006A1A33" w:rsidTr="007D764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Samruk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-Green Energy» 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Шелек</w:t>
            </w:r>
            <w:proofErr w:type="spellEnd"/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5</w:t>
            </w: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</w:tr>
      <w:tr w:rsidR="008D7F55" w:rsidRPr="007D7642" w:rsidTr="007D7642">
        <w:trPr>
          <w:trHeight w:val="96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A1A33">
              <w:rPr>
                <w:rFonts w:ascii="Times New Roman" w:hAnsi="Times New Roman" w:cs="Times New Roman"/>
                <w:i/>
              </w:rPr>
              <w:t>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55" w:rsidRPr="006A1A33" w:rsidRDefault="008D7F55" w:rsidP="008D7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A1A33">
              <w:rPr>
                <w:rFonts w:ascii="Times New Roman" w:hAnsi="Times New Roman" w:cs="Times New Roman"/>
                <w:bCs/>
                <w:i/>
              </w:rPr>
              <w:t>-8,0</w:t>
            </w:r>
          </w:p>
        </w:tc>
      </w:tr>
    </w:tbl>
    <w:p w:rsidR="00CC3A0E" w:rsidRDefault="00CC3A0E" w:rsidP="00CC3A0E">
      <w:pPr>
        <w:pStyle w:val="1"/>
        <w:tabs>
          <w:tab w:val="left" w:pos="0"/>
        </w:tabs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8"/>
        </w:rPr>
      </w:pPr>
      <w:bookmarkStart w:id="23" w:name="_Toc65566458"/>
    </w:p>
    <w:p w:rsidR="00CC3A0E" w:rsidRDefault="00CC3A0E">
      <w:pPr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F513C" w:rsidRDefault="00B21A0A" w:rsidP="00CC3A0E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4" w:name="_Toc99467114"/>
      <w:r w:rsidRPr="00B21A0A">
        <w:rPr>
          <w:rFonts w:ascii="Times New Roman" w:hAnsi="Times New Roman" w:cs="Times New Roman"/>
          <w:b/>
          <w:color w:val="auto"/>
          <w:sz w:val="28"/>
        </w:rPr>
        <w:lastRenderedPageBreak/>
        <w:t>Международное отношения</w:t>
      </w:r>
      <w:bookmarkEnd w:id="24"/>
    </w:p>
    <w:p w:rsidR="00BE07A4" w:rsidRPr="00BE07A4" w:rsidRDefault="00BE07A4" w:rsidP="005B5C22">
      <w:pPr>
        <w:spacing w:after="0"/>
      </w:pPr>
    </w:p>
    <w:p w:rsidR="00C82DFF" w:rsidRPr="00E04969" w:rsidRDefault="0045369F" w:rsidP="0045369F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5" w:name="_Toc99467115"/>
      <w:r>
        <w:rPr>
          <w:rFonts w:ascii="Times New Roman" w:hAnsi="Times New Roman" w:cs="Times New Roman"/>
          <w:i/>
          <w:color w:val="auto"/>
          <w:sz w:val="28"/>
        </w:rPr>
        <w:t>5.1</w:t>
      </w:r>
      <w:r w:rsidR="00BE07A4" w:rsidRPr="00E04969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387115" w:rsidRPr="00B21A0A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B21A0A">
        <w:rPr>
          <w:rFonts w:ascii="Times New Roman" w:hAnsi="Times New Roman" w:cs="Times New Roman"/>
          <w:i/>
          <w:color w:val="auto"/>
          <w:sz w:val="28"/>
        </w:rPr>
        <w:t>я</w:t>
      </w:r>
      <w:bookmarkStart w:id="26" w:name="_Toc65566459"/>
      <w:bookmarkEnd w:id="23"/>
      <w:r w:rsidR="00E04969" w:rsidRPr="00E04969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387115" w:rsidRPr="00E04969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6"/>
      <w:bookmarkEnd w:id="25"/>
    </w:p>
    <w:p w:rsidR="00FB5035" w:rsidRPr="002668FB" w:rsidRDefault="00FB5035" w:rsidP="005B5C2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37E65" w:rsidRPr="000D46F5" w:rsidRDefault="00437E65" w:rsidP="005B5C22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0D46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</w:t>
      </w:r>
      <w:r w:rsidRPr="000D46F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 учетом приоритетного обеспечения электрической энергией внутренних потребителей государств-членов</w:t>
      </w: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7E65" w:rsidRPr="000D46F5" w:rsidRDefault="00437E65" w:rsidP="00D744EE">
      <w:pPr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6F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F92E9C" w:rsidRDefault="00F92E9C" w:rsidP="00D744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E9C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F92E9C" w:rsidRPr="000D46F5" w:rsidRDefault="00F92E9C" w:rsidP="00D744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E9C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37E65" w:rsidRPr="000D46F5" w:rsidRDefault="00437E65" w:rsidP="00D744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</w:pPr>
      <w:proofErr w:type="spellStart"/>
      <w:r w:rsidRPr="000D46F5"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  <w:t>Справочно</w:t>
      </w:r>
      <w:proofErr w:type="spellEnd"/>
      <w:r w:rsidRPr="000D46F5">
        <w:rPr>
          <w:rFonts w:ascii="Times New Roman" w:eastAsia="Calibri" w:hAnsi="Times New Roman" w:cs="Times New Roman"/>
          <w:b/>
          <w:i/>
          <w:sz w:val="24"/>
          <w:szCs w:val="28"/>
          <w:u w:val="single"/>
          <w:lang w:eastAsia="ru-RU"/>
        </w:rPr>
        <w:t>:</w:t>
      </w:r>
    </w:p>
    <w:p w:rsidR="00437E65" w:rsidRPr="000D46F5" w:rsidRDefault="00437E65" w:rsidP="00D744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Межправсовета</w:t>
      </w:r>
      <w:proofErr w:type="spellEnd"/>
      <w:r w:rsidRPr="000D46F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Совет Комиссии по утверждению актов, регулирующих ОЭР.</w:t>
      </w:r>
    </w:p>
    <w:p w:rsidR="00B11D47" w:rsidRPr="000D46F5" w:rsidRDefault="0062000C" w:rsidP="006A1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A1A33">
        <w:rPr>
          <w:rFonts w:ascii="Times New Roman" w:hAnsi="Times New Roman" w:cs="Times New Roman"/>
          <w:sz w:val="28"/>
        </w:rPr>
        <w:t xml:space="preserve">В 2022 году проведено одно заседание Консультативного комитета по электроэнергетике при Коллегии ЕЭК (17-е заседание 19 января), </w:t>
      </w:r>
      <w:r w:rsidR="00D006A0" w:rsidRPr="006A1A33">
        <w:rPr>
          <w:rFonts w:ascii="Times New Roman" w:hAnsi="Times New Roman" w:cs="Times New Roman"/>
          <w:sz w:val="28"/>
        </w:rPr>
        <w:t>4</w:t>
      </w:r>
      <w:r w:rsidR="00905DFD" w:rsidRPr="006A1A33">
        <w:rPr>
          <w:rFonts w:ascii="Times New Roman" w:hAnsi="Times New Roman" w:cs="Times New Roman"/>
          <w:sz w:val="28"/>
        </w:rPr>
        <w:t xml:space="preserve"> заседани</w:t>
      </w:r>
      <w:r w:rsidR="006732B9" w:rsidRPr="006A1A33">
        <w:rPr>
          <w:rFonts w:ascii="Times New Roman" w:hAnsi="Times New Roman" w:cs="Times New Roman"/>
          <w:sz w:val="28"/>
        </w:rPr>
        <w:t>й</w:t>
      </w:r>
      <w:r w:rsidR="00905DFD" w:rsidRPr="006A1A33">
        <w:rPr>
          <w:rFonts w:ascii="Times New Roman" w:hAnsi="Times New Roman" w:cs="Times New Roman"/>
          <w:sz w:val="28"/>
        </w:rPr>
        <w:t xml:space="preserve"> Подкомитета по формированию ОЭР ЕАЭС Консультативного комитета по электроэнергетике при Коллегии ЕЭК (</w:t>
      </w:r>
      <w:r w:rsidRPr="006A1A33">
        <w:rPr>
          <w:rFonts w:ascii="Times New Roman" w:hAnsi="Times New Roman" w:cs="Times New Roman"/>
          <w:sz w:val="28"/>
        </w:rPr>
        <w:t>79</w:t>
      </w:r>
      <w:r w:rsidR="00A05CE4" w:rsidRPr="006A1A33">
        <w:rPr>
          <w:rFonts w:ascii="Times New Roman" w:hAnsi="Times New Roman" w:cs="Times New Roman"/>
          <w:sz w:val="28"/>
        </w:rPr>
        <w:t>-е заседан</w:t>
      </w:r>
      <w:r w:rsidRPr="006A1A33">
        <w:rPr>
          <w:rFonts w:ascii="Times New Roman" w:hAnsi="Times New Roman" w:cs="Times New Roman"/>
          <w:sz w:val="28"/>
        </w:rPr>
        <w:t>ие 13-14</w:t>
      </w:r>
      <w:r w:rsidR="00A05CE4" w:rsidRPr="006A1A33">
        <w:rPr>
          <w:rFonts w:ascii="Times New Roman" w:hAnsi="Times New Roman" w:cs="Times New Roman"/>
          <w:sz w:val="28"/>
        </w:rPr>
        <w:t xml:space="preserve"> </w:t>
      </w:r>
      <w:r w:rsidRPr="006A1A33">
        <w:rPr>
          <w:rFonts w:ascii="Times New Roman" w:hAnsi="Times New Roman" w:cs="Times New Roman"/>
          <w:sz w:val="28"/>
        </w:rPr>
        <w:t>января, 80-е заседание 26-27 января</w:t>
      </w:r>
      <w:r w:rsidR="00D006A0" w:rsidRPr="006A1A33">
        <w:rPr>
          <w:rFonts w:ascii="Times New Roman" w:hAnsi="Times New Roman" w:cs="Times New Roman"/>
          <w:sz w:val="28"/>
        </w:rPr>
        <w:t>, 81-е заседание 11 февраля, 82-е заседание 25 февраля</w:t>
      </w:r>
      <w:r w:rsidR="00F92E9C" w:rsidRPr="006A1A33">
        <w:rPr>
          <w:rFonts w:ascii="Times New Roman" w:hAnsi="Times New Roman" w:cs="Times New Roman"/>
          <w:sz w:val="28"/>
        </w:rPr>
        <w:t>)</w:t>
      </w:r>
      <w:r w:rsidR="009A44F0" w:rsidRPr="006A1A33">
        <w:rPr>
          <w:rFonts w:ascii="Times New Roman" w:hAnsi="Times New Roman" w:cs="Times New Roman"/>
          <w:sz w:val="28"/>
        </w:rPr>
        <w:t>.</w:t>
      </w:r>
      <w:r w:rsidR="00B11D47" w:rsidRPr="000D46F5">
        <w:rPr>
          <w:rFonts w:ascii="Times New Roman" w:hAnsi="Times New Roman" w:cs="Times New Roman"/>
          <w:sz w:val="28"/>
        </w:rPr>
        <w:t xml:space="preserve"> </w:t>
      </w:r>
    </w:p>
    <w:p w:rsidR="008336A4" w:rsidRPr="000D46F5" w:rsidRDefault="008336A4" w:rsidP="00D74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46F5">
        <w:rPr>
          <w:rFonts w:ascii="Times New Roman" w:hAnsi="Times New Roman" w:cs="Times New Roman"/>
          <w:sz w:val="28"/>
        </w:rPr>
        <w:t>В ходе заседаний обсуждены:</w:t>
      </w:r>
    </w:p>
    <w:p w:rsidR="008336A4" w:rsidRPr="000D46F5" w:rsidRDefault="008336A4" w:rsidP="00D744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46F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0D46F5">
        <w:rPr>
          <w:rFonts w:ascii="Times New Roman" w:hAnsi="Times New Roman" w:cs="Times New Roman"/>
          <w:sz w:val="28"/>
        </w:rPr>
        <w:t>тайминг</w:t>
      </w:r>
      <w:proofErr w:type="spellEnd"/>
      <w:r w:rsidRPr="000D46F5">
        <w:rPr>
          <w:rFonts w:ascii="Times New Roman" w:hAnsi="Times New Roman" w:cs="Times New Roman"/>
          <w:sz w:val="28"/>
        </w:rPr>
        <w:t xml:space="preserve"> процессов на ОЭР союза</w:t>
      </w:r>
      <w:r w:rsidR="00DF5F4B">
        <w:rPr>
          <w:rFonts w:ascii="Times New Roman" w:hAnsi="Times New Roman" w:cs="Times New Roman"/>
          <w:sz w:val="28"/>
        </w:rPr>
        <w:t>;</w:t>
      </w:r>
    </w:p>
    <w:p w:rsidR="00DF5F4B" w:rsidRDefault="00DF5F4B" w:rsidP="00DF5F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1E13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E13">
        <w:rPr>
          <w:rFonts w:ascii="Times New Roman" w:hAnsi="Times New Roman" w:cs="Times New Roman"/>
          <w:sz w:val="28"/>
          <w:szCs w:val="28"/>
        </w:rPr>
        <w:t xml:space="preserve"> установления цен (тарифов) на услуги по торговой и </w:t>
      </w:r>
      <w:proofErr w:type="spellStart"/>
      <w:r w:rsidRPr="00391E13">
        <w:rPr>
          <w:rFonts w:ascii="Times New Roman" w:hAnsi="Times New Roman" w:cs="Times New Roman"/>
          <w:sz w:val="28"/>
          <w:szCs w:val="28"/>
        </w:rPr>
        <w:t>внеторговой</w:t>
      </w:r>
      <w:proofErr w:type="spellEnd"/>
      <w:r w:rsidRPr="00391E13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F4B" w:rsidRPr="00DF5F4B" w:rsidRDefault="00DF5F4B" w:rsidP="00DF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(обнуление) почасовых объемов поставок по срочным контрактам при выявлении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сальдо-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 через межгосударственные сечения (внутренние сечения).</w:t>
      </w:r>
    </w:p>
    <w:p w:rsidR="00DF5F4B" w:rsidRPr="00DF5F4B" w:rsidRDefault="00DF5F4B" w:rsidP="00DF5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17</w:t>
      </w:r>
      <w:r w:rsidR="008336A4" w:rsidRPr="000D46F5">
        <w:rPr>
          <w:rFonts w:ascii="Times New Roman" w:hAnsi="Times New Roman" w:cs="Times New Roman"/>
          <w:sz w:val="28"/>
        </w:rPr>
        <w:t xml:space="preserve">-ом заседании рассмотрены следующие вопросы: </w:t>
      </w:r>
    </w:p>
    <w:p w:rsidR="00DF5F4B" w:rsidRDefault="00DF5F4B" w:rsidP="00DF5F4B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:rsidR="00DF5F4B" w:rsidRDefault="00DF5F4B" w:rsidP="00DF5F4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5F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«коммерческий учет электрической энергии»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F4B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A6">
        <w:rPr>
          <w:rFonts w:ascii="Times New Roman" w:hAnsi="Times New Roman" w:cs="Times New Roman"/>
          <w:sz w:val="28"/>
          <w:szCs w:val="28"/>
        </w:rPr>
        <w:t xml:space="preserve">исключение (сохранение) из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FA6">
        <w:rPr>
          <w:rFonts w:ascii="Times New Roman" w:hAnsi="Times New Roman" w:cs="Times New Roman"/>
          <w:sz w:val="28"/>
          <w:szCs w:val="28"/>
        </w:rPr>
        <w:t>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B46">
        <w:rPr>
          <w:rFonts w:ascii="Times New Roman" w:hAnsi="Times New Roman" w:cs="Times New Roman"/>
          <w:sz w:val="28"/>
          <w:szCs w:val="28"/>
        </w:rPr>
        <w:t>определенных в том числе с учетом сделок</w:t>
      </w:r>
      <w:r w:rsidRPr="00190FA6">
        <w:rPr>
          <w:rFonts w:ascii="Times New Roman" w:hAnsi="Times New Roman" w:cs="Times New Roman"/>
          <w:sz w:val="28"/>
          <w:szCs w:val="28"/>
        </w:rPr>
        <w:t xml:space="preserve"> на общем электроэнергетическом рынке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(пункт 8 проекта правил взаимной торговли)</w:t>
      </w:r>
      <w:r w:rsidRPr="00190FA6">
        <w:rPr>
          <w:rFonts w:ascii="Times New Roman" w:hAnsi="Times New Roman" w:cs="Times New Roman"/>
          <w:sz w:val="28"/>
          <w:szCs w:val="28"/>
        </w:rPr>
        <w:t>;</w:t>
      </w:r>
    </w:p>
    <w:p w:rsidR="00DF5F4B" w:rsidRPr="00190FA6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:rsidR="00DF5F4B" w:rsidRPr="00190FA6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A6">
        <w:rPr>
          <w:rFonts w:ascii="Times New Roman" w:hAnsi="Times New Roman" w:cs="Times New Roman"/>
          <w:sz w:val="28"/>
          <w:szCs w:val="28"/>
        </w:rPr>
        <w:t xml:space="preserve">исключение (сохранение) из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FA6">
        <w:rPr>
          <w:rFonts w:ascii="Times New Roman" w:hAnsi="Times New Roman" w:cs="Times New Roman"/>
          <w:sz w:val="28"/>
          <w:szCs w:val="28"/>
        </w:rPr>
        <w:t>равил взаимной торговли положения о внешнем балансировании в качестве одной из составляющих величины почасовых отклонений сальдо-</w:t>
      </w:r>
      <w:proofErr w:type="spellStart"/>
      <w:r w:rsidRPr="00190FA6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190FA6">
        <w:rPr>
          <w:rFonts w:ascii="Times New Roman" w:hAnsi="Times New Roman" w:cs="Times New Roman"/>
          <w:sz w:val="28"/>
          <w:szCs w:val="28"/>
        </w:rPr>
        <w:t xml:space="preserve"> электрической энергии в межгосударственном сечении для каждого часа расчетного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(пункты 89, 90 проекта правил взаимной торговли);</w:t>
      </w:r>
    </w:p>
    <w:p w:rsidR="00DF5F4B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A6">
        <w:rPr>
          <w:rFonts w:ascii="Times New Roman" w:hAnsi="Times New Roman" w:cs="Times New Roman"/>
          <w:sz w:val="28"/>
          <w:szCs w:val="28"/>
        </w:rPr>
        <w:t>исключение пункта 93</w:t>
      </w:r>
      <w:r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Pr="005F6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Pr="00316474">
        <w:rPr>
          <w:rFonts w:ascii="Times New Roman" w:hAnsi="Times New Roman"/>
          <w:color w:val="000000" w:themeColor="text1"/>
          <w:sz w:val="28"/>
        </w:rPr>
        <w:t>равенства</w:t>
      </w:r>
      <w:r w:rsidRPr="0031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</w:t>
      </w:r>
      <w:r w:rsidRPr="005F6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покупку, так и на продажу электроэнергии в пределах допустимого диапазона, установленного в соглашениях</w:t>
      </w:r>
      <w:r w:rsidRPr="003F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4D2">
        <w:rPr>
          <w:rFonts w:ascii="Times New Roman" w:hAnsi="Times New Roman" w:cs="Times New Roman"/>
          <w:color w:val="000000" w:themeColor="text1"/>
          <w:sz w:val="28"/>
          <w:szCs w:val="28"/>
        </w:rPr>
        <w:t>о параллельной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FA6">
        <w:rPr>
          <w:rFonts w:ascii="Times New Roman" w:hAnsi="Times New Roman" w:cs="Times New Roman"/>
          <w:sz w:val="28"/>
          <w:szCs w:val="28"/>
        </w:rPr>
        <w:t xml:space="preserve">при наличии пункта 94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FA6">
        <w:rPr>
          <w:rFonts w:ascii="Times New Roman" w:hAnsi="Times New Roman" w:cs="Times New Roman"/>
          <w:sz w:val="28"/>
          <w:szCs w:val="28"/>
        </w:rPr>
        <w:t>равил взаимной торговли (предложение российской стороны)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4B" w:rsidRDefault="00DF5F4B" w:rsidP="00DF5F4B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r>
        <w:rPr>
          <w:rFonts w:ascii="Times New Roman" w:hAnsi="Times New Roman" w:cs="Times New Roman"/>
          <w:sz w:val="28"/>
          <w:szCs w:val="28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:rsidR="00DF5F4B" w:rsidRPr="00960618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18">
        <w:rPr>
          <w:rFonts w:ascii="Times New Roman" w:hAnsi="Times New Roman" w:cs="Times New Roman"/>
          <w:sz w:val="28"/>
          <w:szCs w:val="28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proofErr w:type="spellStart"/>
      <w:r w:rsidRPr="00960618">
        <w:rPr>
          <w:rFonts w:ascii="Times New Roman" w:hAnsi="Times New Roman" w:cs="Times New Roman"/>
          <w:sz w:val="28"/>
          <w:szCs w:val="28"/>
        </w:rPr>
        <w:t>внеторговой</w:t>
      </w:r>
      <w:proofErr w:type="spellEnd"/>
      <w:r w:rsidRPr="00960618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proofErr w:type="spellStart"/>
      <w:r w:rsidRPr="00960618">
        <w:rPr>
          <w:rFonts w:ascii="Times New Roman" w:hAnsi="Times New Roman" w:cs="Times New Roman"/>
          <w:sz w:val="28"/>
          <w:szCs w:val="28"/>
        </w:rPr>
        <w:t>внеторговую</w:t>
      </w:r>
      <w:proofErr w:type="spellEnd"/>
      <w:r w:rsidRPr="00960618">
        <w:rPr>
          <w:rFonts w:ascii="Times New Roman" w:hAnsi="Times New Roman" w:cs="Times New Roman"/>
          <w:sz w:val="28"/>
          <w:szCs w:val="28"/>
        </w:rPr>
        <w:t xml:space="preserve"> межгосударственную передачу, вправе отказаться от заключения договора </w:t>
      </w:r>
      <w:proofErr w:type="spellStart"/>
      <w:r w:rsidRPr="00960618">
        <w:rPr>
          <w:rFonts w:ascii="Times New Roman" w:hAnsi="Times New Roman" w:cs="Times New Roman"/>
          <w:sz w:val="28"/>
          <w:szCs w:val="28"/>
        </w:rPr>
        <w:t>внеторговой</w:t>
      </w:r>
      <w:proofErr w:type="spellEnd"/>
      <w:r w:rsidRPr="00960618">
        <w:rPr>
          <w:rFonts w:ascii="Times New Roman" w:hAnsi="Times New Roman" w:cs="Times New Roman"/>
          <w:sz w:val="28"/>
          <w:szCs w:val="28"/>
        </w:rPr>
        <w:t xml:space="preserve"> межгосударственной передачи фразой «в отношении объемов, не вызывающих разногласие </w:t>
      </w:r>
      <w:r w:rsidR="00F92E9C" w:rsidRPr="00960618">
        <w:rPr>
          <w:rFonts w:ascii="Times New Roman" w:hAnsi="Times New Roman" w:cs="Times New Roman"/>
          <w:sz w:val="28"/>
          <w:szCs w:val="28"/>
        </w:rPr>
        <w:t>сторон, по</w:t>
      </w:r>
      <w:r w:rsidRPr="00960618">
        <w:rPr>
          <w:rFonts w:ascii="Times New Roman" w:hAnsi="Times New Roman" w:cs="Times New Roman"/>
          <w:sz w:val="28"/>
          <w:szCs w:val="28"/>
        </w:rPr>
        <w:t xml:space="preserve"> ранее заключенным договорам»</w:t>
      </w:r>
      <w:r>
        <w:rPr>
          <w:rFonts w:ascii="Times New Roman" w:hAnsi="Times New Roman" w:cs="Times New Roman"/>
          <w:sz w:val="28"/>
          <w:szCs w:val="28"/>
        </w:rPr>
        <w:t xml:space="preserve"> (пункт 17 проекта правил доступа)</w:t>
      </w:r>
      <w:r w:rsidRPr="00960618">
        <w:rPr>
          <w:rFonts w:ascii="Times New Roman" w:hAnsi="Times New Roman" w:cs="Times New Roman"/>
          <w:sz w:val="28"/>
          <w:szCs w:val="28"/>
        </w:rPr>
        <w:t>;</w:t>
      </w:r>
    </w:p>
    <w:p w:rsidR="00DF5F4B" w:rsidRPr="00DF5F4B" w:rsidRDefault="00DF5F4B" w:rsidP="00DF5F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18">
        <w:rPr>
          <w:rFonts w:ascii="Times New Roman" w:hAnsi="Times New Roman" w:cs="Times New Roman"/>
          <w:sz w:val="28"/>
          <w:szCs w:val="28"/>
        </w:rPr>
        <w:t xml:space="preserve">исключение (сохранение) из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618">
        <w:rPr>
          <w:rFonts w:ascii="Times New Roman" w:hAnsi="Times New Roman" w:cs="Times New Roman"/>
          <w:sz w:val="28"/>
          <w:szCs w:val="28"/>
        </w:rPr>
        <w:t>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</w:t>
      </w:r>
      <w:r>
        <w:rPr>
          <w:rFonts w:ascii="Times New Roman" w:hAnsi="Times New Roman" w:cs="Times New Roman"/>
          <w:sz w:val="28"/>
          <w:szCs w:val="28"/>
        </w:rPr>
        <w:t xml:space="preserve"> (пункт 34 проекта правил доступа).</w:t>
      </w:r>
    </w:p>
    <w:bookmarkEnd w:id="27"/>
    <w:p w:rsidR="008336A4" w:rsidRDefault="008336A4" w:rsidP="005B5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46F5">
        <w:rPr>
          <w:rFonts w:ascii="Times New Roman" w:hAnsi="Times New Roman" w:cs="Times New Roman"/>
          <w:sz w:val="28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:rsidR="002668FB" w:rsidRDefault="002668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506A6" w:rsidRPr="00B21A0A" w:rsidRDefault="002668FB" w:rsidP="0045369F">
      <w:pPr>
        <w:pStyle w:val="1"/>
        <w:numPr>
          <w:ilvl w:val="1"/>
          <w:numId w:val="39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28" w:name="_Toc525902070"/>
      <w:bookmarkStart w:id="29" w:name="_Toc2326695"/>
      <w:bookmarkStart w:id="30" w:name="_Toc65566462"/>
      <w:r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 </w:t>
      </w:r>
      <w:bookmarkStart w:id="31" w:name="_Toc99467116"/>
      <w:r w:rsidR="004506A6" w:rsidRPr="00B21A0A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28"/>
      <w:bookmarkEnd w:id="29"/>
      <w:bookmarkEnd w:id="30"/>
      <w:bookmarkEnd w:id="31"/>
    </w:p>
    <w:p w:rsidR="004506A6" w:rsidRPr="000D46F5" w:rsidRDefault="004506A6" w:rsidP="002668FB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6F5">
        <w:rPr>
          <w:rFonts w:ascii="Times New Roman" w:hAnsi="Times New Roman" w:cs="Times New Roman"/>
          <w:i/>
          <w:sz w:val="24"/>
          <w:szCs w:val="24"/>
        </w:rPr>
        <w:t>(по информации с сайта И</w:t>
      </w:r>
      <w:r w:rsidR="00F92E9C">
        <w:rPr>
          <w:rFonts w:ascii="Times New Roman" w:hAnsi="Times New Roman" w:cs="Times New Roman"/>
          <w:i/>
          <w:sz w:val="24"/>
          <w:szCs w:val="24"/>
        </w:rPr>
        <w:t>сполнительного комитета ЭЭС СНГ)</w:t>
      </w:r>
    </w:p>
    <w:p w:rsidR="00337673" w:rsidRPr="000D46F5" w:rsidRDefault="00337673" w:rsidP="005B5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73" w:rsidRDefault="00337673" w:rsidP="003376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АЗЕРБАЙДЖАН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DE">
        <w:rPr>
          <w:rFonts w:ascii="Times New Roman" w:hAnsi="Times New Roman" w:cs="Times New Roman"/>
          <w:b/>
          <w:sz w:val="24"/>
          <w:szCs w:val="24"/>
        </w:rPr>
        <w:t xml:space="preserve">По итогам 2021 года экспорт электроэнергии из Азербайджана вырос на 522,7 млн </w:t>
      </w:r>
      <w:proofErr w:type="spellStart"/>
      <w:r w:rsidRPr="00B939DE">
        <w:rPr>
          <w:rFonts w:ascii="Times New Roman" w:hAnsi="Times New Roman" w:cs="Times New Roman"/>
          <w:b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b/>
          <w:sz w:val="24"/>
          <w:szCs w:val="24"/>
        </w:rPr>
        <w:t xml:space="preserve"> или 45,4% по сравнению с 2020 годом, составив 1673,4 млн </w:t>
      </w:r>
      <w:proofErr w:type="spellStart"/>
      <w:r w:rsidRPr="00B939DE">
        <w:rPr>
          <w:rFonts w:ascii="Times New Roman" w:hAnsi="Times New Roman" w:cs="Times New Roman"/>
          <w:b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b/>
          <w:sz w:val="24"/>
          <w:szCs w:val="24"/>
        </w:rPr>
        <w:t>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DE">
        <w:rPr>
          <w:rFonts w:ascii="Times New Roman" w:hAnsi="Times New Roman" w:cs="Times New Roman"/>
          <w:sz w:val="24"/>
          <w:szCs w:val="24"/>
        </w:rPr>
        <w:t xml:space="preserve">По итогам 2021 года в Азербайджане было произведено 27855,7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электроэнергии, что на 2044,5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или 7,9% больше, чем в 2020 году.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DE">
        <w:rPr>
          <w:rFonts w:ascii="Times New Roman" w:hAnsi="Times New Roman" w:cs="Times New Roman"/>
          <w:sz w:val="24"/>
          <w:szCs w:val="24"/>
        </w:rPr>
        <w:t>В 2021 году общее потребление электроэнергии в стране составило 23435,6 млн 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, что по сравнению с 2020 годом больше на 1465,7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или 6,7%.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DE">
        <w:rPr>
          <w:rFonts w:ascii="Times New Roman" w:hAnsi="Times New Roman" w:cs="Times New Roman"/>
          <w:sz w:val="24"/>
          <w:szCs w:val="24"/>
        </w:rPr>
        <w:t xml:space="preserve">По итогам прошлого года экспорт электроэнергии из Азербайджана вырос на 522,7 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или 45,4% по сравнению с 2020 годом, составив 1673,4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. Импорт электроэнергии в Азербайджан в 2021 году вырос на 15,1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или 11,1% по сравнению с 2020 годом, составив 151,6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>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DE">
        <w:rPr>
          <w:rFonts w:ascii="Times New Roman" w:hAnsi="Times New Roman" w:cs="Times New Roman"/>
          <w:sz w:val="24"/>
          <w:szCs w:val="24"/>
        </w:rPr>
        <w:t xml:space="preserve">За прошлый год в Иран было экспортировано 257,5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, в Турцию - 720,6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, в Россию - 95,2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, в Грузию - 600,1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. Из общего объема импорта электроэнергии на долю Ирана пришлось 31,9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>, России - 95,1 млн 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, Грузии - 24,6 млн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>.</w:t>
      </w:r>
    </w:p>
    <w:p w:rsidR="0007750D" w:rsidRDefault="0007750D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73" w:rsidRDefault="00337673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КАЗАХСТАН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Казахстане</w:t>
      </w:r>
      <w:r w:rsidRPr="001879C4">
        <w:rPr>
          <w:rFonts w:ascii="Times New Roman" w:hAnsi="Times New Roman" w:cs="Times New Roman"/>
          <w:b/>
          <w:sz w:val="24"/>
          <w:szCs w:val="24"/>
        </w:rPr>
        <w:t xml:space="preserve"> на начало 2022 года действует 134 объекта возобновляемых источников энергии (ВИЭ) суммарной установленной мощностью 2010 МВт. </w:t>
      </w:r>
      <w:r w:rsidRPr="001879C4">
        <w:rPr>
          <w:rFonts w:ascii="Times New Roman" w:hAnsi="Times New Roman" w:cs="Times New Roman"/>
          <w:sz w:val="24"/>
          <w:szCs w:val="24"/>
        </w:rPr>
        <w:t xml:space="preserve">Объем производства электроэнергии этими объектами (солнечные электростанции (СЭС),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ветроэлектростанции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(ВЭС), биогазовые станции (БГС), малые ГЭС) за 2021 год составил 4220,3 млн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Возобновляемая энергетика в республике устойчиво растет. За последние 7 лет установленная мощность объектов ВИЭ выросла почти в 11 раз – с 177,52 МВт в 2014 году до 2010 МВт в 2021 году.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879C4">
        <w:rPr>
          <w:rFonts w:ascii="Times New Roman" w:hAnsi="Times New Roman" w:cs="Times New Roman"/>
          <w:sz w:val="24"/>
          <w:szCs w:val="24"/>
        </w:rPr>
        <w:t>есурсный потенциал ВИЭ в Казахстане оценивается следующими показателями: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- ветроэнергетика - 920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/год;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гидропотенциал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- 62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/год;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- солнечная энергетика - 2,5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/год;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- тепловой потенциал геотермальных вод - 4,3 ГВт.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В крупнейшем казахстанском электроэнергетическом холдинге АО «Самрук-Энерго» на сегодня действует 5 объектов ВИЭ. Их совокупный объем выработки электроэнергии за 2021 год составил 325,3 млн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. Это 7,7% от объема электроэнергии, вырабатываемой всеми объектами ВИЭ в Республике Казахстан.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Министерством энергетики Республики Казахстан разработан Энергетический баланс Республики Казахстан до 2035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9C4">
        <w:rPr>
          <w:rFonts w:ascii="Times New Roman" w:hAnsi="Times New Roman" w:cs="Times New Roman"/>
          <w:sz w:val="24"/>
          <w:szCs w:val="24"/>
        </w:rPr>
        <w:t xml:space="preserve">В соответствии с энергетическим балансом потребление электроэнергии в стране к 2035 году вырастет до 152,9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, среднегодовой рост потребления электроэнергии в период 2021-2035 увеличится на 2,7%.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9C4">
        <w:rPr>
          <w:rFonts w:ascii="Times New Roman" w:hAnsi="Times New Roman" w:cs="Times New Roman"/>
          <w:sz w:val="24"/>
          <w:szCs w:val="24"/>
        </w:rPr>
        <w:t>Для покрытия потребности экономики и населения потребуется ввод 17,5 ГВт новой генерации к 2035 году.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2B">
        <w:rPr>
          <w:rFonts w:ascii="Times New Roman" w:hAnsi="Times New Roman" w:cs="Times New Roman"/>
          <w:b/>
          <w:sz w:val="24"/>
          <w:szCs w:val="24"/>
        </w:rPr>
        <w:t>До 2026 года в южных регионах Казахстана планируется строительство 7 генерирующих установок суммарной мощностью порядка 3050 МВт.</w:t>
      </w:r>
      <w:r w:rsidRPr="00B939DE">
        <w:rPr>
          <w:rFonts w:ascii="Times New Roman" w:hAnsi="Times New Roman" w:cs="Times New Roman"/>
          <w:sz w:val="24"/>
          <w:szCs w:val="24"/>
        </w:rPr>
        <w:t xml:space="preserve"> </w:t>
      </w:r>
      <w:r w:rsidRPr="00B939DE">
        <w:rPr>
          <w:rFonts w:ascii="Times New Roman" w:hAnsi="Times New Roman" w:cs="Times New Roman"/>
          <w:sz w:val="24"/>
          <w:szCs w:val="24"/>
        </w:rPr>
        <w:br/>
      </w:r>
      <w:r w:rsidR="002D572B">
        <w:rPr>
          <w:rFonts w:ascii="Times New Roman" w:hAnsi="Times New Roman" w:cs="Times New Roman"/>
          <w:sz w:val="24"/>
          <w:szCs w:val="24"/>
        </w:rPr>
        <w:t>Также </w:t>
      </w:r>
      <w:r w:rsidRPr="00B939DE">
        <w:rPr>
          <w:rFonts w:ascii="Times New Roman" w:hAnsi="Times New Roman" w:cs="Times New Roman"/>
          <w:sz w:val="24"/>
          <w:szCs w:val="24"/>
        </w:rPr>
        <w:t xml:space="preserve">в обеспечение стабильного функционирования энергосистемы и полного обеспечения экономики страны в электроэнергии, Министерством энергетики заключены 13 инвестиционных соглашений с действующими </w:t>
      </w:r>
      <w:proofErr w:type="spellStart"/>
      <w:r w:rsidRPr="00B939DE">
        <w:rPr>
          <w:rFonts w:ascii="Times New Roman" w:hAnsi="Times New Roman" w:cs="Times New Roman"/>
          <w:sz w:val="24"/>
          <w:szCs w:val="24"/>
        </w:rPr>
        <w:t>энергопроизводящими</w:t>
      </w:r>
      <w:proofErr w:type="spellEnd"/>
      <w:r w:rsidRPr="00B939DE">
        <w:rPr>
          <w:rFonts w:ascii="Times New Roman" w:hAnsi="Times New Roman" w:cs="Times New Roman"/>
          <w:sz w:val="24"/>
          <w:szCs w:val="24"/>
        </w:rPr>
        <w:t xml:space="preserve"> организациями, в рамках которых предполагается реализация мероприятий по реконструкции и расширению генерирующего оборудовани</w:t>
      </w:r>
      <w:r w:rsidR="002D572B">
        <w:rPr>
          <w:rFonts w:ascii="Times New Roman" w:hAnsi="Times New Roman" w:cs="Times New Roman"/>
          <w:sz w:val="24"/>
          <w:szCs w:val="24"/>
        </w:rPr>
        <w:t>я</w:t>
      </w:r>
      <w:r w:rsidRPr="00B939DE">
        <w:rPr>
          <w:rFonts w:ascii="Times New Roman" w:hAnsi="Times New Roman" w:cs="Times New Roman"/>
          <w:sz w:val="24"/>
          <w:szCs w:val="24"/>
        </w:rPr>
        <w:t>. По результатам планируется ввод дополнительной электрической мощности объемом порядка 1600 МВт, из которых угольная и газовая составляет порядка 950 МВт и 650 МВт, соответственно. Работа по дальнейшему их заключению в целях поддержки рабочего состояния энергетическ</w:t>
      </w:r>
      <w:r w:rsidR="002D572B">
        <w:rPr>
          <w:rFonts w:ascii="Times New Roman" w:hAnsi="Times New Roman" w:cs="Times New Roman"/>
          <w:sz w:val="24"/>
          <w:szCs w:val="24"/>
        </w:rPr>
        <w:t>ого оборудования продолжается.</w:t>
      </w:r>
    </w:p>
    <w:p w:rsidR="00B939DE" w:rsidRPr="00B939DE" w:rsidRDefault="00B939DE" w:rsidP="00B939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9DE">
        <w:rPr>
          <w:rFonts w:ascii="Times New Roman" w:hAnsi="Times New Roman" w:cs="Times New Roman"/>
          <w:sz w:val="24"/>
          <w:szCs w:val="24"/>
        </w:rPr>
        <w:t>Также в рамках Плана развития гидроэнергетической отрасли Республики Казахстан на 2020-2030 годы планируется ввод порядка 1500 МВт электрической мощности, использующей гидродинамическую эн</w:t>
      </w:r>
      <w:r w:rsidR="002D572B">
        <w:rPr>
          <w:rFonts w:ascii="Times New Roman" w:hAnsi="Times New Roman" w:cs="Times New Roman"/>
          <w:sz w:val="24"/>
          <w:szCs w:val="24"/>
        </w:rPr>
        <w:t>ергию воды до 2030 года.</w:t>
      </w:r>
      <w:r w:rsidRPr="00B9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73" w:rsidRPr="000D46F5" w:rsidRDefault="00337673" w:rsidP="003376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73" w:rsidRDefault="00337673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КЫРГЫЗСТАН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ОАО «Национальная электрическая сеть Кыргызстана» повысит надежность работы высоковольтных подстанций и ЛЭП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В ОАО «Национальная электрическая сеть Кыргызстана» начата ремонтная компания, в целях своевременной подготовки к следующему осенне-зимнему периоду 2022-2023 гг.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имеющихся на балансе компании: 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- воздушные линии электропередачи напряжением 110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, 220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и 500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общей протяженностью 7641 км;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- подстанции напряжением 110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, 220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и 500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в количестве 199 единиц.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рамках утвержденного графика организационно-технических мероприятий на всех высоковольтных подстанциях и линиях электропередачи планируется провести капитальные и текущие ремонты. Кроме этого, к работе в зимних условиях будут готовиться здания, сооружения, автотранспортные средства и непосредственно технических персонал.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Своевременное выполнение ремонтной программы повысит надежность функционирования электросетевого комплекса и обеспечит бесперебойное энергоснабжение потребителей в периоды максимальных нагрузок.</w:t>
      </w:r>
    </w:p>
    <w:p w:rsidR="001879C4" w:rsidRDefault="001879C4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9C4" w:rsidRPr="001879C4" w:rsidRDefault="001879C4" w:rsidP="001879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БЕЛАРУСЬ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ГПО "</w:t>
      </w:r>
      <w:proofErr w:type="spellStart"/>
      <w:r w:rsidRPr="001879C4">
        <w:rPr>
          <w:rFonts w:ascii="Times New Roman" w:hAnsi="Times New Roman" w:cs="Times New Roman"/>
          <w:b/>
          <w:sz w:val="24"/>
          <w:szCs w:val="24"/>
        </w:rPr>
        <w:t>Белэнерго</w:t>
      </w:r>
      <w:proofErr w:type="spellEnd"/>
      <w:r w:rsidRPr="001879C4">
        <w:rPr>
          <w:rFonts w:ascii="Times New Roman" w:hAnsi="Times New Roman" w:cs="Times New Roman"/>
          <w:b/>
          <w:sz w:val="24"/>
          <w:szCs w:val="24"/>
        </w:rPr>
        <w:t>" рассказало о преимуществах электронных счетчиков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Беларуси продолжается планомерная работа по замене устаревших индукционных приборов учета на современные электронные счетчики. Она проводится по программе модернизации средств учета электрической энергии до 2023 года на безвозмездной основе.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Приоритетным направлением в программе является поэтапный вывод из обращения установленных у бытовых абонентов индукционных приборов учета электроэнергии, в первую очередь класса точности 2,5. Такое решение обусловлено тем, что по состоянию на начало 2015 года у потребителей в пользовании находилось почти 3,6 млн таких приборов, в подавляющем большинстве со сроком эксплуатации более 32 лет и классом точности 2,5</w:t>
      </w:r>
      <w:r w:rsidR="002D572B">
        <w:rPr>
          <w:rFonts w:ascii="Times New Roman" w:hAnsi="Times New Roman" w:cs="Times New Roman"/>
          <w:sz w:val="24"/>
          <w:szCs w:val="24"/>
        </w:rPr>
        <w:t>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соответствии с программой в 2021 году заменены 496,7 тыс. счетчиков у бытовых абонентов, что позволило увеличить до 80,7% долю однофазных электронных приборов учета электроэнергии, находящихся в эксплуатации.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Кроме того, появляется возможность объединения счетчиков в автоматизированные системы контроля и учета электроэнергии (АСКУЭ). Это обеспечивает дистанционный съем показаний с приборов учета, их технический контроль, а также позволяет предлагать к оплате в платежных системах реальный расход электрической энергии за расчетный период.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Также среди плюсов электронных счетчиков - их устойчивость к температурным перепадам (от минус 40 до плюс 50 градусов) и бесшумность в работе из-за отсутствия движущейся части.</w:t>
      </w:r>
    </w:p>
    <w:p w:rsidR="00587E23" w:rsidRPr="001879C4" w:rsidRDefault="00587E23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73" w:rsidRDefault="00337673" w:rsidP="00337673">
      <w:pPr>
        <w:pStyle w:val="ad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D46F5">
        <w:rPr>
          <w:b/>
        </w:rPr>
        <w:t>УЗБЕКИСТАН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 xml:space="preserve">До конца 2022 года в Узбекистане будут введены в эксплуатацию 7 новых станций общей мощностью 1474 МВт — 6 тепловых (ТЭС) и одна солнечная </w:t>
      </w:r>
      <w:proofErr w:type="spellStart"/>
      <w:r w:rsidRPr="001879C4">
        <w:rPr>
          <w:rFonts w:ascii="Times New Roman" w:hAnsi="Times New Roman" w:cs="Times New Roman"/>
          <w:b/>
          <w:sz w:val="24"/>
          <w:szCs w:val="24"/>
        </w:rPr>
        <w:t>фотоэлектростанция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9C4">
        <w:rPr>
          <w:rFonts w:ascii="Times New Roman" w:hAnsi="Times New Roman" w:cs="Times New Roman"/>
          <w:sz w:val="24"/>
          <w:szCs w:val="24"/>
        </w:rPr>
        <w:t>В результате совокупная мощность энергосистемы Узбекистана превысит 16 000 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Минэнерго Узбекистана: за три месяца введены в эксплуатацию 3 новые ТЭС в трех регионах страны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9C4">
        <w:rPr>
          <w:rFonts w:ascii="Times New Roman" w:hAnsi="Times New Roman" w:cs="Times New Roman"/>
          <w:sz w:val="24"/>
          <w:szCs w:val="24"/>
        </w:rPr>
        <w:t>В Узбекистане в соответствии с постановлениями Президента страны строятся и вводятся в эксплуатацию новые современные тепловые электростанции (ТЭС). Только с начала текущего года в регионах страны введены в эксплуатацию 3 новые тепловые электростанции общей мощностью 684 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Первой из них 11 января 2022 года была запущена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газопоршневая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ТЭС мощностью 270 МВт в Бухарском районе Бухарской области;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Второй – парогазовая установка мощностью 240 МВт, которая введена 14 января в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Кибрайском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районе Ташкентской области;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Старт начала работы третьей новой тепловой электростанции мощностью 174 МВт, построенной в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Янгиарыкском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районе Хорезмской области, был дан 10 марта.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lastRenderedPageBreak/>
        <w:t xml:space="preserve">Эти 3 электростанции вырабатывают в общей сложности 5,6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электроэнергии в год. За счет внедрения на них энергосберегающего оборудования и технологий будет сэкономлено 725 млн кубометров природного газа в год.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Сэкономленный природный газ позволит вырабатывать дополнительно 2,7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Добавим, что до конца марта в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Кибрайском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районе Ташкентской области будет сдана в эксплуатацию 4-я новая тепловая электростанция мощностью 230 МВт.</w:t>
      </w:r>
    </w:p>
    <w:p w:rsidR="001879C4" w:rsidRPr="002D572B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72B">
        <w:rPr>
          <w:rFonts w:ascii="Times New Roman" w:hAnsi="Times New Roman" w:cs="Times New Roman"/>
          <w:b/>
          <w:sz w:val="24"/>
          <w:szCs w:val="24"/>
        </w:rPr>
        <w:t>К 2050 году Узбекистан полностью откажется от использования угля, природного газа и нефтепродуктов в качестве топлива</w:t>
      </w:r>
      <w:r w:rsidR="002D572B">
        <w:rPr>
          <w:rFonts w:ascii="Times New Roman" w:hAnsi="Times New Roman" w:cs="Times New Roman"/>
          <w:b/>
          <w:sz w:val="24"/>
          <w:szCs w:val="24"/>
        </w:rPr>
        <w:t>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Узбекистан присоединился к программе углеводородного нейтралитета, принятой самыми передовыми странами мира.</w:t>
      </w:r>
      <w:r w:rsidR="002D572B">
        <w:rPr>
          <w:rFonts w:ascii="Times New Roman" w:hAnsi="Times New Roman" w:cs="Times New Roman"/>
          <w:sz w:val="24"/>
          <w:szCs w:val="24"/>
        </w:rPr>
        <w:t xml:space="preserve"> </w:t>
      </w:r>
      <w:r w:rsidRPr="001879C4">
        <w:rPr>
          <w:rFonts w:ascii="Times New Roman" w:hAnsi="Times New Roman" w:cs="Times New Roman"/>
          <w:sz w:val="24"/>
          <w:szCs w:val="24"/>
        </w:rPr>
        <w:t>Среди них – Япония, Южная Корея, Китай и страны Евросоюза. Углеводородный нейтралитет (углеродная нейтральность) или "нулевой уровень выбросов" означает, что объемы эмиссий углекислого газа не превышают его объемов, поглощаемых океанами и лесами.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Для достижения этой задачи в Узбекистане к 2030 году использование возобновляемых источников должно составить около 30% вырабатываемой в стране электроэнергии. То есть к этому времени должны быть введены в эксплуатацию ветряные электростанции (ВЭС) общей мощностью не менее 5000 МВт и солнечные фотоэлектрические электростанции </w:t>
      </w:r>
      <w:r w:rsidR="002D572B">
        <w:rPr>
          <w:rFonts w:ascii="Times New Roman" w:hAnsi="Times New Roman" w:cs="Times New Roman"/>
          <w:sz w:val="24"/>
          <w:szCs w:val="24"/>
        </w:rPr>
        <w:t xml:space="preserve">(ФЭС) общей мощностью 7000 МВт. </w:t>
      </w:r>
      <w:r w:rsidRPr="001879C4">
        <w:rPr>
          <w:rFonts w:ascii="Times New Roman" w:hAnsi="Times New Roman" w:cs="Times New Roman"/>
          <w:sz w:val="24"/>
          <w:szCs w:val="24"/>
        </w:rPr>
        <w:t xml:space="preserve">Так, только в 2023 году запланирован ввод четырех ФЭС общей мощностью 1097 МВт в Самаркандской, Джизакской,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и Сурхандарьинской областях и четырех ВЭС общей мощностью 1600 МВт - в Каракалпакстане, Бухарской и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Навоийской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областях.</w:t>
      </w:r>
      <w:r w:rsidRPr="001879C4">
        <w:rPr>
          <w:rFonts w:ascii="Times New Roman" w:hAnsi="Times New Roman" w:cs="Times New Roman"/>
          <w:sz w:val="24"/>
          <w:szCs w:val="24"/>
        </w:rPr>
        <w:br/>
        <w:t>По планам Минэнерго, к 2026 году общая мощность ФЭС в Узбекистане достигнет 4000 МВт, мощность ВЭС – также 4000 МВт. В результате до 25% вырабатываемой в стране электроэнергии будет поступать из возобновляемых источников, ежегодно будет экономиться около 3 млрд кубометров природного газа. Таким объемом сэкономленного газа можно в течение одного года обеспечивать один миллион домохозяйств.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Перейдя к гидроэнергетике, Ходжаев сообщил, что в 2017-2021 годах в Узбекистане было построено 11 новых ГЭС и модернизировано 8. В результате создано 244 МВт дополнительной мощности.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К 2026 году в стране модернизируют 5 действующих гидроэлектростанций (ГЭС), а в Самаркандской, Сурхандарьинской, Ташкентской, Кашкадарьинской, Наманганской и Андижанской областях построят 15 новых ГЭС. В результате общая мощность гидроэлектростанций Узбекистана достигнет 2920 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Мощность ГЭС Узбекистана к 2026 году увеличится на 868 МВт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Согласно стратегии развития страны на 2022-2026 годы, в Узбекистане будет построено 15 новых гидроэлектростанций, а 5 действующих ГЭС будут модернизированы. Благодаря этому появится дополнительная мощность в 868 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2022 году в Самаркандской, Сурхандарьинской и Ташкентской областях будут построены семь ГЭС общей мощностью 173 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2023 году будет завершена модернизация одной ГЭС в Ташкентской области и двух в Кашкадарьинской и Андижанской областях общей мощностью 29 МВт.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2024 году будет завершена модернизация четырёх ГЭС в Андижанской, Наманганской, Сурхандарьинской и Ташкентской областях общей мощностью 122 МВт.</w:t>
      </w:r>
    </w:p>
    <w:p w:rsidR="001879C4" w:rsidRPr="00CA2A40" w:rsidRDefault="001879C4" w:rsidP="00CA2A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В 2025-2026 годах будут введены в эксплуатацию четыре ГЭС общей мощностью 544 МВт в Кашкадар</w:t>
      </w:r>
      <w:r w:rsidR="00CA2A40">
        <w:rPr>
          <w:rFonts w:ascii="Times New Roman" w:hAnsi="Times New Roman" w:cs="Times New Roman"/>
          <w:sz w:val="24"/>
          <w:szCs w:val="24"/>
        </w:rPr>
        <w:t>ьинской и Ташкентской областях.</w:t>
      </w:r>
    </w:p>
    <w:p w:rsidR="001879C4" w:rsidRPr="001879C4" w:rsidRDefault="001879C4" w:rsidP="00CA2A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A40">
        <w:rPr>
          <w:rFonts w:ascii="Times New Roman" w:hAnsi="Times New Roman" w:cs="Times New Roman"/>
          <w:b/>
          <w:sz w:val="24"/>
          <w:szCs w:val="24"/>
        </w:rPr>
        <w:t>В Узбекистане планируют создать единую кольцевую энергосистему к 2026 году за счет строительства сетей 500-750 </w:t>
      </w:r>
      <w:proofErr w:type="spellStart"/>
      <w:r w:rsidRPr="00CA2A40">
        <w:rPr>
          <w:rFonts w:ascii="Times New Roman" w:hAnsi="Times New Roman" w:cs="Times New Roman"/>
          <w:b/>
          <w:sz w:val="24"/>
          <w:szCs w:val="24"/>
        </w:rPr>
        <w:t>кВ</w:t>
      </w:r>
      <w:r w:rsidR="00CA2A40" w:rsidRPr="00CA2A40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CA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A40" w:rsidRPr="00CA2A40">
        <w:rPr>
          <w:rFonts w:ascii="Times New Roman" w:hAnsi="Times New Roman" w:cs="Times New Roman"/>
          <w:sz w:val="24"/>
          <w:szCs w:val="24"/>
        </w:rPr>
        <w:t>П</w:t>
      </w:r>
      <w:r w:rsidRPr="00CA2A40">
        <w:rPr>
          <w:rFonts w:ascii="Times New Roman" w:hAnsi="Times New Roman" w:cs="Times New Roman"/>
          <w:sz w:val="24"/>
          <w:szCs w:val="24"/>
        </w:rPr>
        <w:t>р</w:t>
      </w:r>
      <w:r w:rsidRPr="001879C4">
        <w:rPr>
          <w:rFonts w:ascii="Times New Roman" w:hAnsi="Times New Roman" w:cs="Times New Roman"/>
          <w:sz w:val="24"/>
          <w:szCs w:val="24"/>
        </w:rPr>
        <w:t>оизошедший 25 января в региональной энергосистеме технический сбой затронул все электростанции республики и поспособствовал созданию чрезвычайной ситуации.</w:t>
      </w:r>
      <w:r w:rsidR="00CA2A40">
        <w:rPr>
          <w:rFonts w:ascii="Times New Roman" w:hAnsi="Times New Roman" w:cs="Times New Roman"/>
          <w:sz w:val="24"/>
          <w:szCs w:val="24"/>
        </w:rPr>
        <w:t xml:space="preserve"> В</w:t>
      </w:r>
      <w:r w:rsidRPr="001879C4">
        <w:rPr>
          <w:rFonts w:ascii="Times New Roman" w:hAnsi="Times New Roman" w:cs="Times New Roman"/>
          <w:sz w:val="24"/>
          <w:szCs w:val="24"/>
        </w:rPr>
        <w:t xml:space="preserve"> связи с этим в Узбекистане планируется создать единую кольцевую систему за счет строительства сетей 500-750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В частности, к 2026 году планируется увеличить общую генерирующую мощность до 27400 мегаватт и годовую выработку до 110 млрд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кВ·ч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. Тогда все регионы страны будут прочно соединены сетями 500-750 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с созданием единой системы.</w:t>
      </w:r>
    </w:p>
    <w:p w:rsidR="00337673" w:rsidRPr="000D46F5" w:rsidRDefault="00EE670D" w:rsidP="003376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РОССИЯ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 xml:space="preserve">В РФ актуализирована законодательная «дорожная карта» </w:t>
      </w:r>
      <w:proofErr w:type="spellStart"/>
      <w:r w:rsidRPr="001879C4">
        <w:rPr>
          <w:rFonts w:ascii="Times New Roman" w:hAnsi="Times New Roman" w:cs="Times New Roman"/>
          <w:b/>
          <w:sz w:val="24"/>
          <w:szCs w:val="24"/>
        </w:rPr>
        <w:t>Энерджинет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9C4">
        <w:rPr>
          <w:rFonts w:ascii="Times New Roman" w:hAnsi="Times New Roman" w:cs="Times New Roman"/>
          <w:sz w:val="24"/>
          <w:szCs w:val="24"/>
        </w:rPr>
        <w:t>Утвержденная Правительством РФ «дорожная карта»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«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Энерджинет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>» предусматривает внесение в Правительство РФ не позднее мая 2022 года законопроекта по интеграции механизма управления спросом в оптовый рынок электроэнергии.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 xml:space="preserve">Актуализированная версия законодательной «дорожной карты» </w:t>
      </w:r>
      <w:proofErr w:type="spellStart"/>
      <w:r w:rsidRPr="001879C4">
        <w:rPr>
          <w:rFonts w:ascii="Times New Roman" w:hAnsi="Times New Roman" w:cs="Times New Roman"/>
          <w:sz w:val="24"/>
          <w:szCs w:val="24"/>
        </w:rPr>
        <w:t>Энерджинет</w:t>
      </w:r>
      <w:proofErr w:type="spellEnd"/>
      <w:r w:rsidRPr="001879C4">
        <w:rPr>
          <w:rFonts w:ascii="Times New Roman" w:hAnsi="Times New Roman" w:cs="Times New Roman"/>
          <w:sz w:val="24"/>
          <w:szCs w:val="24"/>
        </w:rPr>
        <w:t xml:space="preserve"> утверждена 3 марта распоряжением Правительства РФ №402-р. В числе прочего она содержит положения о продолжении работ по развитию механизма управления спросом на электрическую энергию в ЕЭС России.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b/>
          <w:sz w:val="24"/>
          <w:szCs w:val="24"/>
        </w:rPr>
        <w:t>Правительство РФ разрешило учитывать расходы на разработки в области ВИЭ для уменьшения налогов</w:t>
      </w:r>
      <w:r w:rsidR="00CA2A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9C4">
        <w:rPr>
          <w:rFonts w:ascii="Times New Roman" w:hAnsi="Times New Roman" w:cs="Times New Roman"/>
          <w:sz w:val="24"/>
          <w:szCs w:val="24"/>
        </w:rPr>
        <w:t>Правительство России включило разработки в области возобновляемых источников энергии (ВИЭ) в перечень научных исследований и опытно-конструкторских разработок (НИОКР), расходы по которым можно учитывать для уменьшения налоговых платежей, следует из </w:t>
      </w:r>
      <w:hyperlink r:id="rId11" w:tgtFrame="_blank" w:history="1">
        <w:r w:rsidRPr="001879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CA2A40">
        <w:rPr>
          <w:rFonts w:ascii="Times New Roman" w:hAnsi="Times New Roman" w:cs="Times New Roman"/>
          <w:sz w:val="24"/>
          <w:szCs w:val="24"/>
        </w:rPr>
        <w:t>.</w:t>
      </w:r>
    </w:p>
    <w:p w:rsidR="001879C4" w:rsidRPr="001879C4" w:rsidRDefault="001879C4" w:rsidP="001879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C4">
        <w:rPr>
          <w:rFonts w:ascii="Times New Roman" w:hAnsi="Times New Roman" w:cs="Times New Roman"/>
          <w:sz w:val="24"/>
          <w:szCs w:val="24"/>
        </w:rPr>
        <w:t>Расходы на исследования и разработки, включенные в перечень правительства, уменьшают базу налога на прибыль с применением повышающего коэффициента 1,5. Их также разрешается учитывать единовременно в том отчетном налоговом периоде, в котором они были осуществлены.</w:t>
      </w:r>
    </w:p>
    <w:p w:rsidR="001879C4" w:rsidRDefault="001879C4" w:rsidP="001879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47BD0" w:rsidRDefault="00247BD0" w:rsidP="00D74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sectPr w:rsidR="00247BD0" w:rsidSect="008364B1">
      <w:headerReference w:type="default" r:id="rId12"/>
      <w:footerReference w:type="default" r:id="rId13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81" w:rsidRDefault="00B35D81" w:rsidP="00AD7754">
      <w:pPr>
        <w:spacing w:after="0" w:line="240" w:lineRule="auto"/>
      </w:pPr>
      <w:r>
        <w:separator/>
      </w:r>
    </w:p>
  </w:endnote>
  <w:endnote w:type="continuationSeparator" w:id="0">
    <w:p w:rsidR="00B35D81" w:rsidRDefault="00B35D81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/>
    <w:sdtContent>
      <w:p w:rsidR="00B35D81" w:rsidRDefault="00B35D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D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35D81" w:rsidRDefault="00B35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81" w:rsidRDefault="00B35D81" w:rsidP="00AD7754">
      <w:pPr>
        <w:spacing w:after="0" w:line="240" w:lineRule="auto"/>
      </w:pPr>
      <w:r>
        <w:separator/>
      </w:r>
    </w:p>
  </w:footnote>
  <w:footnote w:type="continuationSeparator" w:id="0">
    <w:p w:rsidR="00B35D81" w:rsidRDefault="00B35D81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B35D81" w:rsidTr="009437D6">
      <w:tc>
        <w:tcPr>
          <w:tcW w:w="2235" w:type="dxa"/>
        </w:tcPr>
        <w:p w:rsidR="00B35D81" w:rsidRDefault="00B35D81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52ACACC" wp14:editId="65B2CD46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B35D81" w:rsidRDefault="00B35D8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B35D81" w:rsidRDefault="00B35D8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B35D81" w:rsidRPr="009437D6" w:rsidRDefault="00B35D81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7312A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1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 w15:restartNumberingAfterBreak="0">
    <w:nsid w:val="1D63280E"/>
    <w:multiLevelType w:val="hybridMultilevel"/>
    <w:tmpl w:val="29B0B630"/>
    <w:lvl w:ilvl="0" w:tplc="71EE584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370F0"/>
    <w:multiLevelType w:val="hybridMultilevel"/>
    <w:tmpl w:val="3B5A45CE"/>
    <w:lvl w:ilvl="0" w:tplc="746AAB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07208E"/>
    <w:multiLevelType w:val="hybridMultilevel"/>
    <w:tmpl w:val="38A44FCA"/>
    <w:lvl w:ilvl="0" w:tplc="F88E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038A2"/>
    <w:multiLevelType w:val="hybridMultilevel"/>
    <w:tmpl w:val="54B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 w15:restartNumberingAfterBreak="0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 w15:restartNumberingAfterBreak="0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 w15:restartNumberingAfterBreak="0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 w15:restartNumberingAfterBreak="0">
    <w:nsid w:val="444B36C7"/>
    <w:multiLevelType w:val="hybridMultilevel"/>
    <w:tmpl w:val="55F64072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 w15:restartNumberingAfterBreak="0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0B1EBF"/>
    <w:multiLevelType w:val="hybridMultilevel"/>
    <w:tmpl w:val="F8EC2686"/>
    <w:lvl w:ilvl="0" w:tplc="FA0ADA7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3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7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4"/>
  </w:num>
  <w:num w:numId="25">
    <w:abstractNumId w:val="33"/>
  </w:num>
  <w:num w:numId="26">
    <w:abstractNumId w:val="48"/>
  </w:num>
  <w:num w:numId="27">
    <w:abstractNumId w:val="12"/>
  </w:num>
  <w:num w:numId="28">
    <w:abstractNumId w:val="42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5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F5F"/>
    <w:rsid w:val="00032190"/>
    <w:rsid w:val="0003369A"/>
    <w:rsid w:val="000336B3"/>
    <w:rsid w:val="00034147"/>
    <w:rsid w:val="00035DE9"/>
    <w:rsid w:val="0003643D"/>
    <w:rsid w:val="00037CC5"/>
    <w:rsid w:val="00040A73"/>
    <w:rsid w:val="00041418"/>
    <w:rsid w:val="00042141"/>
    <w:rsid w:val="000466F0"/>
    <w:rsid w:val="00046C75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60B33"/>
    <w:rsid w:val="000620C6"/>
    <w:rsid w:val="00062A5E"/>
    <w:rsid w:val="000636E9"/>
    <w:rsid w:val="00064894"/>
    <w:rsid w:val="00064E95"/>
    <w:rsid w:val="0007078E"/>
    <w:rsid w:val="00070F36"/>
    <w:rsid w:val="00071A95"/>
    <w:rsid w:val="00071C66"/>
    <w:rsid w:val="000724D8"/>
    <w:rsid w:val="000735D5"/>
    <w:rsid w:val="000758EC"/>
    <w:rsid w:val="0007688E"/>
    <w:rsid w:val="0007750D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1AC5"/>
    <w:rsid w:val="000B27E1"/>
    <w:rsid w:val="000B53CB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A36"/>
    <w:rsid w:val="000F7637"/>
    <w:rsid w:val="00100A07"/>
    <w:rsid w:val="00102867"/>
    <w:rsid w:val="00103E5D"/>
    <w:rsid w:val="00103EBF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32F2"/>
    <w:rsid w:val="001344E6"/>
    <w:rsid w:val="0013632E"/>
    <w:rsid w:val="00143DB9"/>
    <w:rsid w:val="00143FCB"/>
    <w:rsid w:val="001447DB"/>
    <w:rsid w:val="0014601C"/>
    <w:rsid w:val="00146C10"/>
    <w:rsid w:val="00147887"/>
    <w:rsid w:val="00150DAE"/>
    <w:rsid w:val="0015518F"/>
    <w:rsid w:val="001621B0"/>
    <w:rsid w:val="001622BD"/>
    <w:rsid w:val="001632E7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1D55"/>
    <w:rsid w:val="00194480"/>
    <w:rsid w:val="00194BBF"/>
    <w:rsid w:val="001963D6"/>
    <w:rsid w:val="00196E48"/>
    <w:rsid w:val="001A0120"/>
    <w:rsid w:val="001A1DEC"/>
    <w:rsid w:val="001A2B72"/>
    <w:rsid w:val="001A4771"/>
    <w:rsid w:val="001A4A89"/>
    <w:rsid w:val="001A60DC"/>
    <w:rsid w:val="001A7F26"/>
    <w:rsid w:val="001B0D6D"/>
    <w:rsid w:val="001B1B6E"/>
    <w:rsid w:val="001B24C6"/>
    <w:rsid w:val="001B4227"/>
    <w:rsid w:val="001C223D"/>
    <w:rsid w:val="001C2876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CE"/>
    <w:rsid w:val="001F2459"/>
    <w:rsid w:val="001F404F"/>
    <w:rsid w:val="001F49AA"/>
    <w:rsid w:val="001F60DE"/>
    <w:rsid w:val="0020135E"/>
    <w:rsid w:val="0020402A"/>
    <w:rsid w:val="00204746"/>
    <w:rsid w:val="0020578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4B90"/>
    <w:rsid w:val="00225ECE"/>
    <w:rsid w:val="00226314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43E4"/>
    <w:rsid w:val="002E4CF9"/>
    <w:rsid w:val="002E4D7C"/>
    <w:rsid w:val="002F0073"/>
    <w:rsid w:val="002F0B1A"/>
    <w:rsid w:val="002F18C0"/>
    <w:rsid w:val="002F3E35"/>
    <w:rsid w:val="002F434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104E"/>
    <w:rsid w:val="00322020"/>
    <w:rsid w:val="003221AC"/>
    <w:rsid w:val="00323BCD"/>
    <w:rsid w:val="0032434F"/>
    <w:rsid w:val="00325CA9"/>
    <w:rsid w:val="00325D3D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20E2"/>
    <w:rsid w:val="003428E5"/>
    <w:rsid w:val="00342D15"/>
    <w:rsid w:val="003434FF"/>
    <w:rsid w:val="00343D61"/>
    <w:rsid w:val="00344C46"/>
    <w:rsid w:val="00347E27"/>
    <w:rsid w:val="003507C0"/>
    <w:rsid w:val="00350BC9"/>
    <w:rsid w:val="00351963"/>
    <w:rsid w:val="0035461D"/>
    <w:rsid w:val="00355AB5"/>
    <w:rsid w:val="003565C1"/>
    <w:rsid w:val="00357BF6"/>
    <w:rsid w:val="00361667"/>
    <w:rsid w:val="00361DAB"/>
    <w:rsid w:val="00362211"/>
    <w:rsid w:val="003625A7"/>
    <w:rsid w:val="00364A85"/>
    <w:rsid w:val="00367FE6"/>
    <w:rsid w:val="00371286"/>
    <w:rsid w:val="00371D40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3BCF"/>
    <w:rsid w:val="003A5E6F"/>
    <w:rsid w:val="003A616A"/>
    <w:rsid w:val="003B0E99"/>
    <w:rsid w:val="003B36BC"/>
    <w:rsid w:val="003B57C9"/>
    <w:rsid w:val="003C142A"/>
    <w:rsid w:val="003C2C81"/>
    <w:rsid w:val="003C3345"/>
    <w:rsid w:val="003C46AD"/>
    <w:rsid w:val="003C48ED"/>
    <w:rsid w:val="003C5EFF"/>
    <w:rsid w:val="003C7171"/>
    <w:rsid w:val="003D036B"/>
    <w:rsid w:val="003D0638"/>
    <w:rsid w:val="003D1F95"/>
    <w:rsid w:val="003D2AC7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2D31"/>
    <w:rsid w:val="003F4D8F"/>
    <w:rsid w:val="003F5B49"/>
    <w:rsid w:val="003F7D48"/>
    <w:rsid w:val="00403B75"/>
    <w:rsid w:val="004041A3"/>
    <w:rsid w:val="004046A6"/>
    <w:rsid w:val="004047EC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369F"/>
    <w:rsid w:val="0045524E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5FB"/>
    <w:rsid w:val="00512F59"/>
    <w:rsid w:val="00513436"/>
    <w:rsid w:val="005137DA"/>
    <w:rsid w:val="005146AB"/>
    <w:rsid w:val="00514FE9"/>
    <w:rsid w:val="00516EAD"/>
    <w:rsid w:val="00517648"/>
    <w:rsid w:val="005177F1"/>
    <w:rsid w:val="00520594"/>
    <w:rsid w:val="00520A3C"/>
    <w:rsid w:val="005217AD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79A"/>
    <w:rsid w:val="005419BA"/>
    <w:rsid w:val="00541D3A"/>
    <w:rsid w:val="00543C7D"/>
    <w:rsid w:val="00545573"/>
    <w:rsid w:val="00545712"/>
    <w:rsid w:val="00547746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251"/>
    <w:rsid w:val="00591BC8"/>
    <w:rsid w:val="005936E7"/>
    <w:rsid w:val="00595229"/>
    <w:rsid w:val="005953CD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146AA"/>
    <w:rsid w:val="00615B56"/>
    <w:rsid w:val="0061751F"/>
    <w:rsid w:val="0062000C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DF4"/>
    <w:rsid w:val="00643405"/>
    <w:rsid w:val="0064481F"/>
    <w:rsid w:val="00651958"/>
    <w:rsid w:val="006533D4"/>
    <w:rsid w:val="00653FA4"/>
    <w:rsid w:val="00656669"/>
    <w:rsid w:val="00656E58"/>
    <w:rsid w:val="00657A19"/>
    <w:rsid w:val="00660758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24D"/>
    <w:rsid w:val="006A1A33"/>
    <w:rsid w:val="006A2C8D"/>
    <w:rsid w:val="006A3A88"/>
    <w:rsid w:val="006A4A69"/>
    <w:rsid w:val="006A5769"/>
    <w:rsid w:val="006A59E6"/>
    <w:rsid w:val="006A740E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20C8"/>
    <w:rsid w:val="006D22CE"/>
    <w:rsid w:val="006D338F"/>
    <w:rsid w:val="006D4B1D"/>
    <w:rsid w:val="006D4B54"/>
    <w:rsid w:val="006D5813"/>
    <w:rsid w:val="006D60E4"/>
    <w:rsid w:val="006D732A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EEB"/>
    <w:rsid w:val="00714DCA"/>
    <w:rsid w:val="00715ADF"/>
    <w:rsid w:val="0071630F"/>
    <w:rsid w:val="00717CF6"/>
    <w:rsid w:val="00721F87"/>
    <w:rsid w:val="00722FBC"/>
    <w:rsid w:val="007241FF"/>
    <w:rsid w:val="0072747D"/>
    <w:rsid w:val="00727DC1"/>
    <w:rsid w:val="00730D3B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C7F"/>
    <w:rsid w:val="007835E1"/>
    <w:rsid w:val="007852A1"/>
    <w:rsid w:val="00786D0D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407"/>
    <w:rsid w:val="007B4D1F"/>
    <w:rsid w:val="007B5EB2"/>
    <w:rsid w:val="007B6224"/>
    <w:rsid w:val="007B67C5"/>
    <w:rsid w:val="007B7A62"/>
    <w:rsid w:val="007C0747"/>
    <w:rsid w:val="007C102B"/>
    <w:rsid w:val="007C2973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1E02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632"/>
    <w:rsid w:val="00836CA3"/>
    <w:rsid w:val="00836CD4"/>
    <w:rsid w:val="008373DC"/>
    <w:rsid w:val="00837900"/>
    <w:rsid w:val="008406F4"/>
    <w:rsid w:val="008418AF"/>
    <w:rsid w:val="008424CB"/>
    <w:rsid w:val="00843727"/>
    <w:rsid w:val="00844761"/>
    <w:rsid w:val="008456D7"/>
    <w:rsid w:val="00845B59"/>
    <w:rsid w:val="00846EF8"/>
    <w:rsid w:val="008470F4"/>
    <w:rsid w:val="00851E30"/>
    <w:rsid w:val="008541DE"/>
    <w:rsid w:val="00854D8B"/>
    <w:rsid w:val="00856F20"/>
    <w:rsid w:val="0086113D"/>
    <w:rsid w:val="00861CD9"/>
    <w:rsid w:val="00862F90"/>
    <w:rsid w:val="008634B3"/>
    <w:rsid w:val="008634B9"/>
    <w:rsid w:val="008647BB"/>
    <w:rsid w:val="00864A1B"/>
    <w:rsid w:val="00865E5B"/>
    <w:rsid w:val="00866B20"/>
    <w:rsid w:val="00867311"/>
    <w:rsid w:val="00874172"/>
    <w:rsid w:val="00875F55"/>
    <w:rsid w:val="008777D2"/>
    <w:rsid w:val="008805EA"/>
    <w:rsid w:val="00880FF7"/>
    <w:rsid w:val="008822CA"/>
    <w:rsid w:val="0088245B"/>
    <w:rsid w:val="008824EC"/>
    <w:rsid w:val="00882FCE"/>
    <w:rsid w:val="00884656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7413"/>
    <w:rsid w:val="008B7AEE"/>
    <w:rsid w:val="008C25DE"/>
    <w:rsid w:val="008C27FD"/>
    <w:rsid w:val="008C59D9"/>
    <w:rsid w:val="008C618C"/>
    <w:rsid w:val="008C65AC"/>
    <w:rsid w:val="008D0222"/>
    <w:rsid w:val="008D1FF5"/>
    <w:rsid w:val="008D339E"/>
    <w:rsid w:val="008D3500"/>
    <w:rsid w:val="008D7A53"/>
    <w:rsid w:val="008D7F55"/>
    <w:rsid w:val="008E40C5"/>
    <w:rsid w:val="008E541D"/>
    <w:rsid w:val="008E5EA3"/>
    <w:rsid w:val="008E6C08"/>
    <w:rsid w:val="008E7463"/>
    <w:rsid w:val="008E7C62"/>
    <w:rsid w:val="008F0834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430A"/>
    <w:rsid w:val="00925473"/>
    <w:rsid w:val="00930E54"/>
    <w:rsid w:val="009314CE"/>
    <w:rsid w:val="00932394"/>
    <w:rsid w:val="00932791"/>
    <w:rsid w:val="00933978"/>
    <w:rsid w:val="00935183"/>
    <w:rsid w:val="00936844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7527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2121"/>
    <w:rsid w:val="00A42AA0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FF3"/>
    <w:rsid w:val="00A702B2"/>
    <w:rsid w:val="00A702C3"/>
    <w:rsid w:val="00A716CE"/>
    <w:rsid w:val="00A71A7F"/>
    <w:rsid w:val="00A71B87"/>
    <w:rsid w:val="00A721DF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4C7"/>
    <w:rsid w:val="00AA3132"/>
    <w:rsid w:val="00AA36F9"/>
    <w:rsid w:val="00AA46C2"/>
    <w:rsid w:val="00AA4BD2"/>
    <w:rsid w:val="00AB0218"/>
    <w:rsid w:val="00AB1804"/>
    <w:rsid w:val="00AB20E4"/>
    <w:rsid w:val="00AB2BF4"/>
    <w:rsid w:val="00AB4278"/>
    <w:rsid w:val="00AB44A6"/>
    <w:rsid w:val="00AB5953"/>
    <w:rsid w:val="00AB5E40"/>
    <w:rsid w:val="00AB667E"/>
    <w:rsid w:val="00AB67B8"/>
    <w:rsid w:val="00AB7B2A"/>
    <w:rsid w:val="00AC0DD3"/>
    <w:rsid w:val="00AC3F34"/>
    <w:rsid w:val="00AC401E"/>
    <w:rsid w:val="00AC4789"/>
    <w:rsid w:val="00AC678B"/>
    <w:rsid w:val="00AD04EF"/>
    <w:rsid w:val="00AD0800"/>
    <w:rsid w:val="00AD1830"/>
    <w:rsid w:val="00AD38CB"/>
    <w:rsid w:val="00AD494E"/>
    <w:rsid w:val="00AD5208"/>
    <w:rsid w:val="00AD64FC"/>
    <w:rsid w:val="00AD7754"/>
    <w:rsid w:val="00AE09B0"/>
    <w:rsid w:val="00AE458B"/>
    <w:rsid w:val="00AE55E0"/>
    <w:rsid w:val="00AE7375"/>
    <w:rsid w:val="00AF1FF2"/>
    <w:rsid w:val="00AF4346"/>
    <w:rsid w:val="00AF6284"/>
    <w:rsid w:val="00AF75D3"/>
    <w:rsid w:val="00B005A3"/>
    <w:rsid w:val="00B01F44"/>
    <w:rsid w:val="00B025A4"/>
    <w:rsid w:val="00B0282E"/>
    <w:rsid w:val="00B03A64"/>
    <w:rsid w:val="00B1145C"/>
    <w:rsid w:val="00B116AC"/>
    <w:rsid w:val="00B11D47"/>
    <w:rsid w:val="00B12D8B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5D81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3FBF"/>
    <w:rsid w:val="00B54009"/>
    <w:rsid w:val="00B5487E"/>
    <w:rsid w:val="00B56BEB"/>
    <w:rsid w:val="00B5777F"/>
    <w:rsid w:val="00B57B3B"/>
    <w:rsid w:val="00B57D6A"/>
    <w:rsid w:val="00B60EEB"/>
    <w:rsid w:val="00B635EC"/>
    <w:rsid w:val="00B63905"/>
    <w:rsid w:val="00B6520F"/>
    <w:rsid w:val="00B65932"/>
    <w:rsid w:val="00B65CEB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41FF"/>
    <w:rsid w:val="00BA44E4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CB8"/>
    <w:rsid w:val="00BC7EA8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659"/>
    <w:rsid w:val="00C378BF"/>
    <w:rsid w:val="00C40ACC"/>
    <w:rsid w:val="00C40AEA"/>
    <w:rsid w:val="00C41F18"/>
    <w:rsid w:val="00C425A1"/>
    <w:rsid w:val="00C42E50"/>
    <w:rsid w:val="00C44CE6"/>
    <w:rsid w:val="00C44FBD"/>
    <w:rsid w:val="00C45137"/>
    <w:rsid w:val="00C451BA"/>
    <w:rsid w:val="00C45BFF"/>
    <w:rsid w:val="00C504DF"/>
    <w:rsid w:val="00C509B9"/>
    <w:rsid w:val="00C5315E"/>
    <w:rsid w:val="00C533E2"/>
    <w:rsid w:val="00C535B4"/>
    <w:rsid w:val="00C53DCA"/>
    <w:rsid w:val="00C6011E"/>
    <w:rsid w:val="00C60BCB"/>
    <w:rsid w:val="00C61D31"/>
    <w:rsid w:val="00C621A4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3307"/>
    <w:rsid w:val="00C734AC"/>
    <w:rsid w:val="00C73DCF"/>
    <w:rsid w:val="00C7676D"/>
    <w:rsid w:val="00C76938"/>
    <w:rsid w:val="00C80CA9"/>
    <w:rsid w:val="00C8218B"/>
    <w:rsid w:val="00C821C5"/>
    <w:rsid w:val="00C828F5"/>
    <w:rsid w:val="00C82DFF"/>
    <w:rsid w:val="00C86D09"/>
    <w:rsid w:val="00C878D9"/>
    <w:rsid w:val="00C87F13"/>
    <w:rsid w:val="00C90FFD"/>
    <w:rsid w:val="00C91DFF"/>
    <w:rsid w:val="00C94D54"/>
    <w:rsid w:val="00C96C58"/>
    <w:rsid w:val="00C96C63"/>
    <w:rsid w:val="00C96ED2"/>
    <w:rsid w:val="00C977B6"/>
    <w:rsid w:val="00CA041E"/>
    <w:rsid w:val="00CA08DE"/>
    <w:rsid w:val="00CA2A40"/>
    <w:rsid w:val="00CB44CF"/>
    <w:rsid w:val="00CB4787"/>
    <w:rsid w:val="00CB6062"/>
    <w:rsid w:val="00CB6A6A"/>
    <w:rsid w:val="00CB6D3A"/>
    <w:rsid w:val="00CC0087"/>
    <w:rsid w:val="00CC092F"/>
    <w:rsid w:val="00CC16F1"/>
    <w:rsid w:val="00CC2780"/>
    <w:rsid w:val="00CC37E3"/>
    <w:rsid w:val="00CC3A0E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3C45"/>
    <w:rsid w:val="00CD430E"/>
    <w:rsid w:val="00CD4BBB"/>
    <w:rsid w:val="00CD5BA5"/>
    <w:rsid w:val="00CD6033"/>
    <w:rsid w:val="00CD69C7"/>
    <w:rsid w:val="00CE0167"/>
    <w:rsid w:val="00CE11BD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F53"/>
    <w:rsid w:val="00D3494F"/>
    <w:rsid w:val="00D34AA8"/>
    <w:rsid w:val="00D41F8B"/>
    <w:rsid w:val="00D42F64"/>
    <w:rsid w:val="00D4300D"/>
    <w:rsid w:val="00D437E4"/>
    <w:rsid w:val="00D446B0"/>
    <w:rsid w:val="00D479CD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2D64"/>
    <w:rsid w:val="00D83BDC"/>
    <w:rsid w:val="00D85B5B"/>
    <w:rsid w:val="00D86DB7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14F2"/>
    <w:rsid w:val="00DB3BB3"/>
    <w:rsid w:val="00DC00C7"/>
    <w:rsid w:val="00DC19E5"/>
    <w:rsid w:val="00DC2F6A"/>
    <w:rsid w:val="00DC440B"/>
    <w:rsid w:val="00DC4A50"/>
    <w:rsid w:val="00DC5AC7"/>
    <w:rsid w:val="00DC63D4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E023A3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7CA4"/>
    <w:rsid w:val="00E31CB4"/>
    <w:rsid w:val="00E324D0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EE4"/>
    <w:rsid w:val="00E47028"/>
    <w:rsid w:val="00E471E7"/>
    <w:rsid w:val="00E4772C"/>
    <w:rsid w:val="00E54A60"/>
    <w:rsid w:val="00E54CED"/>
    <w:rsid w:val="00E54D50"/>
    <w:rsid w:val="00E566ED"/>
    <w:rsid w:val="00E57684"/>
    <w:rsid w:val="00E607A9"/>
    <w:rsid w:val="00E628B9"/>
    <w:rsid w:val="00E62D3B"/>
    <w:rsid w:val="00E62F32"/>
    <w:rsid w:val="00E63E04"/>
    <w:rsid w:val="00E64203"/>
    <w:rsid w:val="00E6780F"/>
    <w:rsid w:val="00E712C1"/>
    <w:rsid w:val="00E713D3"/>
    <w:rsid w:val="00E72C73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79A1"/>
    <w:rsid w:val="00EC175C"/>
    <w:rsid w:val="00EC2BDC"/>
    <w:rsid w:val="00EC47F9"/>
    <w:rsid w:val="00EC511C"/>
    <w:rsid w:val="00EC5F06"/>
    <w:rsid w:val="00EC6303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726"/>
    <w:rsid w:val="00EF0936"/>
    <w:rsid w:val="00EF23FD"/>
    <w:rsid w:val="00EF376A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65C2"/>
    <w:rsid w:val="00F17D61"/>
    <w:rsid w:val="00F216EC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57BE"/>
    <w:rsid w:val="00F65AC2"/>
    <w:rsid w:val="00F6638F"/>
    <w:rsid w:val="00F663ED"/>
    <w:rsid w:val="00F7026D"/>
    <w:rsid w:val="00F70972"/>
    <w:rsid w:val="00F72337"/>
    <w:rsid w:val="00F7248E"/>
    <w:rsid w:val="00F73728"/>
    <w:rsid w:val="00F73DC7"/>
    <w:rsid w:val="00F74E78"/>
    <w:rsid w:val="00F75F96"/>
    <w:rsid w:val="00F770E3"/>
    <w:rsid w:val="00F7731E"/>
    <w:rsid w:val="00F805A5"/>
    <w:rsid w:val="00F831BF"/>
    <w:rsid w:val="00F84161"/>
    <w:rsid w:val="00F84946"/>
    <w:rsid w:val="00F84DB7"/>
    <w:rsid w:val="00F8519F"/>
    <w:rsid w:val="00F8551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710"/>
    <w:rsid w:val="00FC0F9A"/>
    <w:rsid w:val="00FC16E3"/>
    <w:rsid w:val="00FC3C77"/>
    <w:rsid w:val="00FC490A"/>
    <w:rsid w:val="00FC4ADB"/>
    <w:rsid w:val="00FD0E52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gpowernews.ru/research/docs/document101698.p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.samruk.energy\&#1044;&#1056;&#1056;\&#1054;&#1090;&#1095;&#1077;&#1090;&#1099;%20&#1080;%20&#1087;&#1083;&#1072;&#1085;&#1099;\0.%20&#1054;&#1058;&#1063;&#1045;&#1058;%20&#1077;&#1078;&#1077;&#1084;&#1077;&#1089;&#1103;&#1095;&#1085;&#1086;%20&#1044;&#1056;&#1056;\2022&#1075;\&#1103;&#1085;&#1074;&#1072;&#1088;&#1100;\&#1057;&#1072;&#1084;&#1072;&#1083;\2.%20&#1042;&#1099;&#1088;&#1072;&#1073;&#1086;&#1090;&#1082;&#1072;%20&#1069;&#1069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2;&#1054;&#1049;%20&#1044;&#1054;&#1050;&#1059;&#1052;&#1045;&#1053;&#1058;&#1067;_&#1048;&#1056;&#1048;&#1053;&#1040;\&#1086;&#1090;&#1095;&#1077;&#1090;2022\&#1092;&#1077;&#1074;&#1088;&#1072;&#1083;&#1100;%202022\&#1101;&#1082;&#1089;&#1087;&#1077;&#1088;&#1089;&#1089;&#1082;&#1072;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'Свод '!$T$7</c:f>
              <c:strCache>
                <c:ptCount val="1"/>
                <c:pt idx="0">
                  <c:v>2022г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cap="none" spc="0" baseline="0">
                    <a:ln w="0">
                      <a:solidFill>
                        <a:schemeClr val="tx1"/>
                      </a:solidFill>
                    </a:ln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'Свод '!$T$8:$T$13</c:f>
              <c:numCache>
                <c:formatCode>0.0%</c:formatCode>
                <c:ptCount val="6"/>
                <c:pt idx="0">
                  <c:v>0.17499999999999999</c:v>
                </c:pt>
                <c:pt idx="1">
                  <c:v>0.05</c:v>
                </c:pt>
                <c:pt idx="2">
                  <c:v>5.7000000000000002E-2</c:v>
                </c:pt>
                <c:pt idx="3">
                  <c:v>5.2999999999999999E-2</c:v>
                </c:pt>
                <c:pt idx="4">
                  <c:v>0.311</c:v>
                </c:pt>
                <c:pt idx="5">
                  <c:v>0.35399999999999998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500082759925293E-2"/>
          <c:y val="2.8479242911537528E-2"/>
          <c:w val="0.96988727128533392"/>
          <c:h val="0.927174300395549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9.6349147692278529E-3"/>
                  <c:y val="-1.4786884033862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08929569724364E-3"/>
                  <c:y val="-1.4786884033862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0817154173418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1225731260128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1377336858165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21440545635115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1942446043165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168054805423938E-3"/>
                  <c:y val="-3.75586854460094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21680548054239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2097937216332097E-3"/>
                  <c:y val="-1.4786884033862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2185110435202824E-3"/>
                  <c:y val="-2.9573768067724146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21680548054239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7.20979372163320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3312761580478116E-3"/>
                  <c:y val="-5.2597242246127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1937669953417988E-2"/>
                  <c:y val="5.632324128498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7.215007215007221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799589141111448E-3"/>
                  <c:y val="4.2959864614135411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3">
                  <c:v>Мангистауская</c:v>
                </c:pt>
                <c:pt idx="4">
                  <c:v>г. Нур-Султан</c:v>
                </c:pt>
                <c:pt idx="5">
                  <c:v>Акмолинская</c:v>
                </c:pt>
                <c:pt idx="6">
                  <c:v>Западно-Казахстанская</c:v>
                </c:pt>
                <c:pt idx="7">
                  <c:v>г. Шымкент</c:v>
                </c:pt>
                <c:pt idx="8">
                  <c:v>Восточно-Казахстанская</c:v>
                </c:pt>
                <c:pt idx="9">
                  <c:v>Костанайская</c:v>
                </c:pt>
                <c:pt idx="10">
                  <c:v>Северо-Казахстанская</c:v>
                </c:pt>
                <c:pt idx="11">
                  <c:v>г. Алматы</c:v>
                </c:pt>
                <c:pt idx="12">
                  <c:v>Алматинская</c:v>
                </c:pt>
                <c:pt idx="13">
                  <c:v>Туркестанская</c:v>
                </c:pt>
                <c:pt idx="14">
                  <c:v>Жамбылская</c:v>
                </c:pt>
                <c:pt idx="15">
                  <c:v>Карагандинская</c:v>
                </c:pt>
                <c:pt idx="16">
                  <c:v>Атырауская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-7.9000000000000083</c:v>
                </c:pt>
                <c:pt idx="1">
                  <c:v>-5.7999999999999972</c:v>
                </c:pt>
                <c:pt idx="2">
                  <c:v>-1</c:v>
                </c:pt>
                <c:pt idx="3">
                  <c:v>1.0999999999999917</c:v>
                </c:pt>
                <c:pt idx="4">
                  <c:v>1.5</c:v>
                </c:pt>
                <c:pt idx="5">
                  <c:v>1.5999999999999917</c:v>
                </c:pt>
                <c:pt idx="6">
                  <c:v>1.7000000000000031</c:v>
                </c:pt>
                <c:pt idx="7">
                  <c:v>1.7999999999999943</c:v>
                </c:pt>
                <c:pt idx="8">
                  <c:v>2.2999999999999972</c:v>
                </c:pt>
                <c:pt idx="9">
                  <c:v>2.5</c:v>
                </c:pt>
                <c:pt idx="10">
                  <c:v>3.0999999999999943</c:v>
                </c:pt>
                <c:pt idx="11">
                  <c:v>3.9000000000000057</c:v>
                </c:pt>
                <c:pt idx="12">
                  <c:v>5.0999999999999943</c:v>
                </c:pt>
                <c:pt idx="13">
                  <c:v>5.4000000000000083</c:v>
                </c:pt>
                <c:pt idx="14">
                  <c:v>5.5999999999999943</c:v>
                </c:pt>
                <c:pt idx="15">
                  <c:v>6.5</c:v>
                </c:pt>
                <c:pt idx="1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810048"/>
        <c:axId val="-11817664"/>
      </c:barChart>
      <c:catAx>
        <c:axId val="-11810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11817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817664"/>
        <c:scaling>
          <c:orientation val="minMax"/>
          <c:max val="17"/>
          <c:min val="-10"/>
        </c:scaling>
        <c:delete val="0"/>
        <c:axPos val="b"/>
        <c:numFmt formatCode="0.0" sourceLinked="1"/>
        <c:majorTickMark val="out"/>
        <c:minorTickMark val="none"/>
        <c:tickLblPos val="none"/>
        <c:crossAx val="-11810048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0.75101</cdr:x>
      <cdr:y>0.45402</cdr:y>
    </cdr:from>
    <cdr:to>
      <cdr:x>0.85542</cdr:x>
      <cdr:y>0.51973</cdr:y>
    </cdr:to>
    <cdr:pic>
      <cdr:nvPicPr>
        <cdr:cNvPr id="2" name="Picture 12" descr="KUS - Kazakhstan Utility Systems Astana city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92D201B6-1363-C543-BEB7-3DB33C658EE7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r="34655"/>
        <a:stretch xmlns:a="http://schemas.openxmlformats.org/drawingml/2006/main"/>
      </cdr:blipFill>
      <cdr:spPr bwMode="auto">
        <a:xfrm xmlns:a="http://schemas.openxmlformats.org/drawingml/2006/main">
          <a:off x="4156098" y="1504950"/>
          <a:ext cx="577827" cy="217799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0.58348</cdr:x>
      <cdr:y>0.83333</cdr:y>
    </cdr:from>
    <cdr:to>
      <cdr:x>0.70224</cdr:x>
      <cdr:y>0.98563</cdr:y>
    </cdr:to>
    <cdr:pic>
      <cdr:nvPicPr>
        <cdr:cNvPr id="3" name="Picture 4" descr="Алматинский университет энергетики и связи имени Гумарбека Даукеева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B43B8F4F-160D-9340-80CD-EA31CFDD604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0297" t="1" r="23222" b="-8459"/>
        <a:stretch xmlns:a="http://schemas.openxmlformats.org/drawingml/2006/main"/>
      </cdr:blipFill>
      <cdr:spPr bwMode="auto">
        <a:xfrm xmlns:a="http://schemas.openxmlformats.org/drawingml/2006/main">
          <a:off x="3228975" y="2762250"/>
          <a:ext cx="657225" cy="50482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0.72691</cdr:x>
      <cdr:y>0.32759</cdr:y>
    </cdr:from>
    <cdr:to>
      <cdr:x>0.86575</cdr:x>
      <cdr:y>0.41947</cdr:y>
    </cdr:to>
    <cdr:pic>
      <cdr:nvPicPr>
        <cdr:cNvPr id="4" name="Picture 8" descr="ТОО «KAZAKHMYS ENERGY» (КАЗАХМЫС ЭНЕРДЖИ)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816320A2-6D9C-4540-9F63-D90AF8582A2D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022737" y="1085850"/>
          <a:ext cx="768337" cy="304568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/>
      </cdr:spPr>
    </cdr:pic>
  </cdr:relSizeAnchor>
  <cdr:relSizeAnchor xmlns:cdr="http://schemas.openxmlformats.org/drawingml/2006/chartDrawing">
    <cdr:from>
      <cdr:x>0.62053</cdr:x>
      <cdr:y>0.03831</cdr:y>
    </cdr:from>
    <cdr:to>
      <cdr:x>0.74618</cdr:x>
      <cdr:y>0.20785</cdr:y>
    </cdr:to>
    <cdr:pic>
      <cdr:nvPicPr>
        <cdr:cNvPr id="5" name="Picture 6" descr="Eurasian Resources Group - Crunchbase Company Profile &amp;amp; Funding">
          <a:extLst xmlns:a="http://schemas.openxmlformats.org/drawingml/2006/main">
            <a:ext uri="{FF2B5EF4-FFF2-40B4-BE49-F238E27FC236}">
              <a16:creationId xmlns:a16="http://schemas.microsoft.com/office/drawing/2014/main" xmlns:p="http://schemas.openxmlformats.org/presentationml/2006/main" xmlns:r="http://schemas.openxmlformats.org/officeDocument/2006/relationships" xmlns="" xmlns:lc="http://schemas.openxmlformats.org/drawingml/2006/lockedCanvas" id="{E5847ABE-ADAF-F545-8315-9D3A51947DB5}"/>
            </a:ext>
          </a:extLst>
        </cdr:cNvPr>
        <cdr:cNvPicPr/>
      </cdr:nvPicPr>
      <cdr:blipFill rotWithShape="1"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4182" t="28450" r="23898" b="29587"/>
        <a:stretch xmlns:a="http://schemas.openxmlformats.org/drawingml/2006/main"/>
      </cdr:blipFill>
      <cdr:spPr bwMode="auto">
        <a:xfrm xmlns:a="http://schemas.openxmlformats.org/drawingml/2006/main">
          <a:off x="3434029" y="126986"/>
          <a:ext cx="695350" cy="5619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53640926-AAD7-44D8-BBD7-CCE9431645EC}">
            <a14:shadowObscured xmlns:a14="http://schemas.microsoft.com/office/drawing/2010/main"/>
          </a:ext>
        </a:extLst>
      </cdr:spPr>
    </cdr:pic>
  </cdr:relSizeAnchor>
  <cdr:relSizeAnchor xmlns:cdr="http://schemas.openxmlformats.org/drawingml/2006/chartDrawing">
    <cdr:from>
      <cdr:x>0.7172</cdr:x>
      <cdr:y>0.52364</cdr:y>
    </cdr:from>
    <cdr:to>
      <cdr:x>0.82696</cdr:x>
      <cdr:y>0.7069</cdr:y>
    </cdr:to>
    <cdr:pic>
      <cdr:nvPicPr>
        <cdr:cNvPr id="6" name="Picture 10" descr="Завод Инвольт">
          <a:extLst xmlns:a="http://schemas.openxmlformats.org/drawingml/2006/main">
            <a:ext uri="{FF2B5EF4-FFF2-40B4-BE49-F238E27FC236}">
              <a16:creationId xmlns="" xmlns:r="http://schemas.openxmlformats.org/officeDocument/2006/relationships" xmlns:p="http://schemas.openxmlformats.org/presentationml/2006/main" xmlns:a16="http://schemas.microsoft.com/office/drawing/2014/main" xmlns:lc="http://schemas.openxmlformats.org/drawingml/2006/lockedCanvas" id="{924B812B-6FA0-1140-8270-38295DF19777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5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69003" y="1735710"/>
          <a:ext cx="607422" cy="607440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0.38615</cdr:x>
      <cdr:y>0.84683</cdr:y>
    </cdr:from>
    <cdr:to>
      <cdr:x>0.58583</cdr:x>
      <cdr:y>0.89069</cdr:y>
    </cdr:to>
    <cdr:sp macro="" textlink="">
      <cdr:nvSpPr>
        <cdr:cNvPr id="1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41339" y="2863444"/>
          <a:ext cx="1055584" cy="1483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Кызылординская</a:t>
          </a:r>
        </a:p>
      </cdr:txBody>
    </cdr:sp>
  </cdr:relSizeAnchor>
  <cdr:relSizeAnchor xmlns:cdr="http://schemas.openxmlformats.org/drawingml/2006/chartDrawing">
    <cdr:from>
      <cdr:x>0.38502</cdr:x>
      <cdr:y>0.89965</cdr:y>
    </cdr:from>
    <cdr:to>
      <cdr:x>0.60501</cdr:x>
      <cdr:y>0.95247</cdr:y>
    </cdr:to>
    <cdr:sp macro="" textlink="">
      <cdr:nvSpPr>
        <cdr:cNvPr id="11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35346" y="3042054"/>
          <a:ext cx="1162950" cy="178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Актюбинская</a:t>
          </a:r>
        </a:p>
      </cdr:txBody>
    </cdr:sp>
  </cdr:relSizeAnchor>
  <cdr:relSizeAnchor xmlns:cdr="http://schemas.openxmlformats.org/drawingml/2006/chartDrawing">
    <cdr:from>
      <cdr:x>0.38739</cdr:x>
      <cdr:y>0.79049</cdr:y>
    </cdr:from>
    <cdr:to>
      <cdr:x>0.58707</cdr:x>
      <cdr:y>0.83435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47875" y="2672953"/>
          <a:ext cx="1055584" cy="1483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Павлодарская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B496-94A0-4DD3-9965-D59BCC64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Амирбек Айнур</cp:lastModifiedBy>
  <cp:revision>5</cp:revision>
  <cp:lastPrinted>2021-02-16T04:18:00Z</cp:lastPrinted>
  <dcterms:created xsi:type="dcterms:W3CDTF">2022-03-29T10:55:00Z</dcterms:created>
  <dcterms:modified xsi:type="dcterms:W3CDTF">2022-03-30T03:36:00Z</dcterms:modified>
</cp:coreProperties>
</file>