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B0140" w:rsidRDefault="000C3143" w:rsidP="00BE0F2B">
      <w:pPr>
        <w:tabs>
          <w:tab w:val="left" w:pos="0"/>
        </w:tabs>
        <w:spacing w:after="0" w:line="240" w:lineRule="auto"/>
        <w:jc w:val="center"/>
        <w:rPr>
          <w:rFonts w:ascii="Times New Roman" w:hAnsi="Times New Roman" w:cs="Times New Roman"/>
          <w:b/>
          <w:sz w:val="28"/>
          <w:lang w:val="en-US"/>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583E36" w:rsidP="00BE0F2B">
      <w:pPr>
        <w:tabs>
          <w:tab w:val="left" w:pos="0"/>
        </w:tabs>
        <w:spacing w:after="0" w:line="240" w:lineRule="auto"/>
        <w:jc w:val="center"/>
        <w:rPr>
          <w:rFonts w:ascii="Times New Roman" w:hAnsi="Times New Roman" w:cs="Times New Roman"/>
          <w:b/>
          <w:sz w:val="28"/>
        </w:rPr>
      </w:pPr>
      <w:r w:rsidRPr="00FB0140">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r w:rsidRPr="00FB0140">
        <w:rPr>
          <w:rFonts w:ascii="Times New Roman" w:hAnsi="Times New Roman" w:cs="Times New Roman"/>
          <w:b/>
          <w:sz w:val="28"/>
        </w:rPr>
        <w:t xml:space="preserve">ОТЧЕТ </w:t>
      </w: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r w:rsidRPr="00FB0140">
        <w:rPr>
          <w:rFonts w:ascii="Times New Roman" w:hAnsi="Times New Roman" w:cs="Times New Roman"/>
          <w:b/>
          <w:sz w:val="28"/>
        </w:rPr>
        <w:t xml:space="preserve">АНАЛИЗ РЫНКА ЭЛЕКТРОЭНЕРГИИ </w:t>
      </w:r>
      <w:r w:rsidR="00273897" w:rsidRPr="00FB0140">
        <w:rPr>
          <w:rFonts w:ascii="Times New Roman" w:hAnsi="Times New Roman" w:cs="Times New Roman"/>
          <w:b/>
          <w:sz w:val="28"/>
        </w:rPr>
        <w:t xml:space="preserve">И УГЛЯ </w:t>
      </w:r>
      <w:r w:rsidRPr="00FB0140">
        <w:rPr>
          <w:rFonts w:ascii="Times New Roman" w:hAnsi="Times New Roman" w:cs="Times New Roman"/>
          <w:b/>
          <w:sz w:val="28"/>
        </w:rPr>
        <w:t>КАЗАХСТАНА</w:t>
      </w:r>
    </w:p>
    <w:p w:rsidR="000C3143" w:rsidRPr="00FB0140" w:rsidRDefault="007943E5" w:rsidP="00BE0F2B">
      <w:pPr>
        <w:tabs>
          <w:tab w:val="left" w:pos="0"/>
        </w:tabs>
        <w:spacing w:after="0" w:line="240" w:lineRule="auto"/>
        <w:jc w:val="center"/>
        <w:rPr>
          <w:rFonts w:ascii="Times New Roman" w:hAnsi="Times New Roman" w:cs="Times New Roman"/>
          <w:b/>
          <w:sz w:val="28"/>
        </w:rPr>
      </w:pPr>
      <w:r w:rsidRPr="00FB0140">
        <w:rPr>
          <w:rFonts w:ascii="Times New Roman" w:hAnsi="Times New Roman" w:cs="Times New Roman"/>
          <w:b/>
          <w:sz w:val="28"/>
        </w:rPr>
        <w:t>ЯНВАРЬ-</w:t>
      </w:r>
      <w:r w:rsidR="00F02413" w:rsidRPr="00FB0140">
        <w:rPr>
          <w:rFonts w:ascii="Times New Roman" w:hAnsi="Times New Roman" w:cs="Times New Roman"/>
          <w:b/>
          <w:sz w:val="28"/>
        </w:rPr>
        <w:t>АВГУСТ</w:t>
      </w:r>
      <w:r w:rsidR="00C70E44" w:rsidRPr="00FB0140">
        <w:rPr>
          <w:rFonts w:ascii="Times New Roman" w:hAnsi="Times New Roman" w:cs="Times New Roman"/>
          <w:b/>
          <w:sz w:val="28"/>
        </w:rPr>
        <w:t xml:space="preserve"> </w:t>
      </w:r>
      <w:r w:rsidRPr="00FB0140">
        <w:rPr>
          <w:rFonts w:ascii="Times New Roman" w:hAnsi="Times New Roman" w:cs="Times New Roman"/>
          <w:b/>
          <w:sz w:val="28"/>
        </w:rPr>
        <w:t>2020 ГОДА</w:t>
      </w: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r w:rsidRPr="00FB0140">
        <w:rPr>
          <w:rFonts w:ascii="Times New Roman" w:hAnsi="Times New Roman" w:cs="Times New Roman"/>
          <w:b/>
          <w:sz w:val="28"/>
        </w:rPr>
        <w:t>ДЕПАРТАМЕНТ «РАЗВИТИЕ РЫНКА»</w:t>
      </w: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7943E5" w:rsidRPr="00FB0140" w:rsidRDefault="007943E5" w:rsidP="00BE0F2B">
      <w:pPr>
        <w:tabs>
          <w:tab w:val="left" w:pos="0"/>
        </w:tabs>
        <w:spacing w:after="0" w:line="240" w:lineRule="auto"/>
        <w:jc w:val="center"/>
        <w:rPr>
          <w:rFonts w:ascii="Times New Roman" w:hAnsi="Times New Roman" w:cs="Times New Roman"/>
          <w:b/>
          <w:sz w:val="28"/>
        </w:rPr>
      </w:pPr>
    </w:p>
    <w:p w:rsidR="007943E5" w:rsidRPr="00FB0140" w:rsidRDefault="007943E5" w:rsidP="00BE0F2B">
      <w:pPr>
        <w:tabs>
          <w:tab w:val="left" w:pos="0"/>
        </w:tabs>
        <w:spacing w:after="0" w:line="240" w:lineRule="auto"/>
        <w:jc w:val="center"/>
        <w:rPr>
          <w:rFonts w:ascii="Times New Roman" w:hAnsi="Times New Roman" w:cs="Times New Roman"/>
          <w:b/>
          <w:sz w:val="28"/>
        </w:rPr>
      </w:pPr>
    </w:p>
    <w:p w:rsidR="007943E5" w:rsidRPr="00FB0140" w:rsidRDefault="007943E5" w:rsidP="00BE0F2B">
      <w:pPr>
        <w:tabs>
          <w:tab w:val="left" w:pos="0"/>
        </w:tabs>
        <w:spacing w:after="0" w:line="240" w:lineRule="auto"/>
        <w:jc w:val="center"/>
        <w:rPr>
          <w:rFonts w:ascii="Times New Roman" w:hAnsi="Times New Roman" w:cs="Times New Roman"/>
          <w:b/>
          <w:sz w:val="28"/>
        </w:rPr>
      </w:pPr>
    </w:p>
    <w:p w:rsidR="007943E5" w:rsidRPr="00FB0140" w:rsidRDefault="007943E5" w:rsidP="00BE0F2B">
      <w:pPr>
        <w:tabs>
          <w:tab w:val="left" w:pos="0"/>
        </w:tabs>
        <w:spacing w:after="0" w:line="240" w:lineRule="auto"/>
        <w:jc w:val="center"/>
        <w:rPr>
          <w:rFonts w:ascii="Times New Roman" w:hAnsi="Times New Roman" w:cs="Times New Roman"/>
          <w:b/>
          <w:sz w:val="28"/>
        </w:rPr>
      </w:pPr>
    </w:p>
    <w:p w:rsidR="00984FBA" w:rsidRPr="00FB0140" w:rsidRDefault="00984FBA" w:rsidP="00BE0F2B">
      <w:pPr>
        <w:tabs>
          <w:tab w:val="left" w:pos="0"/>
        </w:tabs>
        <w:spacing w:after="0" w:line="240" w:lineRule="auto"/>
        <w:jc w:val="center"/>
        <w:rPr>
          <w:rFonts w:ascii="Times New Roman" w:hAnsi="Times New Roman" w:cs="Times New Roman"/>
          <w:b/>
          <w:sz w:val="28"/>
        </w:rPr>
      </w:pPr>
    </w:p>
    <w:p w:rsidR="000C3143" w:rsidRPr="00FB0140" w:rsidRDefault="000C3143" w:rsidP="00BE0F2B">
      <w:pPr>
        <w:tabs>
          <w:tab w:val="left" w:pos="0"/>
        </w:tabs>
        <w:spacing w:after="0" w:line="240" w:lineRule="auto"/>
        <w:jc w:val="center"/>
        <w:rPr>
          <w:rFonts w:ascii="Times New Roman" w:hAnsi="Times New Roman" w:cs="Times New Roman"/>
          <w:b/>
          <w:sz w:val="28"/>
        </w:rPr>
      </w:pPr>
    </w:p>
    <w:p w:rsidR="00512A3A" w:rsidRPr="00FB0140" w:rsidRDefault="00F02413" w:rsidP="00BE0F2B">
      <w:pPr>
        <w:tabs>
          <w:tab w:val="left" w:pos="0"/>
        </w:tabs>
        <w:spacing w:after="0" w:line="240" w:lineRule="auto"/>
        <w:jc w:val="center"/>
        <w:rPr>
          <w:rFonts w:ascii="Times New Roman" w:hAnsi="Times New Roman" w:cs="Times New Roman"/>
          <w:b/>
          <w:sz w:val="28"/>
        </w:rPr>
      </w:pPr>
      <w:r w:rsidRPr="00FB0140">
        <w:rPr>
          <w:rFonts w:ascii="Times New Roman" w:hAnsi="Times New Roman" w:cs="Times New Roman"/>
          <w:b/>
          <w:sz w:val="28"/>
        </w:rPr>
        <w:t xml:space="preserve">Октябрь, </w:t>
      </w:r>
      <w:r w:rsidR="00512A3A" w:rsidRPr="00FB0140">
        <w:rPr>
          <w:rFonts w:ascii="Times New Roman" w:hAnsi="Times New Roman" w:cs="Times New Roman"/>
          <w:b/>
          <w:sz w:val="28"/>
        </w:rPr>
        <w:t>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FB0140" w:rsidRDefault="00545712" w:rsidP="00BE0F2B">
          <w:pPr>
            <w:pStyle w:val="afb"/>
            <w:tabs>
              <w:tab w:val="left" w:pos="0"/>
            </w:tabs>
            <w:spacing w:before="0" w:line="240" w:lineRule="auto"/>
            <w:rPr>
              <w:rFonts w:ascii="Times New Roman" w:hAnsi="Times New Roman" w:cs="Times New Roman"/>
              <w:color w:val="auto"/>
            </w:rPr>
          </w:pPr>
          <w:r w:rsidRPr="00FB0140">
            <w:rPr>
              <w:rFonts w:ascii="Times New Roman" w:hAnsi="Times New Roman" w:cs="Times New Roman"/>
              <w:color w:val="auto"/>
            </w:rPr>
            <w:t>Оглавление</w:t>
          </w:r>
        </w:p>
        <w:p w:rsidR="007E04CE" w:rsidRPr="00FB0140" w:rsidRDefault="00562751" w:rsidP="00BE0F2B">
          <w:pPr>
            <w:pStyle w:val="11"/>
            <w:tabs>
              <w:tab w:val="left" w:pos="0"/>
            </w:tabs>
            <w:spacing w:before="0"/>
            <w:rPr>
              <w:sz w:val="22"/>
              <w:szCs w:val="22"/>
              <w:lang w:eastAsia="ru-RU"/>
            </w:rPr>
          </w:pPr>
          <w:r w:rsidRPr="00FB0140">
            <w:fldChar w:fldCharType="begin"/>
          </w:r>
          <w:r w:rsidR="00545712" w:rsidRPr="00FB0140">
            <w:instrText xml:space="preserve"> TOC \o "1-3" \h \z \u </w:instrText>
          </w:r>
          <w:r w:rsidRPr="00FB0140">
            <w:fldChar w:fldCharType="separate"/>
          </w:r>
          <w:hyperlink w:anchor="_Toc34079808" w:history="1">
            <w:r w:rsidR="007E04CE" w:rsidRPr="00FB0140">
              <w:rPr>
                <w:rStyle w:val="aa"/>
                <w:b/>
              </w:rPr>
              <w:t xml:space="preserve">РАЗДЕЛ </w:t>
            </w:r>
            <w:r w:rsidR="007E04CE" w:rsidRPr="00FB0140">
              <w:rPr>
                <w:rStyle w:val="aa"/>
                <w:b/>
                <w:lang w:val="en-US"/>
              </w:rPr>
              <w:t>I</w:t>
            </w:r>
            <w:r w:rsidR="007E04CE" w:rsidRPr="00FB0140">
              <w:rPr>
                <w:webHidden/>
              </w:rPr>
              <w:tab/>
            </w:r>
            <w:r w:rsidR="007E04CE" w:rsidRPr="00FB0140">
              <w:rPr>
                <w:webHidden/>
              </w:rPr>
              <w:fldChar w:fldCharType="begin"/>
            </w:r>
            <w:r w:rsidR="007E04CE" w:rsidRPr="00FB0140">
              <w:rPr>
                <w:webHidden/>
              </w:rPr>
              <w:instrText xml:space="preserve"> PAGEREF _Toc34079808 \h </w:instrText>
            </w:r>
            <w:r w:rsidR="007E04CE" w:rsidRPr="00FB0140">
              <w:rPr>
                <w:webHidden/>
              </w:rPr>
            </w:r>
            <w:r w:rsidR="007E04CE" w:rsidRPr="00FB0140">
              <w:rPr>
                <w:webHidden/>
              </w:rPr>
              <w:fldChar w:fldCharType="separate"/>
            </w:r>
            <w:r w:rsidR="007E04CE" w:rsidRPr="00FB0140">
              <w:rPr>
                <w:webHidden/>
              </w:rPr>
              <w:t>5</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09" w:history="1">
            <w:r w:rsidR="007E04CE" w:rsidRPr="00FB0140">
              <w:rPr>
                <w:rStyle w:val="aa"/>
                <w:b/>
              </w:rPr>
              <w:t>1.</w:t>
            </w:r>
            <w:r w:rsidR="007E04CE" w:rsidRPr="00FB0140">
              <w:rPr>
                <w:sz w:val="22"/>
                <w:szCs w:val="22"/>
                <w:lang w:eastAsia="ru-RU"/>
              </w:rPr>
              <w:tab/>
            </w:r>
            <w:r w:rsidR="007E04CE" w:rsidRPr="00FB0140">
              <w:rPr>
                <w:rStyle w:val="aa"/>
                <w:b/>
              </w:rPr>
              <w:t>Производство электрической энергии в ЕЭС Казахстана</w:t>
            </w:r>
            <w:r w:rsidR="007E04CE" w:rsidRPr="00FB0140">
              <w:rPr>
                <w:webHidden/>
              </w:rPr>
              <w:tab/>
            </w:r>
            <w:r w:rsidR="007E04CE" w:rsidRPr="00FB0140">
              <w:rPr>
                <w:webHidden/>
              </w:rPr>
              <w:fldChar w:fldCharType="begin"/>
            </w:r>
            <w:r w:rsidR="007E04CE" w:rsidRPr="00FB0140">
              <w:rPr>
                <w:webHidden/>
              </w:rPr>
              <w:instrText xml:space="preserve"> PAGEREF _Toc34079809 \h </w:instrText>
            </w:r>
            <w:r w:rsidR="007E04CE" w:rsidRPr="00FB0140">
              <w:rPr>
                <w:webHidden/>
              </w:rPr>
            </w:r>
            <w:r w:rsidR="007E04CE" w:rsidRPr="00FB0140">
              <w:rPr>
                <w:webHidden/>
              </w:rPr>
              <w:fldChar w:fldCharType="separate"/>
            </w:r>
            <w:r w:rsidR="007E04CE" w:rsidRPr="00FB0140">
              <w:rPr>
                <w:webHidden/>
              </w:rPr>
              <w:t>5</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0" w:history="1">
            <w:r w:rsidR="007E04CE" w:rsidRPr="00FB0140">
              <w:rPr>
                <w:rStyle w:val="aa"/>
                <w:i/>
              </w:rPr>
              <w:t>Производство электроэнергии по областям РК</w:t>
            </w:r>
            <w:r w:rsidR="007E04CE" w:rsidRPr="00FB0140">
              <w:rPr>
                <w:webHidden/>
              </w:rPr>
              <w:tab/>
            </w:r>
            <w:r w:rsidR="007E04CE" w:rsidRPr="00FB0140">
              <w:rPr>
                <w:webHidden/>
              </w:rPr>
              <w:fldChar w:fldCharType="begin"/>
            </w:r>
            <w:r w:rsidR="007E04CE" w:rsidRPr="00FB0140">
              <w:rPr>
                <w:webHidden/>
              </w:rPr>
              <w:instrText xml:space="preserve"> PAGEREF _Toc34079810 \h </w:instrText>
            </w:r>
            <w:r w:rsidR="007E04CE" w:rsidRPr="00FB0140">
              <w:rPr>
                <w:webHidden/>
              </w:rPr>
            </w:r>
            <w:r w:rsidR="007E04CE" w:rsidRPr="00FB0140">
              <w:rPr>
                <w:webHidden/>
              </w:rPr>
              <w:fldChar w:fldCharType="separate"/>
            </w:r>
            <w:r w:rsidR="007E04CE" w:rsidRPr="00FB0140">
              <w:rPr>
                <w:webHidden/>
              </w:rPr>
              <w:t>5</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1" w:history="1">
            <w:r w:rsidR="007E04CE" w:rsidRPr="00FB0140">
              <w:rPr>
                <w:rStyle w:val="aa"/>
                <w:i/>
              </w:rPr>
              <w:t>Производство электроэнергии связанной генерацией</w:t>
            </w:r>
            <w:r w:rsidR="007E04CE" w:rsidRPr="00FB0140">
              <w:rPr>
                <w:webHidden/>
              </w:rPr>
              <w:tab/>
            </w:r>
            <w:r w:rsidR="007E04CE" w:rsidRPr="00FB0140">
              <w:rPr>
                <w:webHidden/>
              </w:rPr>
              <w:fldChar w:fldCharType="begin"/>
            </w:r>
            <w:r w:rsidR="007E04CE" w:rsidRPr="00FB0140">
              <w:rPr>
                <w:webHidden/>
              </w:rPr>
              <w:instrText xml:space="preserve"> PAGEREF _Toc34079811 \h </w:instrText>
            </w:r>
            <w:r w:rsidR="007E04CE" w:rsidRPr="00FB0140">
              <w:rPr>
                <w:webHidden/>
              </w:rPr>
            </w:r>
            <w:r w:rsidR="007E04CE" w:rsidRPr="00FB0140">
              <w:rPr>
                <w:webHidden/>
              </w:rPr>
              <w:fldChar w:fldCharType="separate"/>
            </w:r>
            <w:r w:rsidR="007E04CE" w:rsidRPr="00FB0140">
              <w:rPr>
                <w:webHidden/>
              </w:rPr>
              <w:t>6</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2" w:history="1">
            <w:r w:rsidR="007E04CE" w:rsidRPr="00FB0140">
              <w:rPr>
                <w:rStyle w:val="aa"/>
                <w:b/>
              </w:rPr>
              <w:t>2.</w:t>
            </w:r>
            <w:r w:rsidR="007E04CE" w:rsidRPr="00FB0140">
              <w:rPr>
                <w:sz w:val="22"/>
                <w:szCs w:val="22"/>
                <w:lang w:eastAsia="ru-RU"/>
              </w:rPr>
              <w:tab/>
            </w:r>
            <w:r w:rsidR="007E04CE" w:rsidRPr="00FB0140">
              <w:rPr>
                <w:rStyle w:val="aa"/>
                <w:b/>
              </w:rPr>
              <w:t>Потребление электрической энергии в ЕЭС Казахстана</w:t>
            </w:r>
            <w:r w:rsidR="007E04CE" w:rsidRPr="00FB0140">
              <w:rPr>
                <w:webHidden/>
              </w:rPr>
              <w:tab/>
            </w:r>
            <w:r w:rsidR="007E04CE" w:rsidRPr="00FB0140">
              <w:rPr>
                <w:webHidden/>
              </w:rPr>
              <w:fldChar w:fldCharType="begin"/>
            </w:r>
            <w:r w:rsidR="007E04CE" w:rsidRPr="00FB0140">
              <w:rPr>
                <w:webHidden/>
              </w:rPr>
              <w:instrText xml:space="preserve"> PAGEREF _Toc34079812 \h </w:instrText>
            </w:r>
            <w:r w:rsidR="007E04CE" w:rsidRPr="00FB0140">
              <w:rPr>
                <w:webHidden/>
              </w:rPr>
            </w:r>
            <w:r w:rsidR="007E04CE" w:rsidRPr="00FB0140">
              <w:rPr>
                <w:webHidden/>
              </w:rPr>
              <w:fldChar w:fldCharType="separate"/>
            </w:r>
            <w:r w:rsidR="007E04CE" w:rsidRPr="00FB0140">
              <w:rPr>
                <w:webHidden/>
              </w:rPr>
              <w:t>7</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3" w:history="1">
            <w:r w:rsidR="007E04CE" w:rsidRPr="00FB0140">
              <w:rPr>
                <w:rStyle w:val="aa"/>
                <w:i/>
              </w:rPr>
              <w:t>Потребление электрической энергии по зонам и областям</w:t>
            </w:r>
            <w:r w:rsidR="007E04CE" w:rsidRPr="00FB0140">
              <w:rPr>
                <w:webHidden/>
              </w:rPr>
              <w:tab/>
            </w:r>
            <w:r w:rsidR="007E04CE" w:rsidRPr="00FB0140">
              <w:rPr>
                <w:webHidden/>
              </w:rPr>
              <w:fldChar w:fldCharType="begin"/>
            </w:r>
            <w:r w:rsidR="007E04CE" w:rsidRPr="00FB0140">
              <w:rPr>
                <w:webHidden/>
              </w:rPr>
              <w:instrText xml:space="preserve"> PAGEREF _Toc34079813 \h </w:instrText>
            </w:r>
            <w:r w:rsidR="007E04CE" w:rsidRPr="00FB0140">
              <w:rPr>
                <w:webHidden/>
              </w:rPr>
            </w:r>
            <w:r w:rsidR="007E04CE" w:rsidRPr="00FB0140">
              <w:rPr>
                <w:webHidden/>
              </w:rPr>
              <w:fldChar w:fldCharType="separate"/>
            </w:r>
            <w:r w:rsidR="007E04CE" w:rsidRPr="00FB0140">
              <w:rPr>
                <w:webHidden/>
              </w:rPr>
              <w:t>7</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4" w:history="1">
            <w:r w:rsidR="007E04CE" w:rsidRPr="00FB0140">
              <w:rPr>
                <w:rStyle w:val="aa"/>
                <w:b/>
              </w:rPr>
              <w:t>Итоги работы промышленности за январь</w:t>
            </w:r>
            <w:r w:rsidR="007943E5" w:rsidRPr="00FB0140">
              <w:rPr>
                <w:rStyle w:val="aa"/>
                <w:b/>
              </w:rPr>
              <w:t>-</w:t>
            </w:r>
            <w:r w:rsidR="00F02413" w:rsidRPr="00FB0140">
              <w:rPr>
                <w:rStyle w:val="aa"/>
                <w:b/>
              </w:rPr>
              <w:t>август</w:t>
            </w:r>
            <w:r w:rsidR="007E04CE" w:rsidRPr="00FB0140">
              <w:rPr>
                <w:rStyle w:val="aa"/>
                <w:b/>
              </w:rPr>
              <w:t xml:space="preserve"> 2020 год</w:t>
            </w:r>
            <w:r w:rsidR="00985E1F" w:rsidRPr="00FB0140">
              <w:rPr>
                <w:rStyle w:val="aa"/>
                <w:b/>
              </w:rPr>
              <w:t>а</w:t>
            </w:r>
            <w:r w:rsidR="007E04CE" w:rsidRPr="00FB0140">
              <w:rPr>
                <w:webHidden/>
              </w:rPr>
              <w:tab/>
            </w:r>
            <w:r w:rsidR="007E04CE" w:rsidRPr="00FB0140">
              <w:rPr>
                <w:webHidden/>
              </w:rPr>
              <w:fldChar w:fldCharType="begin"/>
            </w:r>
            <w:r w:rsidR="007E04CE" w:rsidRPr="00FB0140">
              <w:rPr>
                <w:webHidden/>
              </w:rPr>
              <w:instrText xml:space="preserve"> PAGEREF _Toc34079814 \h </w:instrText>
            </w:r>
            <w:r w:rsidR="007E04CE" w:rsidRPr="00FB0140">
              <w:rPr>
                <w:webHidden/>
              </w:rPr>
            </w:r>
            <w:r w:rsidR="007E04CE" w:rsidRPr="00FB0140">
              <w:rPr>
                <w:webHidden/>
              </w:rPr>
              <w:fldChar w:fldCharType="separate"/>
            </w:r>
            <w:r w:rsidR="007E04CE" w:rsidRPr="00FB0140">
              <w:rPr>
                <w:webHidden/>
              </w:rPr>
              <w:t>7</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5" w:history="1">
            <w:r w:rsidR="007E04CE" w:rsidRPr="00FB0140">
              <w:rPr>
                <w:rStyle w:val="aa"/>
                <w:i/>
              </w:rPr>
              <w:t>Электропотребление крупными потребителями Казахстана</w:t>
            </w:r>
            <w:r w:rsidR="007E04CE" w:rsidRPr="00FB0140">
              <w:rPr>
                <w:webHidden/>
              </w:rPr>
              <w:tab/>
            </w:r>
            <w:r w:rsidR="007E04CE" w:rsidRPr="00FB0140">
              <w:rPr>
                <w:webHidden/>
              </w:rPr>
              <w:fldChar w:fldCharType="begin"/>
            </w:r>
            <w:r w:rsidR="007E04CE" w:rsidRPr="00FB0140">
              <w:rPr>
                <w:webHidden/>
              </w:rPr>
              <w:instrText xml:space="preserve"> PAGEREF _Toc34079815 \h </w:instrText>
            </w:r>
            <w:r w:rsidR="007E04CE" w:rsidRPr="00FB0140">
              <w:rPr>
                <w:webHidden/>
              </w:rPr>
            </w:r>
            <w:r w:rsidR="007E04CE" w:rsidRPr="00FB0140">
              <w:rPr>
                <w:webHidden/>
              </w:rPr>
              <w:fldChar w:fldCharType="separate"/>
            </w:r>
            <w:r w:rsidR="007E04CE" w:rsidRPr="00FB0140">
              <w:rPr>
                <w:webHidden/>
              </w:rPr>
              <w:t>9</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6" w:history="1">
            <w:r w:rsidR="007E04CE" w:rsidRPr="00FB0140">
              <w:rPr>
                <w:rStyle w:val="aa"/>
                <w:b/>
              </w:rPr>
              <w:t>3.</w:t>
            </w:r>
            <w:r w:rsidR="007E04CE" w:rsidRPr="00FB0140">
              <w:rPr>
                <w:sz w:val="22"/>
                <w:szCs w:val="22"/>
                <w:lang w:eastAsia="ru-RU"/>
              </w:rPr>
              <w:tab/>
            </w:r>
            <w:r w:rsidR="007E04CE" w:rsidRPr="00FB0140">
              <w:rPr>
                <w:rStyle w:val="aa"/>
                <w:b/>
              </w:rPr>
              <w:t>Уголь</w:t>
            </w:r>
            <w:r w:rsidR="007E04CE" w:rsidRPr="00FB0140">
              <w:rPr>
                <w:webHidden/>
              </w:rPr>
              <w:tab/>
            </w:r>
            <w:r w:rsidR="007E04CE" w:rsidRPr="00FB0140">
              <w:rPr>
                <w:webHidden/>
              </w:rPr>
              <w:fldChar w:fldCharType="begin"/>
            </w:r>
            <w:r w:rsidR="007E04CE" w:rsidRPr="00FB0140">
              <w:rPr>
                <w:webHidden/>
              </w:rPr>
              <w:instrText xml:space="preserve"> PAGEREF _Toc34079816 \h </w:instrText>
            </w:r>
            <w:r w:rsidR="007E04CE" w:rsidRPr="00FB0140">
              <w:rPr>
                <w:webHidden/>
              </w:rPr>
            </w:r>
            <w:r w:rsidR="007E04CE" w:rsidRPr="00FB0140">
              <w:rPr>
                <w:webHidden/>
              </w:rPr>
              <w:fldChar w:fldCharType="separate"/>
            </w:r>
            <w:r w:rsidR="007E04CE" w:rsidRPr="00FB0140">
              <w:rPr>
                <w:webHidden/>
              </w:rPr>
              <w:t>10</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7" w:history="1">
            <w:r w:rsidR="007E04CE" w:rsidRPr="00FB0140">
              <w:rPr>
                <w:rStyle w:val="aa"/>
                <w:i/>
              </w:rPr>
              <w:t>Добыча угля АО «Самрук-Энерго»</w:t>
            </w:r>
            <w:r w:rsidR="007E04CE" w:rsidRPr="00FB0140">
              <w:rPr>
                <w:webHidden/>
              </w:rPr>
              <w:tab/>
            </w:r>
            <w:r w:rsidR="007E04CE" w:rsidRPr="00FB0140">
              <w:rPr>
                <w:webHidden/>
              </w:rPr>
              <w:fldChar w:fldCharType="begin"/>
            </w:r>
            <w:r w:rsidR="007E04CE" w:rsidRPr="00FB0140">
              <w:rPr>
                <w:webHidden/>
              </w:rPr>
              <w:instrText xml:space="preserve"> PAGEREF _Toc34079817 \h </w:instrText>
            </w:r>
            <w:r w:rsidR="007E04CE" w:rsidRPr="00FB0140">
              <w:rPr>
                <w:webHidden/>
              </w:rPr>
            </w:r>
            <w:r w:rsidR="007E04CE" w:rsidRPr="00FB0140">
              <w:rPr>
                <w:webHidden/>
              </w:rPr>
              <w:fldChar w:fldCharType="separate"/>
            </w:r>
            <w:r w:rsidR="007E04CE" w:rsidRPr="00FB0140">
              <w:rPr>
                <w:webHidden/>
              </w:rPr>
              <w:t>10</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8" w:history="1">
            <w:r w:rsidR="007E04CE" w:rsidRPr="00FB0140">
              <w:rPr>
                <w:rStyle w:val="aa"/>
                <w:i/>
              </w:rPr>
              <w:t>Реализация угля АО «Самрук-Энерго»</w:t>
            </w:r>
            <w:r w:rsidR="007E04CE" w:rsidRPr="00FB0140">
              <w:rPr>
                <w:webHidden/>
              </w:rPr>
              <w:tab/>
            </w:r>
            <w:r w:rsidR="007E04CE" w:rsidRPr="00FB0140">
              <w:rPr>
                <w:webHidden/>
              </w:rPr>
              <w:fldChar w:fldCharType="begin"/>
            </w:r>
            <w:r w:rsidR="007E04CE" w:rsidRPr="00FB0140">
              <w:rPr>
                <w:webHidden/>
              </w:rPr>
              <w:instrText xml:space="preserve"> PAGEREF _Toc34079818 \h </w:instrText>
            </w:r>
            <w:r w:rsidR="007E04CE" w:rsidRPr="00FB0140">
              <w:rPr>
                <w:webHidden/>
              </w:rPr>
            </w:r>
            <w:r w:rsidR="007E04CE" w:rsidRPr="00FB0140">
              <w:rPr>
                <w:webHidden/>
              </w:rPr>
              <w:fldChar w:fldCharType="separate"/>
            </w:r>
            <w:r w:rsidR="007E04CE" w:rsidRPr="00FB0140">
              <w:rPr>
                <w:webHidden/>
              </w:rPr>
              <w:t>10</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19" w:history="1">
            <w:r w:rsidR="007E04CE" w:rsidRPr="00FB0140">
              <w:rPr>
                <w:rStyle w:val="aa"/>
                <w:b/>
              </w:rPr>
              <w:t>4.</w:t>
            </w:r>
            <w:r w:rsidR="007E04CE" w:rsidRPr="00FB0140">
              <w:rPr>
                <w:sz w:val="22"/>
                <w:szCs w:val="22"/>
                <w:lang w:eastAsia="ru-RU"/>
              </w:rPr>
              <w:tab/>
            </w:r>
            <w:r w:rsidR="007E04CE" w:rsidRPr="00FB0140">
              <w:rPr>
                <w:rStyle w:val="aa"/>
                <w:b/>
              </w:rPr>
              <w:t>Возобновляемые источники энергии</w:t>
            </w:r>
            <w:r w:rsidR="007E04CE" w:rsidRPr="00FB0140">
              <w:rPr>
                <w:webHidden/>
              </w:rPr>
              <w:tab/>
            </w:r>
            <w:r w:rsidR="007E04CE" w:rsidRPr="00FB0140">
              <w:rPr>
                <w:webHidden/>
              </w:rPr>
              <w:fldChar w:fldCharType="begin"/>
            </w:r>
            <w:r w:rsidR="007E04CE" w:rsidRPr="00FB0140">
              <w:rPr>
                <w:webHidden/>
              </w:rPr>
              <w:instrText xml:space="preserve"> PAGEREF _Toc34079819 \h </w:instrText>
            </w:r>
            <w:r w:rsidR="007E04CE" w:rsidRPr="00FB0140">
              <w:rPr>
                <w:webHidden/>
              </w:rPr>
            </w:r>
            <w:r w:rsidR="007E04CE" w:rsidRPr="00FB0140">
              <w:rPr>
                <w:webHidden/>
              </w:rPr>
              <w:fldChar w:fldCharType="separate"/>
            </w:r>
            <w:r w:rsidR="007E04CE" w:rsidRPr="00FB0140">
              <w:rPr>
                <w:webHidden/>
              </w:rPr>
              <w:t>10</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0" w:history="1">
            <w:r w:rsidR="007E04CE" w:rsidRPr="00FB0140">
              <w:rPr>
                <w:rStyle w:val="aa"/>
                <w:b/>
              </w:rPr>
              <w:t>5.</w:t>
            </w:r>
            <w:r w:rsidR="007E04CE" w:rsidRPr="00FB0140">
              <w:rPr>
                <w:sz w:val="22"/>
                <w:szCs w:val="22"/>
                <w:lang w:eastAsia="ru-RU"/>
              </w:rPr>
              <w:tab/>
            </w:r>
            <w:r w:rsidR="007E04CE" w:rsidRPr="00FB0140">
              <w:rPr>
                <w:rStyle w:val="aa"/>
                <w:b/>
              </w:rPr>
              <w:t>Централизованные торги электроэнергией АО «КОРЭМ»</w:t>
            </w:r>
            <w:r w:rsidR="007E04CE" w:rsidRPr="00FB0140">
              <w:rPr>
                <w:webHidden/>
              </w:rPr>
              <w:tab/>
            </w:r>
            <w:r w:rsidR="007E04CE" w:rsidRPr="00FB0140">
              <w:rPr>
                <w:webHidden/>
              </w:rPr>
              <w:fldChar w:fldCharType="begin"/>
            </w:r>
            <w:r w:rsidR="007E04CE" w:rsidRPr="00FB0140">
              <w:rPr>
                <w:webHidden/>
              </w:rPr>
              <w:instrText xml:space="preserve"> PAGEREF _Toc34079820 \h </w:instrText>
            </w:r>
            <w:r w:rsidR="007E04CE" w:rsidRPr="00FB0140">
              <w:rPr>
                <w:webHidden/>
              </w:rPr>
            </w:r>
            <w:r w:rsidR="007E04CE" w:rsidRPr="00FB0140">
              <w:rPr>
                <w:webHidden/>
              </w:rPr>
              <w:fldChar w:fldCharType="separate"/>
            </w:r>
            <w:r w:rsidR="007E04CE" w:rsidRPr="00FB0140">
              <w:rPr>
                <w:webHidden/>
              </w:rPr>
              <w:t>11</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1" w:history="1">
            <w:r w:rsidR="007E04CE" w:rsidRPr="00FB0140">
              <w:rPr>
                <w:rStyle w:val="aa"/>
                <w:b/>
              </w:rPr>
              <w:t>6.</w:t>
            </w:r>
            <w:r w:rsidR="007E04CE" w:rsidRPr="00FB0140">
              <w:rPr>
                <w:sz w:val="22"/>
                <w:szCs w:val="22"/>
                <w:lang w:eastAsia="ru-RU"/>
              </w:rPr>
              <w:tab/>
            </w:r>
            <w:r w:rsidR="007E04CE" w:rsidRPr="00FB0140">
              <w:rPr>
                <w:rStyle w:val="aa"/>
                <w:b/>
              </w:rPr>
              <w:t>Экспорт-импорт электрической энергии</w:t>
            </w:r>
            <w:r w:rsidR="007E04CE" w:rsidRPr="00FB0140">
              <w:rPr>
                <w:webHidden/>
              </w:rPr>
              <w:tab/>
            </w:r>
            <w:r w:rsidR="007E04CE" w:rsidRPr="00FB0140">
              <w:rPr>
                <w:webHidden/>
              </w:rPr>
              <w:fldChar w:fldCharType="begin"/>
            </w:r>
            <w:r w:rsidR="007E04CE" w:rsidRPr="00FB0140">
              <w:rPr>
                <w:webHidden/>
              </w:rPr>
              <w:instrText xml:space="preserve"> PAGEREF _Toc34079821 \h </w:instrText>
            </w:r>
            <w:r w:rsidR="007E04CE" w:rsidRPr="00FB0140">
              <w:rPr>
                <w:webHidden/>
              </w:rPr>
            </w:r>
            <w:r w:rsidR="007E04CE" w:rsidRPr="00FB0140">
              <w:rPr>
                <w:webHidden/>
              </w:rPr>
              <w:fldChar w:fldCharType="separate"/>
            </w:r>
            <w:r w:rsidR="007E04CE" w:rsidRPr="00FB0140">
              <w:rPr>
                <w:webHidden/>
              </w:rPr>
              <w:t>11</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2" w:history="1">
            <w:r w:rsidR="007E04CE" w:rsidRPr="00FB0140">
              <w:rPr>
                <w:rStyle w:val="aa"/>
                <w:b/>
              </w:rPr>
              <w:t>РАЗДЕЛ II</w:t>
            </w:r>
            <w:r w:rsidR="007E04CE" w:rsidRPr="00FB0140">
              <w:rPr>
                <w:webHidden/>
              </w:rPr>
              <w:tab/>
            </w:r>
            <w:r w:rsidR="007E04CE" w:rsidRPr="00FB0140">
              <w:rPr>
                <w:webHidden/>
              </w:rPr>
              <w:fldChar w:fldCharType="begin"/>
            </w:r>
            <w:r w:rsidR="007E04CE" w:rsidRPr="00FB0140">
              <w:rPr>
                <w:webHidden/>
              </w:rPr>
              <w:instrText xml:space="preserve"> PAGEREF _Toc34079822 \h </w:instrText>
            </w:r>
            <w:r w:rsidR="007E04CE" w:rsidRPr="00FB0140">
              <w:rPr>
                <w:webHidden/>
              </w:rPr>
            </w:r>
            <w:r w:rsidR="007E04CE" w:rsidRPr="00FB0140">
              <w:rPr>
                <w:webHidden/>
              </w:rPr>
              <w:fldChar w:fldCharType="separate"/>
            </w:r>
            <w:r w:rsidR="007E04CE" w:rsidRPr="00FB0140">
              <w:rPr>
                <w:webHidden/>
              </w:rPr>
              <w:t>13</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3" w:history="1">
            <w:r w:rsidR="007E04CE" w:rsidRPr="00FB0140">
              <w:rPr>
                <w:rStyle w:val="aa"/>
                <w:b/>
              </w:rPr>
              <w:t>1.</w:t>
            </w:r>
            <w:r w:rsidR="007E04CE" w:rsidRPr="00FB0140">
              <w:rPr>
                <w:sz w:val="22"/>
                <w:szCs w:val="22"/>
                <w:lang w:eastAsia="ru-RU"/>
              </w:rPr>
              <w:tab/>
            </w:r>
            <w:r w:rsidR="007E04CE" w:rsidRPr="00FB0140">
              <w:rPr>
                <w:rStyle w:val="aa"/>
                <w:b/>
              </w:rPr>
              <w:t>Статус формирования Общего электроэнергетического рынка Евразийского экономического союза</w:t>
            </w:r>
            <w:r w:rsidR="007E04CE" w:rsidRPr="00FB0140">
              <w:rPr>
                <w:webHidden/>
              </w:rPr>
              <w:tab/>
            </w:r>
            <w:r w:rsidR="007E04CE" w:rsidRPr="00FB0140">
              <w:rPr>
                <w:webHidden/>
              </w:rPr>
              <w:fldChar w:fldCharType="begin"/>
            </w:r>
            <w:r w:rsidR="007E04CE" w:rsidRPr="00FB0140">
              <w:rPr>
                <w:webHidden/>
              </w:rPr>
              <w:instrText xml:space="preserve"> PAGEREF _Toc34079823 \h </w:instrText>
            </w:r>
            <w:r w:rsidR="007E04CE" w:rsidRPr="00FB0140">
              <w:rPr>
                <w:webHidden/>
              </w:rPr>
            </w:r>
            <w:r w:rsidR="007E04CE" w:rsidRPr="00FB0140">
              <w:rPr>
                <w:webHidden/>
              </w:rPr>
              <w:fldChar w:fldCharType="separate"/>
            </w:r>
            <w:r w:rsidR="007E04CE" w:rsidRPr="00FB0140">
              <w:rPr>
                <w:webHidden/>
              </w:rPr>
              <w:t>13</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4" w:history="1">
            <w:r w:rsidR="007E04CE" w:rsidRPr="00FB0140">
              <w:rPr>
                <w:rStyle w:val="aa"/>
                <w:b/>
              </w:rPr>
              <w:t>2.</w:t>
            </w:r>
            <w:r w:rsidR="007E04CE" w:rsidRPr="00FB0140">
              <w:rPr>
                <w:sz w:val="22"/>
                <w:szCs w:val="22"/>
                <w:lang w:eastAsia="ru-RU"/>
              </w:rPr>
              <w:tab/>
            </w:r>
            <w:r w:rsidR="007E04CE" w:rsidRPr="00FB0140">
              <w:rPr>
                <w:rStyle w:val="aa"/>
                <w:b/>
              </w:rPr>
              <w:t>Статус формирования Электроэнергетического рынка СНГ</w:t>
            </w:r>
            <w:r w:rsidR="007E04CE" w:rsidRPr="00FB0140">
              <w:rPr>
                <w:webHidden/>
              </w:rPr>
              <w:tab/>
            </w:r>
            <w:r w:rsidR="007E04CE" w:rsidRPr="00FB0140">
              <w:rPr>
                <w:webHidden/>
              </w:rPr>
              <w:fldChar w:fldCharType="begin"/>
            </w:r>
            <w:r w:rsidR="007E04CE" w:rsidRPr="00FB0140">
              <w:rPr>
                <w:webHidden/>
              </w:rPr>
              <w:instrText xml:space="preserve"> PAGEREF _Toc34079824 \h </w:instrText>
            </w:r>
            <w:r w:rsidR="007E04CE" w:rsidRPr="00FB0140">
              <w:rPr>
                <w:webHidden/>
              </w:rPr>
            </w:r>
            <w:r w:rsidR="007E04CE" w:rsidRPr="00FB0140">
              <w:rPr>
                <w:webHidden/>
              </w:rPr>
              <w:fldChar w:fldCharType="separate"/>
            </w:r>
            <w:r w:rsidR="007E04CE" w:rsidRPr="00FB0140">
              <w:rPr>
                <w:webHidden/>
              </w:rPr>
              <w:t>13</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5" w:history="1">
            <w:r w:rsidR="007E04CE" w:rsidRPr="00FB0140">
              <w:rPr>
                <w:rStyle w:val="aa"/>
                <w:b/>
              </w:rPr>
              <w:t>3.</w:t>
            </w:r>
            <w:r w:rsidR="007E04CE" w:rsidRPr="00FB0140">
              <w:rPr>
                <w:sz w:val="22"/>
                <w:szCs w:val="22"/>
                <w:lang w:eastAsia="ru-RU"/>
              </w:rPr>
              <w:tab/>
            </w:r>
            <w:r w:rsidR="007E04CE" w:rsidRPr="00FB0140">
              <w:rPr>
                <w:rStyle w:val="aa"/>
                <w:b/>
              </w:rPr>
              <w:t>Статус реализации проекта CASA-1000</w:t>
            </w:r>
            <w:r w:rsidR="007E04CE" w:rsidRPr="00FB0140">
              <w:rPr>
                <w:webHidden/>
              </w:rPr>
              <w:tab/>
            </w:r>
            <w:r w:rsidR="007E04CE" w:rsidRPr="00FB0140">
              <w:rPr>
                <w:webHidden/>
              </w:rPr>
              <w:fldChar w:fldCharType="begin"/>
            </w:r>
            <w:r w:rsidR="007E04CE" w:rsidRPr="00FB0140">
              <w:rPr>
                <w:webHidden/>
              </w:rPr>
              <w:instrText xml:space="preserve"> PAGEREF _Toc34079825 \h </w:instrText>
            </w:r>
            <w:r w:rsidR="007E04CE" w:rsidRPr="00FB0140">
              <w:rPr>
                <w:webHidden/>
              </w:rPr>
            </w:r>
            <w:r w:rsidR="007E04CE" w:rsidRPr="00FB0140">
              <w:rPr>
                <w:webHidden/>
              </w:rPr>
              <w:fldChar w:fldCharType="separate"/>
            </w:r>
            <w:r w:rsidR="007E04CE" w:rsidRPr="00FB0140">
              <w:rPr>
                <w:webHidden/>
              </w:rPr>
              <w:t>14</w:t>
            </w:r>
            <w:r w:rsidR="007E04CE" w:rsidRPr="00FB0140">
              <w:rPr>
                <w:webHidden/>
              </w:rPr>
              <w:fldChar w:fldCharType="end"/>
            </w:r>
          </w:hyperlink>
        </w:p>
        <w:p w:rsidR="007E04CE" w:rsidRPr="00FB0140" w:rsidRDefault="00FB0140" w:rsidP="00BE0F2B">
          <w:pPr>
            <w:pStyle w:val="11"/>
            <w:tabs>
              <w:tab w:val="left" w:pos="0"/>
            </w:tabs>
            <w:spacing w:before="0"/>
            <w:rPr>
              <w:sz w:val="22"/>
              <w:szCs w:val="22"/>
              <w:lang w:eastAsia="ru-RU"/>
            </w:rPr>
          </w:pPr>
          <w:hyperlink w:anchor="_Toc34079826" w:history="1">
            <w:r w:rsidR="007E04CE" w:rsidRPr="00FB0140">
              <w:rPr>
                <w:rStyle w:val="aa"/>
                <w:b/>
              </w:rPr>
              <w:t>4.</w:t>
            </w:r>
            <w:r w:rsidR="007E04CE" w:rsidRPr="00FB0140">
              <w:rPr>
                <w:sz w:val="22"/>
                <w:szCs w:val="22"/>
                <w:lang w:eastAsia="ru-RU"/>
              </w:rPr>
              <w:tab/>
            </w:r>
            <w:r w:rsidR="007E04CE" w:rsidRPr="00FB0140">
              <w:rPr>
                <w:rStyle w:val="aa"/>
                <w:b/>
              </w:rPr>
              <w:t>Обзор СМИ в странах СНГ</w:t>
            </w:r>
            <w:r w:rsidR="007E04CE" w:rsidRPr="00FB0140">
              <w:rPr>
                <w:webHidden/>
              </w:rPr>
              <w:tab/>
            </w:r>
            <w:r w:rsidR="007E04CE" w:rsidRPr="00FB0140">
              <w:rPr>
                <w:webHidden/>
              </w:rPr>
              <w:fldChar w:fldCharType="begin"/>
            </w:r>
            <w:r w:rsidR="007E04CE" w:rsidRPr="00FB0140">
              <w:rPr>
                <w:webHidden/>
              </w:rPr>
              <w:instrText xml:space="preserve"> PAGEREF _Toc34079826 \h </w:instrText>
            </w:r>
            <w:r w:rsidR="007E04CE" w:rsidRPr="00FB0140">
              <w:rPr>
                <w:webHidden/>
              </w:rPr>
            </w:r>
            <w:r w:rsidR="007E04CE" w:rsidRPr="00FB0140">
              <w:rPr>
                <w:webHidden/>
              </w:rPr>
              <w:fldChar w:fldCharType="separate"/>
            </w:r>
            <w:r w:rsidR="007E04CE" w:rsidRPr="00FB0140">
              <w:rPr>
                <w:webHidden/>
              </w:rPr>
              <w:t>15</w:t>
            </w:r>
            <w:r w:rsidR="007E04CE" w:rsidRPr="00FB0140">
              <w:rPr>
                <w:webHidden/>
              </w:rPr>
              <w:fldChar w:fldCharType="end"/>
            </w:r>
          </w:hyperlink>
        </w:p>
        <w:p w:rsidR="00545712" w:rsidRPr="00FB0140" w:rsidRDefault="00562751" w:rsidP="00BE0F2B">
          <w:pPr>
            <w:tabs>
              <w:tab w:val="left" w:pos="0"/>
            </w:tabs>
            <w:spacing w:after="0" w:line="240" w:lineRule="auto"/>
            <w:rPr>
              <w:rFonts w:ascii="Times New Roman" w:hAnsi="Times New Roman" w:cs="Times New Roman"/>
            </w:rPr>
          </w:pPr>
          <w:r w:rsidRPr="00FB0140">
            <w:rPr>
              <w:rFonts w:ascii="Times New Roman" w:eastAsiaTheme="minorEastAsia" w:hAnsi="Times New Roman" w:cs="Times New Roman"/>
              <w:noProof/>
              <w:sz w:val="24"/>
              <w:szCs w:val="24"/>
            </w:rPr>
            <w:fldChar w:fldCharType="end"/>
          </w:r>
        </w:p>
      </w:sdtContent>
    </w:sdt>
    <w:p w:rsidR="00995E50" w:rsidRPr="00FB0140" w:rsidRDefault="00995E50" w:rsidP="00BE0F2B">
      <w:pPr>
        <w:pStyle w:val="11"/>
        <w:tabs>
          <w:tab w:val="left" w:pos="0"/>
        </w:tabs>
        <w:spacing w:before="0"/>
        <w:rPr>
          <w:lang w:val="en-US"/>
        </w:rPr>
      </w:pPr>
    </w:p>
    <w:p w:rsidR="001D295E" w:rsidRPr="00FB0140" w:rsidRDefault="001D295E" w:rsidP="00BE0F2B">
      <w:pPr>
        <w:tabs>
          <w:tab w:val="left" w:pos="0"/>
        </w:tabs>
        <w:spacing w:after="0" w:line="240" w:lineRule="auto"/>
        <w:rPr>
          <w:rFonts w:ascii="Times New Roman" w:hAnsi="Times New Roman" w:cs="Times New Roman"/>
          <w:lang w:val="en-US"/>
        </w:rPr>
      </w:pPr>
    </w:p>
    <w:p w:rsidR="00F47C61" w:rsidRPr="00FB0140" w:rsidRDefault="00F47C61" w:rsidP="00BE0F2B">
      <w:pPr>
        <w:tabs>
          <w:tab w:val="left" w:pos="0"/>
        </w:tabs>
        <w:spacing w:after="0" w:line="240" w:lineRule="auto"/>
        <w:rPr>
          <w:rFonts w:ascii="Times New Roman" w:hAnsi="Times New Roman" w:cs="Times New Roman"/>
          <w:lang w:val="en-US"/>
        </w:rPr>
      </w:pPr>
    </w:p>
    <w:p w:rsidR="00F47C61" w:rsidRPr="00FB0140" w:rsidRDefault="00F47C61" w:rsidP="00BE0F2B">
      <w:pPr>
        <w:tabs>
          <w:tab w:val="left" w:pos="0"/>
        </w:tabs>
        <w:spacing w:after="0" w:line="240" w:lineRule="auto"/>
        <w:rPr>
          <w:rFonts w:ascii="Times New Roman" w:hAnsi="Times New Roman" w:cs="Times New Roman"/>
        </w:rPr>
      </w:pPr>
    </w:p>
    <w:p w:rsidR="00C71038" w:rsidRPr="00FB0140" w:rsidRDefault="00C71038" w:rsidP="00BE0F2B">
      <w:pPr>
        <w:tabs>
          <w:tab w:val="left" w:pos="0"/>
        </w:tabs>
        <w:spacing w:after="0" w:line="240" w:lineRule="auto"/>
        <w:rPr>
          <w:rFonts w:ascii="Times New Roman" w:hAnsi="Times New Roman" w:cs="Times New Roman"/>
        </w:rPr>
      </w:pPr>
    </w:p>
    <w:p w:rsidR="005246FD" w:rsidRPr="00FB0140" w:rsidRDefault="005246FD" w:rsidP="00BE0F2B">
      <w:pPr>
        <w:tabs>
          <w:tab w:val="left" w:pos="0"/>
        </w:tabs>
        <w:spacing w:after="0" w:line="240" w:lineRule="auto"/>
        <w:rPr>
          <w:rFonts w:ascii="Times New Roman" w:hAnsi="Times New Roman" w:cs="Times New Roman"/>
        </w:rPr>
      </w:pPr>
      <w:r w:rsidRPr="00FB0140">
        <w:rPr>
          <w:rFonts w:ascii="Times New Roman" w:hAnsi="Times New Roman" w:cs="Times New Roman"/>
        </w:rPr>
        <w:br w:type="page"/>
      </w:r>
    </w:p>
    <w:p w:rsidR="00CB6062" w:rsidRPr="00FB0140" w:rsidRDefault="00B94F51" w:rsidP="00BE0F2B">
      <w:pPr>
        <w:pStyle w:val="1"/>
        <w:tabs>
          <w:tab w:val="left" w:pos="0"/>
        </w:tabs>
        <w:spacing w:before="0" w:line="240" w:lineRule="auto"/>
        <w:rPr>
          <w:rFonts w:ascii="Times New Roman" w:hAnsi="Times New Roman" w:cs="Times New Roman"/>
          <w:b/>
          <w:color w:val="auto"/>
          <w:lang w:val="en-US"/>
        </w:rPr>
      </w:pPr>
      <w:bookmarkStart w:id="0" w:name="_Toc34079808"/>
      <w:r w:rsidRPr="00FB0140">
        <w:rPr>
          <w:rFonts w:ascii="Times New Roman" w:hAnsi="Times New Roman" w:cs="Times New Roman"/>
          <w:b/>
          <w:color w:val="auto"/>
        </w:rPr>
        <w:lastRenderedPageBreak/>
        <w:t xml:space="preserve">РАЗДЕЛ </w:t>
      </w:r>
      <w:r w:rsidR="00CB6062" w:rsidRPr="00FB0140">
        <w:rPr>
          <w:rFonts w:ascii="Times New Roman" w:hAnsi="Times New Roman" w:cs="Times New Roman"/>
          <w:b/>
          <w:color w:val="auto"/>
          <w:lang w:val="en-US"/>
        </w:rPr>
        <w:t>I</w:t>
      </w:r>
      <w:bookmarkEnd w:id="0"/>
    </w:p>
    <w:p w:rsidR="008A363F" w:rsidRPr="00FB0140" w:rsidRDefault="008A363F" w:rsidP="00BE0F2B">
      <w:pPr>
        <w:tabs>
          <w:tab w:val="left" w:pos="0"/>
        </w:tabs>
        <w:spacing w:after="0" w:line="240" w:lineRule="auto"/>
        <w:rPr>
          <w:rFonts w:ascii="Times New Roman" w:hAnsi="Times New Roman" w:cs="Times New Roman"/>
          <w:lang w:val="en-US"/>
        </w:rPr>
      </w:pPr>
    </w:p>
    <w:p w:rsidR="00682876" w:rsidRPr="00FB0140" w:rsidRDefault="00541D3A" w:rsidP="00EF4AE4">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 w:name="_Toc34079809"/>
      <w:r w:rsidRPr="00FB0140">
        <w:rPr>
          <w:rFonts w:ascii="Times New Roman" w:hAnsi="Times New Roman" w:cs="Times New Roman"/>
          <w:b/>
          <w:color w:val="auto"/>
        </w:rPr>
        <w:t>Производство электрической энергии в ЕЭС Казахстана</w:t>
      </w:r>
      <w:bookmarkEnd w:id="1"/>
    </w:p>
    <w:p w:rsidR="00F31222" w:rsidRPr="00FB0140" w:rsidRDefault="00F31222" w:rsidP="00BE0F2B">
      <w:pPr>
        <w:tabs>
          <w:tab w:val="left" w:pos="0"/>
        </w:tabs>
        <w:spacing w:after="0" w:line="240" w:lineRule="auto"/>
        <w:ind w:firstLine="567"/>
        <w:jc w:val="both"/>
        <w:rPr>
          <w:rFonts w:ascii="Times New Roman" w:hAnsi="Times New Roman" w:cs="Times New Roman"/>
          <w:sz w:val="12"/>
        </w:rPr>
      </w:pPr>
    </w:p>
    <w:p w:rsidR="00F02413" w:rsidRPr="00FB0140" w:rsidRDefault="00F02413" w:rsidP="00F02413">
      <w:pPr>
        <w:spacing w:after="0" w:line="240" w:lineRule="auto"/>
        <w:ind w:firstLine="567"/>
        <w:jc w:val="both"/>
        <w:rPr>
          <w:rFonts w:ascii="Times New Roman" w:hAnsi="Times New Roman" w:cs="Times New Roman"/>
          <w:sz w:val="28"/>
        </w:rPr>
      </w:pPr>
      <w:r w:rsidRPr="00FB0140">
        <w:rPr>
          <w:rFonts w:ascii="Times New Roman" w:hAnsi="Times New Roman" w:cs="Times New Roman"/>
          <w:sz w:val="28"/>
        </w:rPr>
        <w:t>По данным Системного оператора электростанциями РК в январе-августе 2020 года было выработано 69 508,2 млн. кВтч электроэнергии, что на 1,1% больше аналогичного периода 2019 года. Увеличение выработки наблюдалось во всех зонах ЕЭС Казахстана.</w:t>
      </w:r>
    </w:p>
    <w:p w:rsidR="00F02413" w:rsidRPr="00FB0140" w:rsidRDefault="00F02413" w:rsidP="00F02413">
      <w:pPr>
        <w:spacing w:after="0" w:line="240" w:lineRule="auto"/>
        <w:jc w:val="right"/>
        <w:rPr>
          <w:rFonts w:ascii="Times New Roman" w:hAnsi="Times New Roman" w:cs="Times New Roman"/>
          <w:i/>
          <w:sz w:val="24"/>
        </w:rPr>
      </w:pPr>
      <w:r w:rsidRPr="00FB0140">
        <w:rPr>
          <w:rFonts w:ascii="Times New Roman" w:hAnsi="Times New Roman" w:cs="Times New Roman"/>
          <w:i/>
          <w:sz w:val="24"/>
        </w:rPr>
        <w:t>млн. кВтч</w:t>
      </w:r>
    </w:p>
    <w:tbl>
      <w:tblPr>
        <w:tblW w:w="9913" w:type="dxa"/>
        <w:jc w:val="center"/>
        <w:tblLook w:val="04A0" w:firstRow="1" w:lastRow="0" w:firstColumn="1" w:lastColumn="0" w:noHBand="0" w:noVBand="1"/>
      </w:tblPr>
      <w:tblGrid>
        <w:gridCol w:w="2258"/>
        <w:gridCol w:w="2552"/>
        <w:gridCol w:w="1843"/>
        <w:gridCol w:w="1842"/>
        <w:gridCol w:w="1418"/>
      </w:tblGrid>
      <w:tr w:rsidR="00F02413" w:rsidRPr="00FB0140" w:rsidTr="00F02413">
        <w:trPr>
          <w:trHeight w:val="272"/>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Январь-август</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Δ, %</w:t>
            </w:r>
          </w:p>
        </w:tc>
      </w:tr>
      <w:tr w:rsidR="00F02413" w:rsidRPr="00FB0140" w:rsidTr="00F02413">
        <w:trPr>
          <w:trHeight w:val="249"/>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2019г</w:t>
            </w:r>
          </w:p>
        </w:tc>
        <w:tc>
          <w:tcPr>
            <w:tcW w:w="1842"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2020г</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r>
      <w:tr w:rsidR="00F02413" w:rsidRPr="00FB0140" w:rsidTr="00F02413">
        <w:trPr>
          <w:trHeight w:val="394"/>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center"/>
            <w:hideMark/>
          </w:tcPr>
          <w:p w:rsidR="00F02413" w:rsidRPr="00FB0140" w:rsidRDefault="00F02413" w:rsidP="00F02413">
            <w:pPr>
              <w:spacing w:after="0" w:line="240" w:lineRule="auto"/>
              <w:rPr>
                <w:rFonts w:ascii="Times New Roman" w:eastAsia="Times New Roman" w:hAnsi="Times New Roman" w:cs="Times New Roman"/>
                <w:b/>
                <w:bCs/>
                <w:color w:val="FFFFFF"/>
                <w:sz w:val="24"/>
                <w:szCs w:val="24"/>
                <w:lang w:eastAsia="ru-RU"/>
              </w:rPr>
            </w:pPr>
            <w:r w:rsidRPr="00FB0140">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vAlign w:val="center"/>
            <w:hideMark/>
          </w:tcPr>
          <w:p w:rsidR="00F02413" w:rsidRPr="00FB0140" w:rsidRDefault="00F02413" w:rsidP="00F02413">
            <w:pPr>
              <w:spacing w:after="0" w:line="240" w:lineRule="auto"/>
              <w:rPr>
                <w:rFonts w:ascii="Times New Roman" w:eastAsia="Times New Roman" w:hAnsi="Times New Roman" w:cs="Times New Roman"/>
                <w:b/>
                <w:bCs/>
                <w:color w:val="FFFFFF"/>
                <w:sz w:val="24"/>
                <w:szCs w:val="24"/>
                <w:lang w:eastAsia="ru-RU"/>
              </w:rPr>
            </w:pPr>
            <w:r w:rsidRPr="00FB0140">
              <w:rPr>
                <w:rFonts w:ascii="Times New Roman" w:eastAsia="Times New Roman" w:hAnsi="Times New Roman" w:cs="Times New Roman"/>
                <w:b/>
                <w:bCs/>
                <w:sz w:val="24"/>
                <w:szCs w:val="24"/>
                <w:lang w:eastAsia="ru-RU"/>
              </w:rPr>
              <w:t>68725,2</w:t>
            </w:r>
          </w:p>
        </w:tc>
        <w:tc>
          <w:tcPr>
            <w:tcW w:w="1842" w:type="dxa"/>
            <w:tcBorders>
              <w:top w:val="nil"/>
              <w:left w:val="nil"/>
              <w:bottom w:val="single" w:sz="8" w:space="0" w:color="auto"/>
              <w:right w:val="single" w:sz="8" w:space="0" w:color="auto"/>
            </w:tcBorders>
            <w:shd w:val="clear" w:color="000000" w:fill="17365D"/>
            <w:vAlign w:val="center"/>
            <w:hideMark/>
          </w:tcPr>
          <w:p w:rsidR="00F02413" w:rsidRPr="00FB0140" w:rsidRDefault="00F02413" w:rsidP="00F02413">
            <w:pPr>
              <w:spacing w:after="0" w:line="240" w:lineRule="auto"/>
              <w:rPr>
                <w:rFonts w:ascii="Times New Roman" w:eastAsia="Times New Roman" w:hAnsi="Times New Roman" w:cs="Times New Roman"/>
                <w:b/>
                <w:bCs/>
                <w:color w:val="FFFFFF"/>
                <w:sz w:val="24"/>
                <w:szCs w:val="24"/>
                <w:lang w:eastAsia="ru-RU"/>
              </w:rPr>
            </w:pPr>
            <w:r w:rsidRPr="00FB0140">
              <w:rPr>
                <w:rFonts w:ascii="Times New Roman" w:eastAsia="Times New Roman" w:hAnsi="Times New Roman" w:cs="Times New Roman"/>
                <w:b/>
                <w:bCs/>
                <w:sz w:val="24"/>
                <w:szCs w:val="24"/>
                <w:lang w:eastAsia="ru-RU"/>
              </w:rPr>
              <w:t>69508,2</w:t>
            </w:r>
          </w:p>
        </w:tc>
        <w:tc>
          <w:tcPr>
            <w:tcW w:w="1418" w:type="dxa"/>
            <w:tcBorders>
              <w:top w:val="nil"/>
              <w:left w:val="nil"/>
              <w:bottom w:val="single" w:sz="8" w:space="0" w:color="auto"/>
              <w:right w:val="single" w:sz="8" w:space="0" w:color="auto"/>
            </w:tcBorders>
            <w:shd w:val="clear" w:color="000000" w:fill="17365D"/>
            <w:vAlign w:val="bottom"/>
            <w:hideMark/>
          </w:tcPr>
          <w:p w:rsidR="00F02413" w:rsidRPr="00FB0140" w:rsidRDefault="00F02413" w:rsidP="00F02413">
            <w:pPr>
              <w:spacing w:after="0" w:line="240" w:lineRule="auto"/>
              <w:rPr>
                <w:rFonts w:ascii="Times New Roman" w:eastAsia="Times New Roman" w:hAnsi="Times New Roman" w:cs="Times New Roman"/>
                <w:b/>
                <w:bCs/>
                <w:color w:val="FFFFFF"/>
                <w:sz w:val="24"/>
                <w:szCs w:val="24"/>
                <w:lang w:eastAsia="ru-RU"/>
              </w:rPr>
            </w:pPr>
            <w:r w:rsidRPr="00FB0140">
              <w:rPr>
                <w:rFonts w:ascii="Times New Roman" w:eastAsia="Times New Roman" w:hAnsi="Times New Roman" w:cs="Times New Roman"/>
                <w:b/>
                <w:bCs/>
                <w:sz w:val="24"/>
                <w:szCs w:val="24"/>
                <w:lang w:eastAsia="ru-RU"/>
              </w:rPr>
              <w:t>1,1%</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55236,2</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54961,8</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-0,5%</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5909,9</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6362,7</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7,7%</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6923,8</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6637,2</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-4,1%</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410,2</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646,1</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57,5%</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242,9</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897,4</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269,5%</w:t>
            </w:r>
          </w:p>
        </w:tc>
      </w:tr>
      <w:tr w:rsidR="00F02413" w:rsidRPr="00FB0140" w:rsidTr="00F02413">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2,2</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36,4%</w:t>
            </w:r>
          </w:p>
        </w:tc>
      </w:tr>
      <w:tr w:rsidR="00F02413" w:rsidRPr="00FB0140" w:rsidTr="00F02413">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52621,6</w:t>
            </w:r>
          </w:p>
        </w:tc>
        <w:tc>
          <w:tcPr>
            <w:tcW w:w="1842"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52885,5</w:t>
            </w:r>
          </w:p>
        </w:tc>
        <w:tc>
          <w:tcPr>
            <w:tcW w:w="1418" w:type="dxa"/>
            <w:tcBorders>
              <w:top w:val="nil"/>
              <w:left w:val="nil"/>
              <w:bottom w:val="single" w:sz="8" w:space="0" w:color="auto"/>
              <w:right w:val="single" w:sz="8" w:space="0" w:color="auto"/>
            </w:tcBorders>
            <w:shd w:val="clear" w:color="000000" w:fill="D9D9D9"/>
            <w:vAlign w:val="bottom"/>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0,5%</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45778,9</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45648,5</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-0,3%</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2000,9</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2187,3</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9,3%</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4619,2</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4418,1</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-4,4%</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108,5</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296,7</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173,5%</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111,9</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331,9</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196,6%</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2,2</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36,4%</w:t>
            </w:r>
          </w:p>
        </w:tc>
      </w:tr>
      <w:tr w:rsidR="00F02413" w:rsidRPr="00FB0140" w:rsidTr="00F02413">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7274,5</w:t>
            </w:r>
          </w:p>
        </w:tc>
        <w:tc>
          <w:tcPr>
            <w:tcW w:w="1842"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7641,0</w:t>
            </w:r>
          </w:p>
        </w:tc>
        <w:tc>
          <w:tcPr>
            <w:tcW w:w="1418" w:type="dxa"/>
            <w:tcBorders>
              <w:top w:val="nil"/>
              <w:left w:val="nil"/>
              <w:bottom w:val="single" w:sz="8" w:space="0" w:color="auto"/>
              <w:right w:val="single" w:sz="8" w:space="0" w:color="auto"/>
            </w:tcBorders>
            <w:shd w:val="clear" w:color="000000" w:fill="D9D9D9"/>
            <w:vAlign w:val="bottom"/>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5,0%</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4548,4</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4584,8</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0,8%</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139,6</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116,5</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-16,5%</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2304,6</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2219,1</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-3,7%</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153,1</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157,3</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2,7%</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128,8</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563,3</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337,3%</w:t>
            </w:r>
          </w:p>
        </w:tc>
      </w:tr>
      <w:tr w:rsidR="00F02413" w:rsidRPr="00FB0140" w:rsidTr="00F02413">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8829,1</w:t>
            </w:r>
          </w:p>
        </w:tc>
        <w:tc>
          <w:tcPr>
            <w:tcW w:w="1842" w:type="dxa"/>
            <w:tcBorders>
              <w:top w:val="nil"/>
              <w:left w:val="nil"/>
              <w:bottom w:val="single" w:sz="8" w:space="0" w:color="auto"/>
              <w:right w:val="single" w:sz="8" w:space="0" w:color="auto"/>
            </w:tcBorders>
            <w:shd w:val="clear" w:color="000000" w:fill="D9D9D9"/>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8981,7</w:t>
            </w:r>
          </w:p>
        </w:tc>
        <w:tc>
          <w:tcPr>
            <w:tcW w:w="1418" w:type="dxa"/>
            <w:tcBorders>
              <w:top w:val="nil"/>
              <w:left w:val="nil"/>
              <w:bottom w:val="single" w:sz="8" w:space="0" w:color="auto"/>
              <w:right w:val="single" w:sz="8" w:space="0" w:color="auto"/>
            </w:tcBorders>
            <w:shd w:val="clear" w:color="000000" w:fill="D9D9D9"/>
            <w:vAlign w:val="bottom"/>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iCs/>
                <w:sz w:val="24"/>
                <w:szCs w:val="24"/>
                <w:lang w:eastAsia="ru-RU"/>
              </w:rPr>
              <w:t>1,7%</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4908,9</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4728,5</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-3,7%</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3769,4</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4058,9</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7,7%</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148,6</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192,1</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29,3%</w:t>
            </w:r>
          </w:p>
        </w:tc>
      </w:tr>
      <w:tr w:rsidR="00F02413" w:rsidRPr="00FB0140" w:rsidTr="00F02413">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2,2</w:t>
            </w:r>
          </w:p>
        </w:tc>
        <w:tc>
          <w:tcPr>
            <w:tcW w:w="1842" w:type="dxa"/>
            <w:tcBorders>
              <w:top w:val="nil"/>
              <w:left w:val="nil"/>
              <w:bottom w:val="single" w:sz="8" w:space="0" w:color="auto"/>
              <w:right w:val="single" w:sz="8" w:space="0" w:color="auto"/>
            </w:tcBorders>
            <w:shd w:val="clear" w:color="000000" w:fill="FFFFFF"/>
            <w:vAlign w:val="center"/>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2,2</w:t>
            </w:r>
          </w:p>
        </w:tc>
        <w:tc>
          <w:tcPr>
            <w:tcW w:w="1418"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right"/>
              <w:rPr>
                <w:rFonts w:ascii="Times New Roman" w:eastAsia="Times New Roman" w:hAnsi="Times New Roman" w:cs="Times New Roman"/>
                <w:i/>
                <w:iCs/>
                <w:sz w:val="24"/>
                <w:szCs w:val="24"/>
                <w:lang w:eastAsia="ru-RU"/>
              </w:rPr>
            </w:pPr>
            <w:r w:rsidRPr="00FB0140">
              <w:rPr>
                <w:rFonts w:ascii="Times New Roman" w:eastAsia="Times New Roman" w:hAnsi="Times New Roman" w:cs="Times New Roman"/>
                <w:i/>
                <w:iCs/>
                <w:sz w:val="24"/>
                <w:szCs w:val="24"/>
                <w:lang w:eastAsia="ru-RU"/>
              </w:rPr>
              <w:t>0,0%</w:t>
            </w:r>
          </w:p>
        </w:tc>
      </w:tr>
    </w:tbl>
    <w:p w:rsidR="00D309A9" w:rsidRPr="00FB0140" w:rsidRDefault="00D309A9" w:rsidP="00BE0F2B">
      <w:pPr>
        <w:tabs>
          <w:tab w:val="left" w:pos="0"/>
        </w:tabs>
        <w:spacing w:after="0" w:line="240" w:lineRule="auto"/>
        <w:jc w:val="right"/>
        <w:rPr>
          <w:rFonts w:ascii="Times New Roman" w:hAnsi="Times New Roman" w:cs="Times New Roman"/>
          <w:i/>
          <w:sz w:val="24"/>
        </w:rPr>
      </w:pPr>
    </w:p>
    <w:p w:rsidR="00D309A9" w:rsidRPr="00FB0140" w:rsidRDefault="00D309A9" w:rsidP="00BE0F2B">
      <w:pPr>
        <w:pStyle w:val="1"/>
        <w:tabs>
          <w:tab w:val="left" w:pos="0"/>
        </w:tabs>
        <w:spacing w:before="0" w:line="240" w:lineRule="auto"/>
        <w:jc w:val="center"/>
        <w:rPr>
          <w:rFonts w:ascii="Times New Roman" w:hAnsi="Times New Roman" w:cs="Times New Roman"/>
          <w:i/>
          <w:color w:val="auto"/>
          <w:sz w:val="28"/>
        </w:rPr>
      </w:pPr>
      <w:bookmarkStart w:id="2" w:name="_Toc510196463"/>
      <w:bookmarkStart w:id="3" w:name="_Toc34125246"/>
      <w:r w:rsidRPr="00FB0140">
        <w:rPr>
          <w:rFonts w:ascii="Times New Roman" w:hAnsi="Times New Roman" w:cs="Times New Roman"/>
          <w:i/>
          <w:color w:val="auto"/>
          <w:sz w:val="28"/>
        </w:rPr>
        <w:t>Производство электроэнергии по областям РК</w:t>
      </w:r>
      <w:bookmarkEnd w:id="2"/>
      <w:bookmarkEnd w:id="3"/>
    </w:p>
    <w:p w:rsidR="003663EF" w:rsidRPr="00FB0140" w:rsidRDefault="003663EF" w:rsidP="00BE0F2B">
      <w:pPr>
        <w:tabs>
          <w:tab w:val="left" w:pos="0"/>
        </w:tabs>
        <w:spacing w:after="0" w:line="240" w:lineRule="auto"/>
        <w:ind w:firstLine="567"/>
        <w:jc w:val="both"/>
        <w:rPr>
          <w:rFonts w:ascii="Times New Roman" w:hAnsi="Times New Roman" w:cs="Times New Roman"/>
          <w:sz w:val="28"/>
        </w:rPr>
      </w:pPr>
    </w:p>
    <w:p w:rsidR="00F02413" w:rsidRPr="00FB0140" w:rsidRDefault="00F02413" w:rsidP="00F02413">
      <w:pPr>
        <w:spacing w:after="0" w:line="240" w:lineRule="auto"/>
        <w:ind w:firstLine="567"/>
        <w:jc w:val="both"/>
        <w:rPr>
          <w:rFonts w:ascii="Times New Roman" w:hAnsi="Times New Roman" w:cs="Times New Roman"/>
          <w:sz w:val="28"/>
        </w:rPr>
      </w:pPr>
      <w:bookmarkStart w:id="4" w:name="_Toc34079811"/>
      <w:r w:rsidRPr="00FB0140">
        <w:rPr>
          <w:rFonts w:ascii="Times New Roman" w:hAnsi="Times New Roman" w:cs="Times New Roman"/>
          <w:sz w:val="28"/>
        </w:rPr>
        <w:t xml:space="preserve">В январе-августе 2020 года по сравнению с аналогичным периодом 2019 года производство электроэнергии значительно увеличилось (рост 20% и выше) в Костанайской, Туркестанской и Кызылординской областях. В то же время, снижение производства электроэнергии наблюдалось в Жамбылской, Мангистауской, Северо-Казахстанской и Восточно-Казахстанской областях. </w:t>
      </w:r>
    </w:p>
    <w:p w:rsidR="00F02413" w:rsidRPr="00FB0140" w:rsidRDefault="00F02413" w:rsidP="00F02413">
      <w:pPr>
        <w:spacing w:after="0" w:line="240" w:lineRule="auto"/>
        <w:jc w:val="right"/>
        <w:rPr>
          <w:rFonts w:ascii="Times New Roman" w:hAnsi="Times New Roman" w:cs="Times New Roman"/>
          <w:i/>
          <w:sz w:val="24"/>
        </w:rPr>
      </w:pPr>
      <w:r w:rsidRPr="00FB0140">
        <w:rPr>
          <w:rFonts w:ascii="Times New Roman" w:hAnsi="Times New Roman" w:cs="Times New Roman"/>
          <w:i/>
          <w:sz w:val="24"/>
        </w:rPr>
        <w:t>млн. кВтч</w:t>
      </w:r>
    </w:p>
    <w:tbl>
      <w:tblPr>
        <w:tblW w:w="9913" w:type="dxa"/>
        <w:tblInd w:w="118" w:type="dxa"/>
        <w:tblLook w:val="04A0" w:firstRow="1" w:lastRow="0" w:firstColumn="1" w:lastColumn="0" w:noHBand="0" w:noVBand="1"/>
      </w:tblPr>
      <w:tblGrid>
        <w:gridCol w:w="740"/>
        <w:gridCol w:w="4070"/>
        <w:gridCol w:w="1984"/>
        <w:gridCol w:w="1985"/>
        <w:gridCol w:w="1134"/>
      </w:tblGrid>
      <w:tr w:rsidR="00F02413" w:rsidRPr="00FB0140" w:rsidTr="00F02413">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 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Январь-август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Δ, %</w:t>
            </w:r>
          </w:p>
        </w:tc>
      </w:tr>
      <w:tr w:rsidR="00F02413" w:rsidRPr="00FB0140" w:rsidTr="00F02413">
        <w:trPr>
          <w:trHeight w:val="216"/>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2019г</w:t>
            </w:r>
          </w:p>
        </w:tc>
        <w:tc>
          <w:tcPr>
            <w:tcW w:w="1985"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2020г</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Акмолинская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2 824,9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2 965,1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5,0%</w:t>
            </w:r>
          </w:p>
        </w:tc>
      </w:tr>
      <w:tr w:rsidR="00F02413" w:rsidRPr="00FB0140" w:rsidTr="00F02413">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2 538,4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2 661,2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4,8%</w:t>
            </w:r>
          </w:p>
        </w:tc>
      </w:tr>
      <w:tr w:rsidR="00F02413" w:rsidRPr="00FB0140" w:rsidTr="00F02413">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Алматинская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4 662,1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4 792,6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2,8%</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Атырауская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3 827,8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4 104,0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7,2%</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6 457,0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6 252,8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-3,2%</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Жамбылская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1 517,6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1 498,4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-1,3%</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Западно-Казахстанская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1 460,0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1 504,8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3,1%</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10 804,8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10 949,0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1,3%</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Костанайская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566,2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700,3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23,7%</w:t>
            </w:r>
          </w:p>
        </w:tc>
      </w:tr>
      <w:tr w:rsidR="00F02413" w:rsidRPr="00FB0140" w:rsidTr="00F02413">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Кызылординская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271,1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337,6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24,5%</w:t>
            </w:r>
          </w:p>
        </w:tc>
      </w:tr>
      <w:tr w:rsidR="00F02413" w:rsidRPr="00FB0140" w:rsidTr="00F02413">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Мангистауская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3 541,3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3 372,9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-4,8%</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27 275,5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27 225,8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-0,2%</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2 154,8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2 131,3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-1,1%</w:t>
            </w:r>
          </w:p>
        </w:tc>
      </w:tr>
      <w:tr w:rsidR="00F02413" w:rsidRPr="00FB0140" w:rsidTr="00F02413">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823,7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xml:space="preserve"> 1 012,4   </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22,9%</w:t>
            </w:r>
          </w:p>
        </w:tc>
      </w:tr>
      <w:tr w:rsidR="00F02413" w:rsidRPr="00FB0140" w:rsidTr="00F02413">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 xml:space="preserve"> 68 725,2   </w:t>
            </w:r>
          </w:p>
        </w:tc>
        <w:tc>
          <w:tcPr>
            <w:tcW w:w="1985"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69 508,2</w:t>
            </w:r>
          </w:p>
        </w:tc>
        <w:tc>
          <w:tcPr>
            <w:tcW w:w="1134" w:type="dxa"/>
            <w:tcBorders>
              <w:top w:val="nil"/>
              <w:left w:val="nil"/>
              <w:bottom w:val="single" w:sz="8" w:space="0" w:color="auto"/>
              <w:right w:val="single" w:sz="8" w:space="0" w:color="auto"/>
            </w:tcBorders>
            <w:shd w:val="clear" w:color="auto" w:fill="auto"/>
            <w:hideMark/>
          </w:tcPr>
          <w:p w:rsidR="00F02413" w:rsidRPr="00FB0140" w:rsidRDefault="00F02413" w:rsidP="00F02413">
            <w:pPr>
              <w:spacing w:after="0" w:line="240" w:lineRule="auto"/>
              <w:jc w:val="center"/>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1,1%</w:t>
            </w:r>
          </w:p>
        </w:tc>
      </w:tr>
    </w:tbl>
    <w:p w:rsidR="00D309A9" w:rsidRPr="00FB0140" w:rsidRDefault="00D309A9" w:rsidP="00BE0F2B">
      <w:pPr>
        <w:pStyle w:val="1"/>
        <w:tabs>
          <w:tab w:val="left" w:pos="0"/>
        </w:tabs>
        <w:spacing w:before="0" w:line="240" w:lineRule="auto"/>
        <w:jc w:val="center"/>
        <w:rPr>
          <w:rFonts w:ascii="Times New Roman" w:hAnsi="Times New Roman" w:cs="Times New Roman"/>
          <w:i/>
          <w:color w:val="auto"/>
          <w:sz w:val="28"/>
        </w:rPr>
      </w:pPr>
    </w:p>
    <w:p w:rsidR="00CB6062" w:rsidRPr="00FB0140" w:rsidRDefault="00BC6332" w:rsidP="00BE0F2B">
      <w:pPr>
        <w:pStyle w:val="1"/>
        <w:tabs>
          <w:tab w:val="left" w:pos="0"/>
        </w:tabs>
        <w:spacing w:before="0" w:line="240" w:lineRule="auto"/>
        <w:jc w:val="center"/>
        <w:rPr>
          <w:rFonts w:ascii="Times New Roman" w:hAnsi="Times New Roman" w:cs="Times New Roman"/>
          <w:i/>
          <w:color w:val="auto"/>
          <w:sz w:val="28"/>
        </w:rPr>
      </w:pPr>
      <w:r w:rsidRPr="00FB0140">
        <w:rPr>
          <w:rFonts w:ascii="Times New Roman" w:hAnsi="Times New Roman" w:cs="Times New Roman"/>
          <w:i/>
          <w:color w:val="auto"/>
          <w:sz w:val="28"/>
        </w:rPr>
        <w:t>Производство электроэнергии связанной генерацией</w:t>
      </w:r>
      <w:bookmarkEnd w:id="4"/>
    </w:p>
    <w:p w:rsidR="00F02413" w:rsidRPr="00FB0140" w:rsidRDefault="00F02413" w:rsidP="00F02413">
      <w:pPr>
        <w:spacing w:after="0" w:line="240" w:lineRule="auto"/>
        <w:ind w:firstLine="426"/>
        <w:jc w:val="both"/>
        <w:rPr>
          <w:rFonts w:ascii="Times New Roman" w:hAnsi="Times New Roman" w:cs="Times New Roman"/>
          <w:i/>
          <w:sz w:val="24"/>
        </w:rPr>
      </w:pPr>
      <w:r w:rsidRPr="00FB0140">
        <w:rPr>
          <w:rFonts w:ascii="Times New Roman" w:hAnsi="Times New Roman" w:cs="Times New Roman"/>
          <w:sz w:val="28"/>
        </w:rPr>
        <w:t xml:space="preserve">За восемь месяцев 2020 года производство электроэнергии связанной генерацией составило 34,5 млрд. кВтч, что немного меньше аналогичного периода 2019 года (34,6 млрд. кВтч). Вместе с тем, по сравнению с августом 2019 года доля связанной генерации незначительно уменьшилась, и составила 49,7% от общего объема производства электроэнергии в РК. </w:t>
      </w:r>
    </w:p>
    <w:p w:rsidR="00F02413" w:rsidRPr="00FB0140" w:rsidRDefault="00F02413" w:rsidP="00F02413">
      <w:pPr>
        <w:spacing w:after="0" w:line="240" w:lineRule="auto"/>
        <w:ind w:firstLine="709"/>
        <w:jc w:val="both"/>
        <w:rPr>
          <w:rFonts w:ascii="Times New Roman" w:hAnsi="Times New Roman" w:cs="Times New Roman"/>
          <w:i/>
          <w:sz w:val="24"/>
        </w:rPr>
      </w:pPr>
    </w:p>
    <w:p w:rsidR="00C16EF2" w:rsidRPr="00FB0140" w:rsidRDefault="00C16EF2" w:rsidP="00BE0F2B">
      <w:pPr>
        <w:tabs>
          <w:tab w:val="left" w:pos="0"/>
        </w:tabs>
        <w:spacing w:after="0" w:line="240" w:lineRule="auto"/>
        <w:ind w:firstLine="709"/>
        <w:jc w:val="both"/>
        <w:rPr>
          <w:rFonts w:ascii="Times New Roman" w:hAnsi="Times New Roman" w:cs="Times New Roman"/>
          <w:i/>
          <w:sz w:val="24"/>
        </w:rPr>
      </w:pPr>
    </w:p>
    <w:p w:rsidR="004A4775" w:rsidRPr="00FB0140" w:rsidRDefault="004A4775" w:rsidP="00BE0F2B">
      <w:pPr>
        <w:pStyle w:val="a3"/>
        <w:tabs>
          <w:tab w:val="left" w:pos="0"/>
        </w:tabs>
        <w:spacing w:after="0" w:line="240" w:lineRule="auto"/>
        <w:ind w:left="0" w:firstLine="709"/>
        <w:jc w:val="right"/>
        <w:rPr>
          <w:rFonts w:ascii="Times New Roman" w:hAnsi="Times New Roman" w:cs="Times New Roman"/>
          <w:i/>
          <w:sz w:val="24"/>
        </w:rPr>
      </w:pPr>
      <w:r w:rsidRPr="00FB0140">
        <w:rPr>
          <w:rFonts w:ascii="Times New Roman" w:hAnsi="Times New Roman" w:cs="Times New Roman"/>
          <w:i/>
          <w:sz w:val="24"/>
        </w:rPr>
        <w:t>млн. кВтч</w:t>
      </w:r>
    </w:p>
    <w:tbl>
      <w:tblPr>
        <w:tblW w:w="10046" w:type="dxa"/>
        <w:jc w:val="center"/>
        <w:tblLayout w:type="fixed"/>
        <w:tblLook w:val="04A0" w:firstRow="1" w:lastRow="0" w:firstColumn="1" w:lastColumn="0" w:noHBand="0" w:noVBand="1"/>
      </w:tblPr>
      <w:tblGrid>
        <w:gridCol w:w="582"/>
        <w:gridCol w:w="3261"/>
        <w:gridCol w:w="1701"/>
        <w:gridCol w:w="1559"/>
        <w:gridCol w:w="1843"/>
        <w:gridCol w:w="1100"/>
      </w:tblGrid>
      <w:tr w:rsidR="007943E5" w:rsidRPr="00FB0140" w:rsidTr="00586AF8">
        <w:trPr>
          <w:trHeight w:val="315"/>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FB0140" w:rsidRDefault="007943E5"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FB0140" w:rsidRDefault="007943E5"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943E5" w:rsidRPr="00FB0140" w:rsidRDefault="007943E5"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2019г.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FB0140" w:rsidRDefault="007943E5"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2020г.</w:t>
            </w:r>
          </w:p>
        </w:tc>
      </w:tr>
      <w:tr w:rsidR="00C70E44" w:rsidRPr="00FB0140" w:rsidTr="00586AF8">
        <w:trPr>
          <w:trHeight w:val="319"/>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70E44" w:rsidRPr="00FB0140" w:rsidRDefault="00C70E44" w:rsidP="00BE0F2B">
            <w:pPr>
              <w:tabs>
                <w:tab w:val="left" w:pos="0"/>
              </w:tabs>
              <w:spacing w:after="0" w:line="240" w:lineRule="auto"/>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70E44" w:rsidRPr="00FB0140" w:rsidRDefault="00C70E44" w:rsidP="00BE0F2B">
            <w:pPr>
              <w:tabs>
                <w:tab w:val="left" w:pos="0"/>
              </w:tabs>
              <w:spacing w:after="0" w:line="240" w:lineRule="auto"/>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70E44" w:rsidRPr="00FB0140" w:rsidRDefault="00F02413"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Январь-август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70E44" w:rsidRPr="00FB0140" w:rsidRDefault="00C70E44"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доля в РК, %</w:t>
            </w:r>
          </w:p>
        </w:tc>
        <w:tc>
          <w:tcPr>
            <w:tcW w:w="1843" w:type="dxa"/>
            <w:tcBorders>
              <w:top w:val="nil"/>
              <w:left w:val="nil"/>
              <w:bottom w:val="single" w:sz="4" w:space="0" w:color="auto"/>
              <w:right w:val="single" w:sz="4" w:space="0" w:color="auto"/>
            </w:tcBorders>
            <w:shd w:val="clear" w:color="auto" w:fill="auto"/>
            <w:vAlign w:val="center"/>
            <w:hideMark/>
          </w:tcPr>
          <w:p w:rsidR="00C70E44" w:rsidRPr="00FB0140" w:rsidRDefault="00F02413"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Январь-август</w:t>
            </w:r>
          </w:p>
        </w:tc>
        <w:tc>
          <w:tcPr>
            <w:tcW w:w="1100" w:type="dxa"/>
            <w:tcBorders>
              <w:top w:val="nil"/>
              <w:left w:val="nil"/>
              <w:bottom w:val="single" w:sz="4" w:space="0" w:color="auto"/>
              <w:right w:val="single" w:sz="4" w:space="0" w:color="auto"/>
            </w:tcBorders>
            <w:shd w:val="clear" w:color="auto" w:fill="auto"/>
            <w:vAlign w:val="center"/>
            <w:hideMark/>
          </w:tcPr>
          <w:p w:rsidR="00C70E44" w:rsidRPr="00FB0140" w:rsidRDefault="00C70E44"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доля в РК, %</w:t>
            </w:r>
          </w:p>
        </w:tc>
      </w:tr>
      <w:tr w:rsidR="00F02413" w:rsidRPr="00FB0140"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12 603,4</w:t>
            </w:r>
          </w:p>
        </w:tc>
        <w:tc>
          <w:tcPr>
            <w:tcW w:w="1559" w:type="dxa"/>
            <w:tcBorders>
              <w:top w:val="nil"/>
              <w:left w:val="nil"/>
              <w:bottom w:val="single" w:sz="4" w:space="0" w:color="auto"/>
              <w:right w:val="single" w:sz="4" w:space="0" w:color="auto"/>
            </w:tcBorders>
            <w:shd w:val="clear" w:color="000000" w:fill="FFFFFF"/>
            <w:noWrap/>
            <w:vAlign w:val="center"/>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18,3%</w:t>
            </w:r>
          </w:p>
        </w:tc>
        <w:tc>
          <w:tcPr>
            <w:tcW w:w="1843" w:type="dxa"/>
            <w:tcBorders>
              <w:top w:val="nil"/>
              <w:left w:val="nil"/>
              <w:bottom w:val="single" w:sz="4" w:space="0" w:color="auto"/>
              <w:right w:val="single" w:sz="4" w:space="0" w:color="auto"/>
            </w:tcBorders>
            <w:shd w:val="clear" w:color="000000" w:fill="FFFFFF"/>
            <w:noWrap/>
            <w:vAlign w:val="center"/>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12 655,9</w:t>
            </w:r>
          </w:p>
        </w:tc>
        <w:tc>
          <w:tcPr>
            <w:tcW w:w="1100"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18,2%</w:t>
            </w:r>
          </w:p>
        </w:tc>
      </w:tr>
      <w:tr w:rsidR="00F02413" w:rsidRPr="00FB0140"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ТОО «Казахмыс Энерджи»</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4 961,8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7,2%</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4 962,7</w:t>
            </w:r>
          </w:p>
        </w:tc>
        <w:tc>
          <w:tcPr>
            <w:tcW w:w="1100"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7,1%</w:t>
            </w:r>
          </w:p>
        </w:tc>
      </w:tr>
      <w:tr w:rsidR="00F02413" w:rsidRPr="00FB0140"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ТОО «Казцинк»</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2 057,4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3,0%</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1 944,2</w:t>
            </w:r>
          </w:p>
        </w:tc>
        <w:tc>
          <w:tcPr>
            <w:tcW w:w="1100"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2,8%</w:t>
            </w:r>
          </w:p>
        </w:tc>
      </w:tr>
      <w:tr w:rsidR="00F02413" w:rsidRPr="00FB0140"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АО «Арселлор Миттал»</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1 744,1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2,5%</w:t>
            </w:r>
          </w:p>
        </w:tc>
        <w:tc>
          <w:tcPr>
            <w:tcW w:w="1843"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1 892,1</w:t>
            </w:r>
          </w:p>
        </w:tc>
        <w:tc>
          <w:tcPr>
            <w:tcW w:w="1100"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2,7%</w:t>
            </w:r>
          </w:p>
        </w:tc>
      </w:tr>
      <w:tr w:rsidR="00F02413" w:rsidRPr="00FB0140"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4 248,3</w:t>
            </w:r>
          </w:p>
        </w:tc>
        <w:tc>
          <w:tcPr>
            <w:tcW w:w="1559" w:type="dxa"/>
            <w:tcBorders>
              <w:top w:val="nil"/>
              <w:left w:val="nil"/>
              <w:bottom w:val="single" w:sz="4" w:space="0" w:color="auto"/>
              <w:right w:val="single" w:sz="4" w:space="0" w:color="auto"/>
            </w:tcBorders>
            <w:shd w:val="clear" w:color="000000" w:fill="FFFFFF"/>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6,2%</w:t>
            </w:r>
          </w:p>
        </w:tc>
        <w:tc>
          <w:tcPr>
            <w:tcW w:w="1843" w:type="dxa"/>
            <w:tcBorders>
              <w:top w:val="nil"/>
              <w:left w:val="nil"/>
              <w:bottom w:val="single" w:sz="4" w:space="0" w:color="auto"/>
              <w:right w:val="single" w:sz="4" w:space="0" w:color="auto"/>
            </w:tcBorders>
            <w:shd w:val="clear" w:color="000000" w:fill="FFFFFF"/>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4 141,9</w:t>
            </w:r>
          </w:p>
        </w:tc>
        <w:tc>
          <w:tcPr>
            <w:tcW w:w="1100"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6,0%</w:t>
            </w:r>
          </w:p>
        </w:tc>
      </w:tr>
      <w:tr w:rsidR="00F02413" w:rsidRPr="00FB0140" w:rsidTr="00586AF8">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4 430,3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6,4%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4 558,5</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6,6%</w:t>
            </w:r>
          </w:p>
        </w:tc>
      </w:tr>
      <w:tr w:rsidR="00F02413" w:rsidRPr="00FB0140" w:rsidTr="00586AF8">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АО «Жамбылская ГРЭС»</w:t>
            </w:r>
          </w:p>
        </w:tc>
        <w:tc>
          <w:tcPr>
            <w:tcW w:w="1701" w:type="dxa"/>
            <w:tcBorders>
              <w:top w:val="nil"/>
              <w:left w:val="nil"/>
              <w:bottom w:val="single" w:sz="4" w:space="0" w:color="auto"/>
              <w:right w:val="single" w:sz="4" w:space="0" w:color="auto"/>
            </w:tcBorders>
            <w:shd w:val="clear" w:color="auto" w:fill="auto"/>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1 187,3</w:t>
            </w:r>
          </w:p>
        </w:tc>
        <w:tc>
          <w:tcPr>
            <w:tcW w:w="1559" w:type="dxa"/>
            <w:tcBorders>
              <w:top w:val="nil"/>
              <w:left w:val="nil"/>
              <w:bottom w:val="single" w:sz="4" w:space="0" w:color="auto"/>
              <w:right w:val="single" w:sz="4" w:space="0" w:color="auto"/>
            </w:tcBorders>
            <w:shd w:val="clear" w:color="auto" w:fill="auto"/>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1,7%</w:t>
            </w:r>
          </w:p>
        </w:tc>
        <w:tc>
          <w:tcPr>
            <w:tcW w:w="1843" w:type="dxa"/>
            <w:tcBorders>
              <w:top w:val="nil"/>
              <w:left w:val="nil"/>
              <w:bottom w:val="single" w:sz="4" w:space="0" w:color="auto"/>
              <w:right w:val="single" w:sz="4" w:space="0" w:color="auto"/>
            </w:tcBorders>
            <w:shd w:val="clear" w:color="000000" w:fill="FFFFFF"/>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1 127,8</w:t>
            </w:r>
          </w:p>
        </w:tc>
        <w:tc>
          <w:tcPr>
            <w:tcW w:w="1100"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1,6%</w:t>
            </w:r>
          </w:p>
        </w:tc>
      </w:tr>
      <w:tr w:rsidR="00F02413" w:rsidRPr="00FB0140" w:rsidTr="00F02413">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Cs/>
                <w:lang w:eastAsia="ru-RU"/>
              </w:rPr>
            </w:pPr>
            <w:r w:rsidRPr="00FB0140">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3 437,6</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5,0%</w:t>
            </w:r>
          </w:p>
        </w:tc>
        <w:tc>
          <w:tcPr>
            <w:tcW w:w="1843" w:type="dxa"/>
            <w:tcBorders>
              <w:top w:val="single" w:sz="4" w:space="0" w:color="auto"/>
              <w:left w:val="nil"/>
              <w:bottom w:val="single" w:sz="4" w:space="0" w:color="auto"/>
              <w:right w:val="single" w:sz="4" w:space="0" w:color="auto"/>
            </w:tcBorders>
            <w:shd w:val="clear" w:color="000000"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3 240,4</w:t>
            </w:r>
          </w:p>
        </w:tc>
        <w:tc>
          <w:tcPr>
            <w:tcW w:w="1100" w:type="dxa"/>
            <w:tcBorders>
              <w:top w:val="single" w:sz="4" w:space="0" w:color="auto"/>
              <w:left w:val="nil"/>
              <w:bottom w:val="single" w:sz="4" w:space="0" w:color="auto"/>
              <w:right w:val="single" w:sz="4" w:space="0" w:color="auto"/>
            </w:tcBorders>
            <w:shd w:val="clear" w:color="000000"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4,7%</w:t>
            </w:r>
          </w:p>
        </w:tc>
      </w:tr>
      <w:tr w:rsidR="00F02413" w:rsidRPr="00FB0140" w:rsidTr="00F02413">
        <w:trPr>
          <w:trHeight w:val="31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lang w:eastAsia="ru-RU"/>
              </w:rPr>
            </w:pPr>
            <w:r w:rsidRPr="00FB0140">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
                <w:lang w:eastAsia="ru-RU"/>
              </w:rPr>
            </w:pPr>
            <w:r w:rsidRPr="00FB0140">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34 670,2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50,4%</w:t>
            </w:r>
          </w:p>
        </w:tc>
        <w:tc>
          <w:tcPr>
            <w:tcW w:w="1843"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34 523,5</w:t>
            </w:r>
          </w:p>
        </w:tc>
        <w:tc>
          <w:tcPr>
            <w:tcW w:w="1100"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49,7%</w:t>
            </w:r>
          </w:p>
        </w:tc>
      </w:tr>
    </w:tbl>
    <w:p w:rsidR="00CD400E" w:rsidRPr="00FB0140" w:rsidRDefault="00CD400E" w:rsidP="00BE0F2B">
      <w:pPr>
        <w:tabs>
          <w:tab w:val="left" w:pos="0"/>
        </w:tabs>
        <w:spacing w:after="0" w:line="240" w:lineRule="auto"/>
        <w:ind w:firstLine="709"/>
        <w:jc w:val="both"/>
        <w:rPr>
          <w:rFonts w:ascii="Times New Roman" w:hAnsi="Times New Roman" w:cs="Times New Roman"/>
          <w:sz w:val="28"/>
        </w:rPr>
      </w:pPr>
    </w:p>
    <w:p w:rsidR="00F02413" w:rsidRPr="00FB0140" w:rsidRDefault="00F02413" w:rsidP="00F02413">
      <w:pPr>
        <w:spacing w:after="0" w:line="240" w:lineRule="auto"/>
        <w:ind w:firstLine="709"/>
        <w:jc w:val="both"/>
        <w:rPr>
          <w:rFonts w:ascii="Times New Roman" w:hAnsi="Times New Roman" w:cs="Times New Roman"/>
          <w:sz w:val="28"/>
        </w:rPr>
      </w:pPr>
      <w:r w:rsidRPr="00FB0140">
        <w:rPr>
          <w:rFonts w:ascii="Times New Roman" w:hAnsi="Times New Roman" w:cs="Times New Roman"/>
          <w:sz w:val="28"/>
        </w:rPr>
        <w:t>Объем производства электроэнергии энергопроизводящими организациями АО «Самрук-Энерго» за январь</w:t>
      </w:r>
      <w:r w:rsidRPr="00FB0140">
        <w:rPr>
          <w:rFonts w:ascii="Times New Roman" w:hAnsi="Times New Roman" w:cs="Times New Roman"/>
          <w:sz w:val="28"/>
          <w:lang w:val="kk-KZ"/>
        </w:rPr>
        <w:t>-</w:t>
      </w:r>
      <w:r w:rsidRPr="00FB0140">
        <w:rPr>
          <w:rFonts w:ascii="Times New Roman" w:hAnsi="Times New Roman" w:cs="Times New Roman"/>
          <w:sz w:val="28"/>
        </w:rPr>
        <w:t xml:space="preserve">август 2020 года </w:t>
      </w:r>
      <w:r w:rsidRPr="00FB0140">
        <w:rPr>
          <w:rFonts w:ascii="Times New Roman" w:hAnsi="Times New Roman" w:cs="Times New Roman"/>
          <w:sz w:val="28"/>
          <w:szCs w:val="28"/>
        </w:rPr>
        <w:t xml:space="preserve">составил </w:t>
      </w:r>
      <w:r w:rsidRPr="00FB0140">
        <w:rPr>
          <w:rFonts w:ascii="Times New Roman" w:hAnsi="Times New Roman" w:cs="Times New Roman"/>
          <w:bCs/>
          <w:sz w:val="28"/>
          <w:szCs w:val="28"/>
          <w:lang w:val="kk-KZ"/>
        </w:rPr>
        <w:t>18 625,7</w:t>
      </w:r>
      <w:r w:rsidRPr="00FB0140">
        <w:rPr>
          <w:rFonts w:ascii="Times New Roman" w:hAnsi="Times New Roman" w:cs="Times New Roman"/>
          <w:b/>
          <w:bCs/>
          <w:sz w:val="28"/>
          <w:szCs w:val="28"/>
        </w:rPr>
        <w:t xml:space="preserve"> </w:t>
      </w:r>
      <w:r w:rsidRPr="00FB0140">
        <w:rPr>
          <w:rFonts w:ascii="Times New Roman" w:hAnsi="Times New Roman" w:cs="Times New Roman"/>
          <w:sz w:val="28"/>
        </w:rPr>
        <w:t>млн. кВтч или снижение на -0,6%% в сравнении с показателями аналогичного периода 2019 года.</w:t>
      </w:r>
    </w:p>
    <w:p w:rsidR="00C16EF2" w:rsidRPr="00FB0140" w:rsidRDefault="00C16EF2" w:rsidP="00BE0F2B">
      <w:pPr>
        <w:pStyle w:val="a3"/>
        <w:tabs>
          <w:tab w:val="left" w:pos="0"/>
        </w:tabs>
        <w:spacing w:after="0" w:line="240" w:lineRule="auto"/>
        <w:jc w:val="right"/>
        <w:rPr>
          <w:rFonts w:ascii="Times New Roman" w:hAnsi="Times New Roman" w:cs="Times New Roman"/>
          <w:i/>
          <w:sz w:val="24"/>
        </w:rPr>
      </w:pPr>
      <w:r w:rsidRPr="00FB0140">
        <w:rPr>
          <w:rFonts w:ascii="Times New Roman" w:hAnsi="Times New Roman" w:cs="Times New Roman"/>
          <w:i/>
          <w:sz w:val="24"/>
        </w:rPr>
        <w:t>млн. кВтч</w:t>
      </w:r>
    </w:p>
    <w:tbl>
      <w:tblPr>
        <w:tblW w:w="10080" w:type="dxa"/>
        <w:tblInd w:w="93" w:type="dxa"/>
        <w:tblLook w:val="04A0" w:firstRow="1" w:lastRow="0" w:firstColumn="1" w:lastColumn="0" w:noHBand="0" w:noVBand="1"/>
      </w:tblPr>
      <w:tblGrid>
        <w:gridCol w:w="442"/>
        <w:gridCol w:w="3231"/>
        <w:gridCol w:w="1003"/>
        <w:gridCol w:w="1148"/>
        <w:gridCol w:w="1003"/>
        <w:gridCol w:w="1148"/>
        <w:gridCol w:w="1134"/>
        <w:gridCol w:w="971"/>
      </w:tblGrid>
      <w:tr w:rsidR="00526154" w:rsidRPr="00FB0140" w:rsidTr="00586AF8">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154" w:rsidRPr="00FB0140" w:rsidRDefault="00526154" w:rsidP="00BE0F2B">
            <w:pPr>
              <w:tabs>
                <w:tab w:val="left" w:pos="0"/>
              </w:tabs>
              <w:spacing w:after="0" w:line="240" w:lineRule="auto"/>
              <w:jc w:val="center"/>
              <w:rPr>
                <w:rFonts w:ascii="Times New Roman" w:eastAsia="Times New Roman" w:hAnsi="Times New Roman" w:cs="Times New Roman"/>
                <w:b/>
                <w:bCs/>
                <w:color w:val="000000"/>
                <w:lang w:eastAsia="ru-RU"/>
              </w:rPr>
            </w:pPr>
            <w:r w:rsidRPr="00FB0140">
              <w:rPr>
                <w:rFonts w:ascii="Times New Roman" w:eastAsia="Times New Roman" w:hAnsi="Times New Roman" w:cs="Times New Roman"/>
                <w:b/>
                <w:bCs/>
                <w:color w:val="000000"/>
                <w:lang w:eastAsia="ru-RU"/>
              </w:rPr>
              <w:t>№</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154" w:rsidRPr="00FB0140" w:rsidRDefault="00526154"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Наименование</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526154" w:rsidRPr="00FB0140" w:rsidRDefault="00526154"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2019г</w:t>
            </w:r>
          </w:p>
        </w:tc>
        <w:tc>
          <w:tcPr>
            <w:tcW w:w="2151" w:type="dxa"/>
            <w:gridSpan w:val="2"/>
            <w:tcBorders>
              <w:top w:val="single" w:sz="4" w:space="0" w:color="auto"/>
              <w:left w:val="nil"/>
              <w:bottom w:val="single" w:sz="4" w:space="0" w:color="auto"/>
              <w:right w:val="single" w:sz="4" w:space="0" w:color="auto"/>
            </w:tcBorders>
            <w:shd w:val="clear" w:color="auto" w:fill="auto"/>
            <w:vAlign w:val="center"/>
            <w:hideMark/>
          </w:tcPr>
          <w:p w:rsidR="00526154" w:rsidRPr="00FB0140" w:rsidRDefault="00526154"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 xml:space="preserve">2020г </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526154" w:rsidRPr="00FB0140" w:rsidRDefault="00526154" w:rsidP="00BE0F2B">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Δ 2019/2020гг</w:t>
            </w:r>
          </w:p>
        </w:tc>
      </w:tr>
      <w:tr w:rsidR="00F02413" w:rsidRPr="00FB0140" w:rsidTr="00586AF8">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
                <w:bCs/>
                <w:color w:val="000000"/>
                <w:lang w:eastAsia="ru-RU"/>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
                <w:bCs/>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val="kk-KZ" w:eastAsia="ru-RU"/>
              </w:rPr>
            </w:pPr>
            <w:r w:rsidRPr="00FB0140">
              <w:rPr>
                <w:rFonts w:ascii="Times New Roman" w:eastAsia="Times New Roman" w:hAnsi="Times New Roman" w:cs="Times New Roman"/>
                <w:b/>
                <w:bCs/>
                <w:lang w:eastAsia="ru-RU"/>
              </w:rPr>
              <w:t>январь-</w:t>
            </w:r>
            <w:r w:rsidRPr="00FB0140">
              <w:rPr>
                <w:rFonts w:ascii="Times New Roman" w:eastAsia="Times New Roman" w:hAnsi="Times New Roman" w:cs="Times New Roman"/>
                <w:b/>
                <w:bCs/>
                <w:lang w:val="kk-KZ" w:eastAsia="ru-RU"/>
              </w:rPr>
              <w:t>август</w:t>
            </w:r>
          </w:p>
        </w:tc>
        <w:tc>
          <w:tcPr>
            <w:tcW w:w="1148"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доля в РК, %</w:t>
            </w:r>
          </w:p>
        </w:tc>
        <w:tc>
          <w:tcPr>
            <w:tcW w:w="1003"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val="kk-KZ" w:eastAsia="ru-RU"/>
              </w:rPr>
            </w:pPr>
            <w:r w:rsidRPr="00FB0140">
              <w:rPr>
                <w:rFonts w:ascii="Times New Roman" w:eastAsia="Times New Roman" w:hAnsi="Times New Roman" w:cs="Times New Roman"/>
                <w:b/>
                <w:bCs/>
                <w:lang w:eastAsia="ru-RU"/>
              </w:rPr>
              <w:t>январь-август</w:t>
            </w:r>
          </w:p>
        </w:tc>
        <w:tc>
          <w:tcPr>
            <w:tcW w:w="1148"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 xml:space="preserve"> млн. кВтч</w:t>
            </w:r>
          </w:p>
        </w:tc>
        <w:tc>
          <w:tcPr>
            <w:tcW w:w="97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w:t>
            </w:r>
          </w:p>
        </w:tc>
      </w:tr>
      <w:tr w:rsidR="00F02413" w:rsidRPr="00FB0140" w:rsidTr="00586AF8">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 </w:t>
            </w:r>
          </w:p>
        </w:tc>
        <w:tc>
          <w:tcPr>
            <w:tcW w:w="3231" w:type="dxa"/>
            <w:tcBorders>
              <w:top w:val="nil"/>
              <w:left w:val="nil"/>
              <w:bottom w:val="single" w:sz="4" w:space="0" w:color="auto"/>
              <w:right w:val="single" w:sz="4" w:space="0" w:color="auto"/>
            </w:tcBorders>
            <w:shd w:val="clear" w:color="000000" w:fill="C5D9F1"/>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АО «Самрук-Энерго»</w:t>
            </w:r>
          </w:p>
        </w:tc>
        <w:tc>
          <w:tcPr>
            <w:tcW w:w="1003" w:type="dxa"/>
            <w:tcBorders>
              <w:top w:val="nil"/>
              <w:left w:val="nil"/>
              <w:bottom w:val="single" w:sz="4" w:space="0" w:color="auto"/>
              <w:right w:val="single" w:sz="4" w:space="0" w:color="auto"/>
            </w:tcBorders>
            <w:shd w:val="clear" w:color="000000" w:fill="C5D9F1"/>
            <w:vAlign w:val="center"/>
          </w:tcPr>
          <w:p w:rsidR="00F02413" w:rsidRPr="00FB0140" w:rsidRDefault="00F02413" w:rsidP="00F02413">
            <w:pPr>
              <w:spacing w:after="0" w:line="240" w:lineRule="auto"/>
              <w:jc w:val="right"/>
              <w:rPr>
                <w:rFonts w:ascii="Times New Roman" w:hAnsi="Times New Roman" w:cs="Times New Roman"/>
                <w:b/>
                <w:bCs/>
                <w:color w:val="000000" w:themeColor="text1"/>
                <w:lang w:val="kk-KZ"/>
              </w:rPr>
            </w:pPr>
            <w:r w:rsidRPr="00FB0140">
              <w:rPr>
                <w:rFonts w:ascii="Times New Roman" w:hAnsi="Times New Roman" w:cs="Times New Roman"/>
                <w:b/>
                <w:bCs/>
                <w:color w:val="000000" w:themeColor="text1"/>
              </w:rPr>
              <w:t>18 740,7</w:t>
            </w:r>
          </w:p>
        </w:tc>
        <w:tc>
          <w:tcPr>
            <w:tcW w:w="1148" w:type="dxa"/>
            <w:tcBorders>
              <w:top w:val="nil"/>
              <w:left w:val="nil"/>
              <w:bottom w:val="single" w:sz="4" w:space="0" w:color="auto"/>
              <w:right w:val="single" w:sz="4" w:space="0" w:color="auto"/>
            </w:tcBorders>
            <w:shd w:val="clear" w:color="000000" w:fill="C5D9F1"/>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27,3%</w:t>
            </w:r>
          </w:p>
        </w:tc>
        <w:tc>
          <w:tcPr>
            <w:tcW w:w="1003" w:type="dxa"/>
            <w:tcBorders>
              <w:top w:val="nil"/>
              <w:left w:val="nil"/>
              <w:bottom w:val="single" w:sz="4" w:space="0" w:color="auto"/>
              <w:right w:val="single" w:sz="4" w:space="0" w:color="auto"/>
            </w:tcBorders>
            <w:shd w:val="clear" w:color="000000" w:fill="C5D9F1"/>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18 625,7</w:t>
            </w:r>
          </w:p>
        </w:tc>
        <w:tc>
          <w:tcPr>
            <w:tcW w:w="1148" w:type="dxa"/>
            <w:tcBorders>
              <w:top w:val="nil"/>
              <w:left w:val="nil"/>
              <w:bottom w:val="single" w:sz="4" w:space="0" w:color="auto"/>
              <w:right w:val="single" w:sz="4" w:space="0" w:color="auto"/>
            </w:tcBorders>
            <w:shd w:val="clear" w:color="000000" w:fill="C5D9F1"/>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26,8%</w:t>
            </w:r>
          </w:p>
        </w:tc>
        <w:tc>
          <w:tcPr>
            <w:tcW w:w="1134" w:type="dxa"/>
            <w:tcBorders>
              <w:top w:val="nil"/>
              <w:left w:val="nil"/>
              <w:bottom w:val="single" w:sz="4" w:space="0" w:color="auto"/>
              <w:right w:val="single" w:sz="4" w:space="0" w:color="auto"/>
            </w:tcBorders>
            <w:shd w:val="clear" w:color="000000" w:fill="C5D9F1"/>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-115,0</w:t>
            </w:r>
          </w:p>
        </w:tc>
        <w:tc>
          <w:tcPr>
            <w:tcW w:w="971" w:type="dxa"/>
            <w:tcBorders>
              <w:top w:val="nil"/>
              <w:left w:val="nil"/>
              <w:bottom w:val="single" w:sz="4" w:space="0" w:color="auto"/>
              <w:right w:val="single" w:sz="4" w:space="0" w:color="auto"/>
            </w:tcBorders>
            <w:shd w:val="clear" w:color="000000" w:fill="C5D9F1"/>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-0,6%</w:t>
            </w:r>
          </w:p>
        </w:tc>
      </w:tr>
      <w:tr w:rsidR="00F02413" w:rsidRPr="00FB0140" w:rsidTr="00586AF8">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1</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 xml:space="preserve"> АО «АлЭС»</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3 530</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5,1%</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3 488,6</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5,0%</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-41,8</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-1,2%</w:t>
            </w:r>
          </w:p>
        </w:tc>
      </w:tr>
      <w:tr w:rsidR="00F02413" w:rsidRPr="00FB0140" w:rsidTr="00586AF8">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2</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ТОО «Экибастузская ГРЭС-1»</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10 801,2</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15,7%</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11 263,0</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16,2%</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461,8</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4,3%</w:t>
            </w:r>
          </w:p>
        </w:tc>
      </w:tr>
      <w:tr w:rsidR="00F02413" w:rsidRPr="00FB0140" w:rsidTr="00586AF8">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3</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 xml:space="preserve"> АО «Экибастузская ГРЭС-2»</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3 261,9</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4,7%</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2 717,7</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3,9%</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-544,3</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-16,7%</w:t>
            </w:r>
          </w:p>
        </w:tc>
      </w:tr>
      <w:tr w:rsidR="00F02413" w:rsidRPr="00FB0140" w:rsidTr="00586AF8">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4</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 xml:space="preserve"> АО «Шардаринская ГЭС»</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345,7</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0,5%</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410,5</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0,6%</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64,9</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18,8%</w:t>
            </w:r>
          </w:p>
        </w:tc>
      </w:tr>
      <w:tr w:rsidR="00F02413" w:rsidRPr="00FB0140" w:rsidTr="00586AF8">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5</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АО «Мойнакская ГЭС»</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703,6</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1,0%</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641,2</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0,9%</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-62,4</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-8,9%</w:t>
            </w:r>
          </w:p>
        </w:tc>
      </w:tr>
      <w:tr w:rsidR="00F02413" w:rsidRPr="00FB0140" w:rsidTr="00586AF8">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6</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ТОО «Samruk-Green Energy»</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2,5</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0,004%</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2,9</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0,004%</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0,43</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17,4%</w:t>
            </w:r>
          </w:p>
        </w:tc>
      </w:tr>
      <w:tr w:rsidR="00F02413" w:rsidRPr="00FB0140" w:rsidTr="00586AF8">
        <w:trPr>
          <w:trHeight w:val="6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jc w:val="center"/>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7</w:t>
            </w:r>
          </w:p>
        </w:tc>
        <w:tc>
          <w:tcPr>
            <w:tcW w:w="323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i/>
                <w:iCs/>
                <w:color w:val="000000"/>
                <w:lang w:eastAsia="ru-RU"/>
              </w:rPr>
            </w:pPr>
            <w:r w:rsidRPr="00FB0140">
              <w:rPr>
                <w:rFonts w:ascii="Times New Roman" w:eastAsia="Times New Roman" w:hAnsi="Times New Roman" w:cs="Times New Roman"/>
                <w:i/>
                <w:iCs/>
                <w:color w:val="000000"/>
                <w:lang w:eastAsia="ru-RU"/>
              </w:rPr>
              <w:t>ТОО «Первая ветровая электрическая станция»</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95,4</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0,1%</w:t>
            </w:r>
          </w:p>
        </w:tc>
        <w:tc>
          <w:tcPr>
            <w:tcW w:w="1003"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101,8</w:t>
            </w:r>
          </w:p>
        </w:tc>
        <w:tc>
          <w:tcPr>
            <w:tcW w:w="1148"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6,5</w:t>
            </w:r>
          </w:p>
        </w:tc>
        <w:tc>
          <w:tcPr>
            <w:tcW w:w="971" w:type="dxa"/>
            <w:tcBorders>
              <w:top w:val="nil"/>
              <w:left w:val="nil"/>
              <w:bottom w:val="single" w:sz="4" w:space="0" w:color="auto"/>
              <w:right w:val="single" w:sz="4" w:space="0" w:color="auto"/>
            </w:tcBorders>
            <w:shd w:val="clear" w:color="auto" w:fill="auto"/>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6,8%</w:t>
            </w:r>
          </w:p>
        </w:tc>
      </w:tr>
    </w:tbl>
    <w:p w:rsidR="004A4775" w:rsidRPr="00FB0140" w:rsidRDefault="004A4775" w:rsidP="00BE0F2B">
      <w:pPr>
        <w:pStyle w:val="a3"/>
        <w:tabs>
          <w:tab w:val="left" w:pos="0"/>
        </w:tabs>
        <w:spacing w:after="0" w:line="240" w:lineRule="auto"/>
        <w:jc w:val="right"/>
        <w:rPr>
          <w:rFonts w:ascii="Times New Roman" w:hAnsi="Times New Roman" w:cs="Times New Roman"/>
          <w:sz w:val="28"/>
          <w:szCs w:val="28"/>
        </w:rPr>
      </w:pPr>
    </w:p>
    <w:p w:rsidR="003663EF" w:rsidRPr="00FB0140" w:rsidRDefault="003663EF" w:rsidP="00BE0F2B">
      <w:pPr>
        <w:pStyle w:val="a3"/>
        <w:tabs>
          <w:tab w:val="left" w:pos="0"/>
        </w:tabs>
        <w:spacing w:after="0" w:line="240" w:lineRule="auto"/>
        <w:jc w:val="right"/>
        <w:rPr>
          <w:rFonts w:ascii="Times New Roman" w:hAnsi="Times New Roman" w:cs="Times New Roman"/>
          <w:sz w:val="28"/>
          <w:szCs w:val="28"/>
        </w:rPr>
      </w:pPr>
    </w:p>
    <w:p w:rsidR="00457F45" w:rsidRPr="00FB0140" w:rsidRDefault="004A4775" w:rsidP="00EF4AE4">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5" w:name="_Toc516129783"/>
      <w:bookmarkStart w:id="6" w:name="_Toc34079812"/>
      <w:r w:rsidRPr="00FB0140">
        <w:rPr>
          <w:rFonts w:ascii="Times New Roman" w:hAnsi="Times New Roman" w:cs="Times New Roman"/>
          <w:b/>
          <w:color w:val="auto"/>
        </w:rPr>
        <w:t>Потребление электрической энергии в ЕЭС Казахстана</w:t>
      </w:r>
      <w:bookmarkStart w:id="7" w:name="_Toc516129784"/>
      <w:bookmarkEnd w:id="5"/>
      <w:bookmarkEnd w:id="6"/>
    </w:p>
    <w:p w:rsidR="003663EF" w:rsidRPr="00FB0140" w:rsidRDefault="003663EF" w:rsidP="00BE0F2B">
      <w:pPr>
        <w:pStyle w:val="1"/>
        <w:tabs>
          <w:tab w:val="left" w:pos="0"/>
        </w:tabs>
        <w:spacing w:before="0" w:line="240" w:lineRule="auto"/>
        <w:jc w:val="center"/>
        <w:rPr>
          <w:rFonts w:ascii="Times New Roman" w:hAnsi="Times New Roman" w:cs="Times New Roman"/>
          <w:i/>
          <w:color w:val="auto"/>
          <w:sz w:val="28"/>
        </w:rPr>
      </w:pPr>
      <w:bookmarkStart w:id="8" w:name="_Toc34079813"/>
    </w:p>
    <w:p w:rsidR="004A4775" w:rsidRPr="00FB0140" w:rsidRDefault="004A4775" w:rsidP="00BE0F2B">
      <w:pPr>
        <w:pStyle w:val="1"/>
        <w:tabs>
          <w:tab w:val="left" w:pos="0"/>
        </w:tabs>
        <w:spacing w:before="0" w:line="240" w:lineRule="auto"/>
        <w:jc w:val="center"/>
        <w:rPr>
          <w:rFonts w:ascii="Times New Roman" w:hAnsi="Times New Roman" w:cs="Times New Roman"/>
          <w:i/>
          <w:color w:val="auto"/>
          <w:sz w:val="28"/>
        </w:rPr>
      </w:pPr>
      <w:r w:rsidRPr="00FB0140">
        <w:rPr>
          <w:rFonts w:ascii="Times New Roman" w:hAnsi="Times New Roman" w:cs="Times New Roman"/>
          <w:i/>
          <w:color w:val="auto"/>
          <w:sz w:val="28"/>
        </w:rPr>
        <w:t>Потребление электрической энергии по зонам и областям</w:t>
      </w:r>
      <w:bookmarkEnd w:id="7"/>
      <w:bookmarkEnd w:id="8"/>
    </w:p>
    <w:p w:rsidR="003663EF" w:rsidRPr="00FB0140" w:rsidRDefault="003663EF" w:rsidP="00BE0F2B">
      <w:pPr>
        <w:tabs>
          <w:tab w:val="left" w:pos="0"/>
        </w:tabs>
        <w:spacing w:after="0" w:line="240" w:lineRule="auto"/>
        <w:rPr>
          <w:rFonts w:ascii="Times New Roman" w:hAnsi="Times New Roman" w:cs="Times New Roman"/>
        </w:rPr>
      </w:pPr>
    </w:p>
    <w:p w:rsidR="00EF6EFC" w:rsidRPr="00FB0140" w:rsidRDefault="00EF6EFC" w:rsidP="00EF6EFC">
      <w:pPr>
        <w:pStyle w:val="a3"/>
        <w:spacing w:after="0" w:line="240" w:lineRule="auto"/>
        <w:ind w:left="0" w:firstLine="709"/>
        <w:jc w:val="both"/>
        <w:rPr>
          <w:rFonts w:ascii="Times New Roman" w:hAnsi="Times New Roman" w:cs="Times New Roman"/>
          <w:sz w:val="28"/>
        </w:rPr>
      </w:pPr>
      <w:bookmarkStart w:id="9" w:name="_Toc34125251"/>
      <w:r w:rsidRPr="00FB0140">
        <w:rPr>
          <w:rFonts w:ascii="Times New Roman" w:hAnsi="Times New Roman" w:cs="Times New Roman"/>
          <w:sz w:val="28"/>
        </w:rPr>
        <w:t>По данным Системного оператора, в январе-августе 2020 года наблюдался рост в динамике потребления электрической энергии республики в сравнении с показателями января-август 2019 года на 1%. Так, в северной зоне республики потребление увеличилось на 1%, в западной на 2% и в южной на 0,5%.</w:t>
      </w:r>
    </w:p>
    <w:p w:rsidR="00526154" w:rsidRPr="00FB0140" w:rsidRDefault="00526154" w:rsidP="00BE0F2B">
      <w:pPr>
        <w:pStyle w:val="a3"/>
        <w:tabs>
          <w:tab w:val="left" w:pos="0"/>
        </w:tabs>
        <w:spacing w:after="0" w:line="240" w:lineRule="auto"/>
        <w:jc w:val="right"/>
        <w:rPr>
          <w:rFonts w:ascii="Times New Roman" w:hAnsi="Times New Roman" w:cs="Times New Roman"/>
          <w:i/>
          <w:sz w:val="24"/>
        </w:rPr>
      </w:pPr>
      <w:r w:rsidRPr="00FB0140">
        <w:rPr>
          <w:rFonts w:ascii="Times New Roman" w:hAnsi="Times New Roman" w:cs="Times New Roman"/>
          <w:i/>
          <w:sz w:val="24"/>
        </w:rPr>
        <w:t>млн. кВтч</w:t>
      </w:r>
    </w:p>
    <w:tbl>
      <w:tblPr>
        <w:tblW w:w="9929" w:type="dxa"/>
        <w:tblInd w:w="103" w:type="dxa"/>
        <w:tblLayout w:type="fixed"/>
        <w:tblLook w:val="04A0" w:firstRow="1" w:lastRow="0" w:firstColumn="1" w:lastColumn="0" w:noHBand="0" w:noVBand="1"/>
      </w:tblPr>
      <w:tblGrid>
        <w:gridCol w:w="507"/>
        <w:gridCol w:w="3184"/>
        <w:gridCol w:w="1660"/>
        <w:gridCol w:w="1420"/>
        <w:gridCol w:w="1598"/>
        <w:gridCol w:w="1560"/>
      </w:tblGrid>
      <w:tr w:rsidR="00EF6EFC" w:rsidRPr="00FB0140" w:rsidTr="00911C96">
        <w:trPr>
          <w:trHeight w:val="1020"/>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
                <w:bCs/>
                <w:color w:val="000000"/>
                <w:sz w:val="24"/>
                <w:szCs w:val="24"/>
                <w:lang w:eastAsia="ru-RU"/>
              </w:rPr>
            </w:pPr>
            <w:r w:rsidRPr="00FB0140">
              <w:rPr>
                <w:rFonts w:ascii="Times New Roman" w:eastAsia="Times New Roman" w:hAnsi="Times New Roman" w:cs="Times New Roman"/>
                <w:b/>
                <w:bCs/>
                <w:color w:val="000000"/>
                <w:sz w:val="24"/>
                <w:szCs w:val="24"/>
                <w:lang w:eastAsia="ru-RU"/>
              </w:rPr>
              <w:t>№</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val="en-US" w:eastAsia="ru-RU"/>
              </w:rPr>
              <w:t xml:space="preserve">янв- </w:t>
            </w:r>
            <w:r w:rsidRPr="00FB0140">
              <w:rPr>
                <w:rFonts w:ascii="Times New Roman" w:eastAsia="Times New Roman" w:hAnsi="Times New Roman" w:cs="Times New Roman"/>
                <w:b/>
                <w:bCs/>
                <w:sz w:val="24"/>
                <w:szCs w:val="24"/>
                <w:lang w:eastAsia="ru-RU"/>
              </w:rPr>
              <w:t xml:space="preserve">авг </w:t>
            </w:r>
            <w:r w:rsidRPr="00FB0140">
              <w:rPr>
                <w:rFonts w:ascii="Times New Roman" w:eastAsia="Times New Roman" w:hAnsi="Times New Roman" w:cs="Times New Roman"/>
                <w:b/>
                <w:bCs/>
                <w:sz w:val="24"/>
                <w:szCs w:val="24"/>
                <w:lang w:val="en-US" w:eastAsia="ru-RU"/>
              </w:rPr>
              <w:t>201</w:t>
            </w:r>
            <w:r w:rsidRPr="00FB0140">
              <w:rPr>
                <w:rFonts w:ascii="Times New Roman" w:eastAsia="Times New Roman" w:hAnsi="Times New Roman" w:cs="Times New Roman"/>
                <w:b/>
                <w:bCs/>
                <w:sz w:val="24"/>
                <w:szCs w:val="24"/>
                <w:lang w:eastAsia="ru-RU"/>
              </w:rPr>
              <w:t>9</w:t>
            </w:r>
            <w:r w:rsidRPr="00FB0140">
              <w:rPr>
                <w:rFonts w:ascii="Times New Roman" w:eastAsia="Times New Roman" w:hAnsi="Times New Roman" w:cs="Times New Roman"/>
                <w:b/>
                <w:bCs/>
                <w:sz w:val="24"/>
                <w:szCs w:val="24"/>
                <w:lang w:val="en-US" w:eastAsia="ru-RU"/>
              </w:rPr>
              <w:t>г</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val="en-US" w:eastAsia="ru-RU"/>
              </w:rPr>
            </w:pPr>
            <w:r w:rsidRPr="00FB0140">
              <w:rPr>
                <w:rFonts w:ascii="Times New Roman" w:eastAsia="Times New Roman" w:hAnsi="Times New Roman" w:cs="Times New Roman"/>
                <w:b/>
                <w:bCs/>
                <w:sz w:val="24"/>
                <w:szCs w:val="24"/>
                <w:lang w:val="en-US" w:eastAsia="ru-RU"/>
              </w:rPr>
              <w:t xml:space="preserve">янв- </w:t>
            </w:r>
            <w:r w:rsidRPr="00FB0140">
              <w:rPr>
                <w:rFonts w:ascii="Times New Roman" w:eastAsia="Times New Roman" w:hAnsi="Times New Roman" w:cs="Times New Roman"/>
                <w:b/>
                <w:bCs/>
                <w:sz w:val="24"/>
                <w:szCs w:val="24"/>
                <w:lang w:eastAsia="ru-RU"/>
              </w:rPr>
              <w:t>авг</w:t>
            </w:r>
            <w:r w:rsidRPr="00FB0140">
              <w:rPr>
                <w:rFonts w:ascii="Times New Roman" w:eastAsia="Times New Roman" w:hAnsi="Times New Roman" w:cs="Times New Roman"/>
                <w:b/>
                <w:bCs/>
                <w:sz w:val="24"/>
                <w:szCs w:val="24"/>
                <w:lang w:val="en-US" w:eastAsia="ru-RU"/>
              </w:rPr>
              <w:t xml:space="preserve"> 20</w:t>
            </w:r>
            <w:r w:rsidRPr="00FB0140">
              <w:rPr>
                <w:rFonts w:ascii="Times New Roman" w:eastAsia="Times New Roman" w:hAnsi="Times New Roman" w:cs="Times New Roman"/>
                <w:b/>
                <w:bCs/>
                <w:sz w:val="24"/>
                <w:szCs w:val="24"/>
                <w:lang w:eastAsia="ru-RU"/>
              </w:rPr>
              <w:t>20</w:t>
            </w:r>
            <w:r w:rsidRPr="00FB0140">
              <w:rPr>
                <w:rFonts w:ascii="Times New Roman" w:eastAsia="Times New Roman" w:hAnsi="Times New Roman" w:cs="Times New Roman"/>
                <w:b/>
                <w:bCs/>
                <w:sz w:val="24"/>
                <w:szCs w:val="24"/>
                <w:lang w:val="en-US" w:eastAsia="ru-RU"/>
              </w:rPr>
              <w:t xml:space="preserve">г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hAnsi="Times New Roman" w:cs="Times New Roman"/>
                <w:b/>
                <w:sz w:val="24"/>
                <w:szCs w:val="24"/>
              </w:rPr>
              <w:t>Δ,</w:t>
            </w:r>
            <w:r w:rsidRPr="00FB0140">
              <w:rPr>
                <w:rFonts w:ascii="Times New Roman" w:eastAsia="Times New Roman" w:hAnsi="Times New Roman" w:cs="Times New Roman"/>
                <w:b/>
                <w:bCs/>
                <w:sz w:val="24"/>
                <w:szCs w:val="24"/>
                <w:lang w:eastAsia="ru-RU"/>
              </w:rPr>
              <w:t xml:space="preserve"> </w:t>
            </w:r>
            <w:r w:rsidRPr="00FB0140">
              <w:rPr>
                <w:rFonts w:ascii="Times New Roman" w:eastAsia="Times New Roman" w:hAnsi="Times New Roman" w:cs="Times New Roman"/>
                <w:b/>
                <w:bCs/>
                <w:sz w:val="24"/>
                <w:szCs w:val="24"/>
                <w:lang w:eastAsia="ru-RU"/>
              </w:rPr>
              <w:br/>
              <w:t>млн. кВтч</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hAnsi="Times New Roman" w:cs="Times New Roman"/>
                <w:b/>
                <w:sz w:val="24"/>
                <w:szCs w:val="24"/>
              </w:rPr>
              <w:t xml:space="preserve">Δ, </w:t>
            </w:r>
            <w:r w:rsidRPr="00FB0140">
              <w:rPr>
                <w:rFonts w:ascii="Times New Roman" w:eastAsia="Times New Roman" w:hAnsi="Times New Roman" w:cs="Times New Roman"/>
                <w:b/>
                <w:bCs/>
                <w:sz w:val="24"/>
                <w:szCs w:val="24"/>
                <w:lang w:eastAsia="ru-RU"/>
              </w:rPr>
              <w:t>%</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Казахстан</w:t>
            </w:r>
          </w:p>
        </w:tc>
        <w:tc>
          <w:tcPr>
            <w:tcW w:w="1660" w:type="dxa"/>
            <w:tcBorders>
              <w:top w:val="nil"/>
              <w:left w:val="nil"/>
              <w:bottom w:val="single" w:sz="4" w:space="0" w:color="auto"/>
              <w:right w:val="single" w:sz="4" w:space="0" w:color="auto"/>
            </w:tcBorders>
            <w:shd w:val="clear" w:color="auto" w:fill="17365D" w:themeFill="text2" w:themeFillShade="BF"/>
            <w:vAlign w:val="bottom"/>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68 557,9</w:t>
            </w:r>
          </w:p>
        </w:tc>
        <w:tc>
          <w:tcPr>
            <w:tcW w:w="1420" w:type="dxa"/>
            <w:tcBorders>
              <w:top w:val="nil"/>
              <w:left w:val="nil"/>
              <w:bottom w:val="single" w:sz="4" w:space="0" w:color="auto"/>
              <w:right w:val="single" w:sz="4" w:space="0" w:color="auto"/>
            </w:tcBorders>
            <w:shd w:val="clear" w:color="auto" w:fill="17365D" w:themeFill="text2" w:themeFillShade="BF"/>
            <w:vAlign w:val="bottom"/>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69 437,3</w:t>
            </w:r>
          </w:p>
        </w:tc>
        <w:tc>
          <w:tcPr>
            <w:tcW w:w="1598" w:type="dxa"/>
            <w:tcBorders>
              <w:top w:val="nil"/>
              <w:left w:val="nil"/>
              <w:bottom w:val="single" w:sz="4" w:space="0" w:color="auto"/>
              <w:right w:val="single" w:sz="4" w:space="0" w:color="auto"/>
            </w:tcBorders>
            <w:shd w:val="clear" w:color="auto" w:fill="17365D" w:themeFill="text2" w:themeFillShade="BF"/>
            <w:vAlign w:val="bottom"/>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879,4</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EF6EFC" w:rsidRPr="00FB0140" w:rsidRDefault="00EF6EFC" w:rsidP="00911C96">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1%</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Северная зона</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44 958,2</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45 626,3</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668,1</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Западная зона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8 880,8</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9 023,3</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142,5</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Южная зона</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14 718,9</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14 787,7</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68,8</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0,5%</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EF6EFC" w:rsidRPr="00FB0140" w:rsidRDefault="00EF6EFC" w:rsidP="00911C96">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EF6EFC" w:rsidRPr="00FB0140" w:rsidRDefault="00EF6EFC" w:rsidP="00911C96">
            <w:pPr>
              <w:spacing w:after="0" w:line="240" w:lineRule="auto"/>
              <w:rPr>
                <w:rFonts w:ascii="Times New Roman" w:eastAsia="Times New Roman" w:hAnsi="Times New Roman" w:cs="Times New Roman"/>
                <w:b/>
                <w:bCs/>
                <w:i/>
                <w:sz w:val="24"/>
                <w:szCs w:val="24"/>
                <w:lang w:eastAsia="ru-RU"/>
              </w:rPr>
            </w:pPr>
            <w:r w:rsidRPr="00FB0140">
              <w:rPr>
                <w:rFonts w:ascii="Times New Roman" w:eastAsia="Times New Roman" w:hAnsi="Times New Roman" w:cs="Times New Roman"/>
                <w:b/>
                <w:bCs/>
                <w:i/>
                <w:sz w:val="24"/>
                <w:szCs w:val="24"/>
                <w:lang w:eastAsia="ru-RU"/>
              </w:rPr>
              <w:t>в т.ч. по областям</w:t>
            </w:r>
          </w:p>
        </w:tc>
        <w:tc>
          <w:tcPr>
            <w:tcW w:w="1660" w:type="dxa"/>
            <w:tcBorders>
              <w:top w:val="nil"/>
              <w:left w:val="nil"/>
              <w:bottom w:val="single" w:sz="4" w:space="0" w:color="auto"/>
              <w:right w:val="single" w:sz="4" w:space="0" w:color="auto"/>
            </w:tcBorders>
            <w:shd w:val="clear" w:color="auto" w:fill="C6D9F1" w:themeFill="text2" w:themeFillTint="33"/>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p>
        </w:tc>
        <w:tc>
          <w:tcPr>
            <w:tcW w:w="1420" w:type="dxa"/>
            <w:tcBorders>
              <w:top w:val="nil"/>
              <w:left w:val="nil"/>
              <w:bottom w:val="single" w:sz="4" w:space="0" w:color="auto"/>
              <w:right w:val="single" w:sz="4" w:space="0" w:color="auto"/>
            </w:tcBorders>
            <w:shd w:val="clear" w:color="auto" w:fill="C6D9F1" w:themeFill="text2" w:themeFillTint="33"/>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p>
        </w:tc>
        <w:tc>
          <w:tcPr>
            <w:tcW w:w="1598" w:type="dxa"/>
            <w:tcBorders>
              <w:top w:val="nil"/>
              <w:left w:val="nil"/>
              <w:bottom w:val="single" w:sz="4" w:space="0" w:color="auto"/>
              <w:right w:val="single" w:sz="4" w:space="0" w:color="auto"/>
            </w:tcBorders>
            <w:shd w:val="clear" w:color="auto" w:fill="C6D9F1" w:themeFill="text2" w:themeFillTint="33"/>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6 109,4</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6 062,9</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-46,5</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Карагандинская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11 737,3</w:t>
            </w:r>
          </w:p>
        </w:tc>
        <w:tc>
          <w:tcPr>
            <w:tcW w:w="1420"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12 005,1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267,8</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Акмолинская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5 905</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5 743,6</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-161,4</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Северо-Казахстанская</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1 129,4</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1 055,3</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-74,1</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Костанайская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3 093,9</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2 942,7</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-151,2</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Павлодарская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12 739,1</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13 465,8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726,7</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Атырауская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4 126,4</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4 185,8</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59,4</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Мангистауская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3 427,8</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3 364,3</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-63,5</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Актюбинская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4 244,2</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4 350,9</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106,7</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Западно-Казахстанская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1 326,6</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1 473,2</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146,6</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11%</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Алматинская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7 329,8</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7 174,1</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-155,7</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Туркестанская</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3 363,4</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3 334,2</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-29,2</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Жамбылская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2 872,8</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3 174</w:t>
            </w:r>
          </w:p>
        </w:tc>
        <w:tc>
          <w:tcPr>
            <w:tcW w:w="1598" w:type="dxa"/>
            <w:tcBorders>
              <w:top w:val="nil"/>
              <w:left w:val="nil"/>
              <w:bottom w:val="single" w:sz="4" w:space="0" w:color="auto"/>
              <w:right w:val="single" w:sz="4" w:space="0" w:color="auto"/>
            </w:tcBorders>
            <w:shd w:val="clear" w:color="auto" w:fill="FFFFFF" w:themeFill="background1"/>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301,2</w:t>
            </w:r>
          </w:p>
        </w:tc>
        <w:tc>
          <w:tcPr>
            <w:tcW w:w="1560" w:type="dxa"/>
            <w:tcBorders>
              <w:top w:val="nil"/>
              <w:left w:val="nil"/>
              <w:bottom w:val="single" w:sz="4" w:space="0" w:color="auto"/>
              <w:right w:val="single" w:sz="4" w:space="0" w:color="auto"/>
            </w:tcBorders>
            <w:shd w:val="clear" w:color="auto" w:fill="FFFFFF" w:themeFill="background1"/>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10%</w:t>
            </w:r>
          </w:p>
        </w:tc>
      </w:tr>
      <w:tr w:rsidR="00EF6EFC" w:rsidRPr="00FB0140" w:rsidTr="00911C96">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EF6EFC" w:rsidRPr="00FB0140" w:rsidRDefault="00EF6EFC" w:rsidP="00911C96">
            <w:pPr>
              <w:spacing w:after="0" w:line="240" w:lineRule="auto"/>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 xml:space="preserve">Кызылординская </w:t>
            </w:r>
          </w:p>
        </w:tc>
        <w:tc>
          <w:tcPr>
            <w:tcW w:w="166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iCs/>
                <w:color w:val="000000"/>
                <w:sz w:val="24"/>
                <w:szCs w:val="24"/>
                <w:lang w:eastAsia="ru-RU"/>
              </w:rPr>
            </w:pPr>
            <w:r w:rsidRPr="00FB0140">
              <w:rPr>
                <w:rFonts w:ascii="Times New Roman" w:eastAsia="Times New Roman" w:hAnsi="Times New Roman" w:cs="Times New Roman"/>
                <w:bCs/>
                <w:iCs/>
                <w:color w:val="000000"/>
                <w:sz w:val="24"/>
                <w:szCs w:val="24"/>
                <w:lang w:eastAsia="ru-RU"/>
              </w:rPr>
              <w:t>1 152,9</w:t>
            </w:r>
          </w:p>
        </w:tc>
        <w:tc>
          <w:tcPr>
            <w:tcW w:w="1420"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1 105,4</w:t>
            </w:r>
          </w:p>
        </w:tc>
        <w:tc>
          <w:tcPr>
            <w:tcW w:w="1598" w:type="dxa"/>
            <w:tcBorders>
              <w:top w:val="nil"/>
              <w:left w:val="nil"/>
              <w:bottom w:val="single" w:sz="4" w:space="0" w:color="auto"/>
              <w:right w:val="single" w:sz="4" w:space="0" w:color="auto"/>
            </w:tcBorders>
            <w:shd w:val="clear" w:color="000000" w:fill="FFFFFF"/>
            <w:noWrap/>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-47,5</w:t>
            </w:r>
          </w:p>
        </w:tc>
        <w:tc>
          <w:tcPr>
            <w:tcW w:w="1560" w:type="dxa"/>
            <w:tcBorders>
              <w:top w:val="nil"/>
              <w:left w:val="nil"/>
              <w:bottom w:val="single" w:sz="4" w:space="0" w:color="auto"/>
              <w:right w:val="single" w:sz="4" w:space="0" w:color="auto"/>
            </w:tcBorders>
            <w:shd w:val="clear" w:color="auto" w:fill="auto"/>
            <w:vAlign w:val="bottom"/>
          </w:tcPr>
          <w:p w:rsidR="00EF6EFC" w:rsidRPr="00FB0140" w:rsidRDefault="00EF6EFC" w:rsidP="00911C96">
            <w:pPr>
              <w:spacing w:after="0" w:line="240" w:lineRule="auto"/>
              <w:jc w:val="center"/>
              <w:rPr>
                <w:rFonts w:ascii="Times New Roman" w:eastAsia="Times New Roman" w:hAnsi="Times New Roman" w:cs="Times New Roman"/>
                <w:bCs/>
                <w:sz w:val="24"/>
                <w:szCs w:val="24"/>
                <w:lang w:eastAsia="ru-RU"/>
              </w:rPr>
            </w:pPr>
            <w:r w:rsidRPr="00FB0140">
              <w:rPr>
                <w:rFonts w:ascii="Times New Roman" w:eastAsia="Times New Roman" w:hAnsi="Times New Roman" w:cs="Times New Roman"/>
                <w:bCs/>
                <w:sz w:val="24"/>
                <w:szCs w:val="24"/>
                <w:lang w:eastAsia="ru-RU"/>
              </w:rPr>
              <w:t>-4%</w:t>
            </w:r>
          </w:p>
        </w:tc>
      </w:tr>
    </w:tbl>
    <w:p w:rsidR="007943E5" w:rsidRPr="00FB0140" w:rsidRDefault="007943E5" w:rsidP="00BE0F2B">
      <w:pPr>
        <w:pStyle w:val="1"/>
        <w:tabs>
          <w:tab w:val="left" w:pos="0"/>
        </w:tabs>
        <w:spacing w:before="0" w:line="240" w:lineRule="auto"/>
        <w:jc w:val="center"/>
        <w:rPr>
          <w:rFonts w:ascii="Times New Roman" w:hAnsi="Times New Roman" w:cs="Times New Roman"/>
          <w:b/>
          <w:color w:val="auto"/>
          <w:sz w:val="28"/>
        </w:rPr>
      </w:pPr>
    </w:p>
    <w:p w:rsidR="00F02413" w:rsidRPr="00FB0140" w:rsidRDefault="00F02413" w:rsidP="00F02413">
      <w:pPr>
        <w:pStyle w:val="1"/>
        <w:spacing w:before="0" w:line="240" w:lineRule="auto"/>
        <w:jc w:val="center"/>
        <w:rPr>
          <w:rFonts w:ascii="Times New Roman" w:hAnsi="Times New Roman" w:cs="Times New Roman"/>
          <w:b/>
          <w:color w:val="auto"/>
          <w:sz w:val="28"/>
        </w:rPr>
      </w:pPr>
      <w:bookmarkStart w:id="10" w:name="_Toc510196468"/>
      <w:bookmarkEnd w:id="9"/>
      <w:r w:rsidRPr="00FB0140">
        <w:rPr>
          <w:rFonts w:ascii="Times New Roman" w:hAnsi="Times New Roman" w:cs="Times New Roman"/>
          <w:b/>
          <w:color w:val="auto"/>
          <w:sz w:val="28"/>
        </w:rPr>
        <w:t>Итоги работы промышленности в январе-августе 2020 года</w:t>
      </w:r>
      <w:bookmarkEnd w:id="10"/>
      <w:r w:rsidRPr="00FB0140">
        <w:rPr>
          <w:rFonts w:ascii="Times New Roman" w:hAnsi="Times New Roman" w:cs="Times New Roman"/>
          <w:b/>
          <w:color w:val="auto"/>
          <w:sz w:val="28"/>
        </w:rPr>
        <w:t xml:space="preserve"> </w:t>
      </w:r>
    </w:p>
    <w:p w:rsidR="00F02413" w:rsidRPr="00FB0140" w:rsidRDefault="00F02413" w:rsidP="00F02413">
      <w:pPr>
        <w:pStyle w:val="ab"/>
        <w:spacing w:before="0" w:beforeAutospacing="0" w:after="0" w:afterAutospacing="0"/>
        <w:jc w:val="center"/>
        <w:rPr>
          <w:i/>
          <w:szCs w:val="22"/>
        </w:rPr>
      </w:pPr>
      <w:r w:rsidRPr="00FB0140">
        <w:rPr>
          <w:i/>
          <w:szCs w:val="22"/>
        </w:rPr>
        <w:t>(экспресс-информация Комитета по статистике МНЭ РК)</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январе-августе 2020г. по сравнению с январем-августом 2019 года индекс промышленного производства составил 100,4%. Увеличение объемов производства зафиксировано в 12 регионах республики, снижение наблюдалось в Кызылординской, Мангистауской, Актюбинской, Восточно-Казахстанской областях и г.Шымкент.</w:t>
      </w:r>
    </w:p>
    <w:p w:rsidR="00F02413" w:rsidRPr="00FB0140" w:rsidRDefault="00F02413" w:rsidP="00F02413">
      <w:pPr>
        <w:pStyle w:val="OsnTxt"/>
        <w:spacing w:line="240" w:lineRule="auto"/>
        <w:ind w:right="-284"/>
        <w:jc w:val="center"/>
        <w:rPr>
          <w:rFonts w:ascii="Times New Roman" w:hAnsi="Times New Roman"/>
          <w:b/>
          <w:sz w:val="28"/>
          <w:szCs w:val="28"/>
        </w:rPr>
      </w:pPr>
      <w:r w:rsidRPr="00FB0140">
        <w:rPr>
          <w:rFonts w:ascii="Times New Roman" w:hAnsi="Times New Roman"/>
          <w:b/>
          <w:sz w:val="28"/>
          <w:szCs w:val="28"/>
        </w:rPr>
        <w:t>Изменение объемов промышленной продукции по регионам</w:t>
      </w:r>
    </w:p>
    <w:p w:rsidR="00F02413" w:rsidRPr="00FB0140" w:rsidRDefault="00F02413" w:rsidP="00F02413">
      <w:pPr>
        <w:pStyle w:val="OsnTxt"/>
        <w:spacing w:line="240" w:lineRule="auto"/>
        <w:ind w:right="-284"/>
        <w:jc w:val="right"/>
        <w:rPr>
          <w:rFonts w:ascii="Times New Roman" w:hAnsi="Times New Roman"/>
          <w:i/>
          <w:sz w:val="28"/>
          <w:szCs w:val="28"/>
        </w:rPr>
      </w:pPr>
      <w:r w:rsidRPr="00FB0140">
        <w:rPr>
          <w:rFonts w:ascii="Times New Roman" w:hAnsi="Times New Roman"/>
          <w:i/>
          <w:sz w:val="28"/>
          <w:szCs w:val="28"/>
        </w:rPr>
        <w:t>в % к соответствующему периоду предыдущего года</w:t>
      </w:r>
    </w:p>
    <w:p w:rsidR="00F02413" w:rsidRPr="00FB0140" w:rsidRDefault="00F02413" w:rsidP="00F02413">
      <w:pPr>
        <w:pStyle w:val="OsnTxt"/>
        <w:spacing w:line="240" w:lineRule="auto"/>
        <w:ind w:right="-284"/>
        <w:jc w:val="center"/>
        <w:rPr>
          <w:rFonts w:ascii="Times New Roman" w:hAnsi="Times New Roman"/>
        </w:rPr>
      </w:pPr>
      <w:r w:rsidRPr="00FB0140">
        <w:rPr>
          <w:rFonts w:ascii="Times New Roman" w:hAnsi="Times New Roman"/>
          <w:noProof/>
        </w:rPr>
        <w:drawing>
          <wp:inline distT="0" distB="0" distL="0" distR="0" wp14:anchorId="34ED2CC9" wp14:editId="09DBF084">
            <wp:extent cx="5286375" cy="2817495"/>
            <wp:effectExtent l="0" t="0" r="9525" b="19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Костанайской области увеличилась добыча железорудных концентратов, возросло производство муки, прутков и стержней из стали, легковых и грузовых автомобилей (107,2%).</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Северо-Казахстанской области отмечен рост добычи урановых руд, возросло производство нерафинированного рапсового масла, обработанного молока, сливочного масла, муки и несамоходных грузовых вагонов (106,8%).</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г.Нур-Султан возросло производство безалкогольных напитков, аффинированного золота, дизельных локомотивов и железнодорожных вагонов (105,5%).</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Акмолинской области возросла добыча медных и золотосодержащих концентратов, увеличилось производство муки, портландцемента, золота в сплаве Доре, необработанного золота и тракторов (104,9%).</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Алматинской области увеличилось производство кондитерских изделий и шоколада, безалкогольных напитков, сигарет, лекарств, монтажных панелей и приборных щитов (104,8%).</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г.Алматы увеличилось производство пива, обуви из кожи, лекарств, консервных банок из черных металлов и прочих алюминиевых металлических изделий (103%).</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Карагандинской области отмечен рост добычи медных и цинковых концентратов, возросло производство плоского проката, аффинированного золота, черновой и рафинированной меди (102,6%).</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Западно-Казахстанской области из-за увеличения добычи газового конденсата индекс промышленного производства составил 102,4%.</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Туркестанской области наблюдалось увеличение производства обработанного хлопка, нефтянного битума, товарного бетона и распределительных силовых щитов и коробок (102,2%).</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Жамбылской области возросла добыча золотосодержащих руд и фосфатного сырья, увеличилось производство фосфора, ортофосфорной кислоты и фосфорных удобрений (101,6%).</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Атырауской области за счет увеличения объемов добычи сырой нефти индекс промышленного производства составил 100,7%.</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Павлодарской области увеличилась добыча медных концентратов, возросло производство части железнодорожных локомотивов, трамвайных моторных вагонов и подвижного состава (100,5%).</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Восточно-Казахстанской области за счет сокращения добычи медных руд и концентратов, уменьшения производства монет и медалей индекс промышленного производства составил 98,5%.</w:t>
      </w: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В г.Шымкент за счет сокращения производства керосина, дизельного топлива, топочного мазута и вакуумной газойли индекс промышленного производства составил 98,2%.</w:t>
      </w:r>
    </w:p>
    <w:p w:rsidR="00F02413" w:rsidRPr="00FB0140" w:rsidRDefault="00F02413" w:rsidP="00F02413">
      <w:pPr>
        <w:pStyle w:val="OsnTxt"/>
        <w:spacing w:line="240" w:lineRule="auto"/>
        <w:ind w:right="-284"/>
        <w:rPr>
          <w:rFonts w:ascii="Times New Roman" w:eastAsiaTheme="minorHAnsi" w:hAnsi="Times New Roman"/>
          <w:i/>
          <w:sz w:val="28"/>
          <w:szCs w:val="22"/>
          <w:lang w:eastAsia="en-US"/>
        </w:rPr>
      </w:pPr>
      <w:r w:rsidRPr="00FB0140">
        <w:rPr>
          <w:rFonts w:ascii="Times New Roman" w:eastAsiaTheme="minorHAnsi" w:hAnsi="Times New Roman"/>
          <w:sz w:val="28"/>
          <w:szCs w:val="22"/>
          <w:lang w:eastAsia="en-US"/>
        </w:rPr>
        <w:t>Индекс промышленного производства в Актюбинской области составил 97,1%, Мангистауской 94,1% и Кызылординской 88,5% в основном за счет снижения добычи сырой нефти.</w:t>
      </w:r>
      <w:r w:rsidRPr="00FB0140">
        <w:rPr>
          <w:rFonts w:ascii="Times New Roman" w:eastAsiaTheme="minorHAnsi" w:hAnsi="Times New Roman"/>
          <w:i/>
          <w:sz w:val="28"/>
          <w:szCs w:val="22"/>
          <w:lang w:eastAsia="en-US"/>
        </w:rPr>
        <w:t xml:space="preserve"> </w:t>
      </w:r>
    </w:p>
    <w:p w:rsidR="00070D22" w:rsidRPr="00FB0140" w:rsidRDefault="006B0E95" w:rsidP="00BE0F2B">
      <w:pPr>
        <w:pStyle w:val="OsnTxt"/>
        <w:tabs>
          <w:tab w:val="left" w:pos="0"/>
        </w:tabs>
        <w:spacing w:line="240" w:lineRule="auto"/>
        <w:rPr>
          <w:rFonts w:ascii="Times New Roman" w:eastAsiaTheme="minorHAnsi" w:hAnsi="Times New Roman"/>
          <w:i/>
          <w:sz w:val="22"/>
          <w:szCs w:val="22"/>
          <w:lang w:eastAsia="en-US"/>
        </w:rPr>
      </w:pPr>
      <w:r w:rsidRPr="00FB0140">
        <w:rPr>
          <w:rFonts w:ascii="Times New Roman" w:eastAsiaTheme="minorHAnsi" w:hAnsi="Times New Roman"/>
          <w:i/>
          <w:sz w:val="22"/>
          <w:szCs w:val="22"/>
          <w:lang w:eastAsia="en-US"/>
        </w:rPr>
        <w:t xml:space="preserve"> </w:t>
      </w:r>
      <w:r w:rsidR="00070D22" w:rsidRPr="00FB0140">
        <w:rPr>
          <w:rFonts w:ascii="Times New Roman" w:eastAsiaTheme="minorHAnsi" w:hAnsi="Times New Roman"/>
          <w:i/>
          <w:sz w:val="22"/>
          <w:szCs w:val="22"/>
          <w:lang w:eastAsia="en-US"/>
        </w:rPr>
        <w:t xml:space="preserve">(Источник: </w:t>
      </w:r>
      <w:hyperlink r:id="rId10" w:history="1">
        <w:r w:rsidR="00070D22" w:rsidRPr="00FB0140">
          <w:rPr>
            <w:rFonts w:ascii="Times New Roman" w:eastAsiaTheme="minorHAnsi" w:hAnsi="Times New Roman"/>
            <w:i/>
            <w:sz w:val="22"/>
            <w:szCs w:val="22"/>
            <w:lang w:eastAsia="en-US"/>
          </w:rPr>
          <w:t>www.stat.gov.kz</w:t>
        </w:r>
      </w:hyperlink>
      <w:r w:rsidR="00070D22" w:rsidRPr="00FB0140">
        <w:rPr>
          <w:rFonts w:ascii="Times New Roman" w:eastAsiaTheme="minorHAnsi" w:hAnsi="Times New Roman"/>
          <w:i/>
          <w:sz w:val="22"/>
          <w:szCs w:val="22"/>
          <w:lang w:eastAsia="en-US"/>
        </w:rPr>
        <w:t>)</w:t>
      </w:r>
    </w:p>
    <w:p w:rsidR="00BC7CB8" w:rsidRPr="00FB0140" w:rsidRDefault="00BC7CB8" w:rsidP="00BE0F2B">
      <w:pPr>
        <w:pStyle w:val="OsnTxt"/>
        <w:tabs>
          <w:tab w:val="left" w:pos="0"/>
        </w:tabs>
        <w:spacing w:line="240" w:lineRule="auto"/>
        <w:ind w:firstLine="0"/>
        <w:rPr>
          <w:rFonts w:ascii="Times New Roman" w:eastAsiaTheme="minorHAnsi" w:hAnsi="Times New Roman"/>
          <w:i/>
          <w:sz w:val="22"/>
          <w:szCs w:val="22"/>
          <w:lang w:eastAsia="en-US"/>
        </w:rPr>
      </w:pPr>
    </w:p>
    <w:p w:rsidR="00070D22" w:rsidRPr="00FB0140" w:rsidRDefault="00070D22" w:rsidP="00BE0F2B">
      <w:pPr>
        <w:pStyle w:val="1"/>
        <w:tabs>
          <w:tab w:val="left" w:pos="0"/>
        </w:tabs>
        <w:spacing w:before="0" w:line="240" w:lineRule="auto"/>
        <w:jc w:val="center"/>
        <w:rPr>
          <w:rFonts w:ascii="Times New Roman" w:hAnsi="Times New Roman" w:cs="Times New Roman"/>
          <w:i/>
          <w:color w:val="auto"/>
          <w:sz w:val="28"/>
        </w:rPr>
      </w:pPr>
      <w:bookmarkStart w:id="11" w:name="_Toc510196469"/>
      <w:bookmarkStart w:id="12" w:name="_Toc34079815"/>
      <w:bookmarkStart w:id="13" w:name="_Toc2249075"/>
      <w:r w:rsidRPr="00FB0140">
        <w:rPr>
          <w:rFonts w:ascii="Times New Roman" w:hAnsi="Times New Roman" w:cs="Times New Roman"/>
          <w:i/>
          <w:color w:val="auto"/>
          <w:sz w:val="28"/>
        </w:rPr>
        <w:t>Электропотребление крупными потребителями Казахстана</w:t>
      </w:r>
      <w:bookmarkEnd w:id="11"/>
      <w:bookmarkEnd w:id="12"/>
    </w:p>
    <w:bookmarkEnd w:id="13"/>
    <w:p w:rsidR="00B601C1" w:rsidRPr="00FB0140" w:rsidRDefault="00B601C1" w:rsidP="00BE0F2B">
      <w:pPr>
        <w:pStyle w:val="OsnTxt"/>
        <w:tabs>
          <w:tab w:val="left" w:pos="0"/>
        </w:tabs>
        <w:spacing w:line="240" w:lineRule="auto"/>
        <w:rPr>
          <w:rFonts w:ascii="Times New Roman" w:eastAsiaTheme="minorHAnsi" w:hAnsi="Times New Roman"/>
          <w:sz w:val="28"/>
          <w:szCs w:val="22"/>
          <w:lang w:eastAsia="en-US"/>
        </w:rPr>
      </w:pPr>
    </w:p>
    <w:p w:rsidR="00F02413" w:rsidRPr="00FB0140" w:rsidRDefault="00F02413" w:rsidP="00F02413">
      <w:pPr>
        <w:pStyle w:val="OsnTxt"/>
        <w:spacing w:line="240" w:lineRule="auto"/>
        <w:ind w:right="-284"/>
        <w:rPr>
          <w:rFonts w:ascii="Times New Roman" w:eastAsiaTheme="minorHAnsi" w:hAnsi="Times New Roman"/>
          <w:sz w:val="28"/>
          <w:szCs w:val="22"/>
          <w:lang w:eastAsia="en-US"/>
        </w:rPr>
      </w:pPr>
      <w:r w:rsidRPr="00FB0140">
        <w:rPr>
          <w:rFonts w:ascii="Times New Roman" w:eastAsiaTheme="minorHAnsi" w:hAnsi="Times New Roman"/>
          <w:sz w:val="28"/>
          <w:szCs w:val="22"/>
          <w:lang w:eastAsia="en-US"/>
        </w:rPr>
        <w:t xml:space="preserve">За январь-август 2020 года по отношению к аналогичному периоду 2019 года потребление электроэнергии по крупным потребителям снизилось на 2,5%. </w:t>
      </w:r>
    </w:p>
    <w:p w:rsidR="00F02413" w:rsidRPr="00FB0140" w:rsidRDefault="00F02413" w:rsidP="00F02413">
      <w:pPr>
        <w:spacing w:after="0" w:line="240" w:lineRule="auto"/>
        <w:jc w:val="right"/>
        <w:rPr>
          <w:rFonts w:ascii="Times New Roman" w:hAnsi="Times New Roman" w:cs="Times New Roman"/>
          <w:i/>
          <w:sz w:val="28"/>
        </w:rPr>
      </w:pPr>
      <w:r w:rsidRPr="00FB0140">
        <w:rPr>
          <w:rFonts w:ascii="Times New Roman" w:hAnsi="Times New Roman" w:cs="Times New Roman"/>
          <w:i/>
          <w:sz w:val="24"/>
          <w:szCs w:val="24"/>
        </w:rPr>
        <w:t>млн. кВтч</w:t>
      </w:r>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F02413" w:rsidRPr="00FB0140" w:rsidTr="00F02413">
        <w:trPr>
          <w:trHeight w:val="449"/>
          <w:jc w:val="center"/>
        </w:trPr>
        <w:tc>
          <w:tcPr>
            <w:tcW w:w="567" w:type="dxa"/>
            <w:vMerge w:val="restart"/>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 п/п</w:t>
            </w:r>
          </w:p>
        </w:tc>
        <w:tc>
          <w:tcPr>
            <w:tcW w:w="6096" w:type="dxa"/>
            <w:vMerge w:val="restart"/>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Потребитель</w:t>
            </w:r>
          </w:p>
        </w:tc>
        <w:tc>
          <w:tcPr>
            <w:tcW w:w="3260" w:type="dxa"/>
            <w:gridSpan w:val="3"/>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Январь-август</w:t>
            </w:r>
          </w:p>
        </w:tc>
      </w:tr>
      <w:tr w:rsidR="00F02413" w:rsidRPr="00FB0140" w:rsidTr="00F02413">
        <w:trPr>
          <w:trHeight w:val="355"/>
          <w:jc w:val="center"/>
        </w:trPr>
        <w:tc>
          <w:tcPr>
            <w:tcW w:w="567" w:type="dxa"/>
            <w:vMerge/>
            <w:shd w:val="clear" w:color="auto" w:fill="B6DDE8" w:themeFill="accent5" w:themeFillTint="66"/>
            <w:vAlign w:val="center"/>
          </w:tcPr>
          <w:p w:rsidR="00F02413" w:rsidRPr="00FB0140" w:rsidRDefault="00F02413" w:rsidP="00F02413">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F02413" w:rsidRPr="00FB0140" w:rsidRDefault="00F02413" w:rsidP="00F02413">
            <w:pPr>
              <w:pStyle w:val="a3"/>
              <w:ind w:left="0"/>
              <w:jc w:val="center"/>
              <w:rPr>
                <w:rFonts w:ascii="Times New Roman" w:hAnsi="Times New Roman" w:cs="Times New Roman"/>
                <w:b/>
                <w:sz w:val="24"/>
                <w:szCs w:val="24"/>
              </w:rPr>
            </w:pPr>
          </w:p>
        </w:tc>
        <w:tc>
          <w:tcPr>
            <w:tcW w:w="1086" w:type="dxa"/>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2020г</w:t>
            </w:r>
          </w:p>
        </w:tc>
        <w:tc>
          <w:tcPr>
            <w:tcW w:w="1087" w:type="dxa"/>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2019г</w:t>
            </w:r>
          </w:p>
        </w:tc>
        <w:tc>
          <w:tcPr>
            <w:tcW w:w="1087" w:type="dxa"/>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Δ, %</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«Арселор Миттал Темиртау»</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2 450,0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2 484,4</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2</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АЗФ (Аксуйский) «ТНК Казхром»</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3 878,2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3 733,8</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4%</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3</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ТОО «Kazakhmys Smelting» </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800,9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793,1</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4</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ТОО «Казцинк»</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1 892,7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1 916,7</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5</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«Соколовско-Сарбайское ГПО»</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1 107,8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1 187,6</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-7%</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6</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ТОО «Корпорация Казахмыс» </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854,0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807,0</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6%</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7</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АЗФ (Актюбинский) «ТНК Казхром»</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2 138,1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2 101,8</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2%</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8</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РГП «Канал им. Сатпаева»</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157,4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141,4</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11%</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9</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ТОО «Казфосфат»</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1 457,5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1 428,1</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2%</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10</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«НДФЗ» (входит в структуру ТОО Казфосфат)</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1 280,5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1 248,4</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3%</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11</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ТОО «Таразский Металлургический завод»</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152,3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111,4</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37%</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12</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«Усть-Каменогорский титано-магниевый комбинат»</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528,2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564,7</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-6%</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13</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ТОО «Тенгизшевройл»</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1 227,1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1 258,0</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-2%</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14</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«ПАЗ» (Павлодарский алюминиевый завод)</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637,0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630,3</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15</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«КЭЗ» (Казахстанский электролизный завод)</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2 506,9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2 498,5</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0%</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16</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ТОО «ТемиржолЭнерго»</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927,2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1 037,9</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-11%</w:t>
            </w:r>
          </w:p>
        </w:tc>
      </w:tr>
      <w:tr w:rsidR="00F02413" w:rsidRPr="00FB0140" w:rsidTr="00F02413">
        <w:trPr>
          <w:trHeight w:val="360"/>
          <w:jc w:val="center"/>
        </w:trPr>
        <w:tc>
          <w:tcPr>
            <w:tcW w:w="567"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17</w:t>
            </w:r>
          </w:p>
        </w:tc>
        <w:tc>
          <w:tcPr>
            <w:tcW w:w="609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АО «KEGOC»</w:t>
            </w:r>
          </w:p>
        </w:tc>
        <w:tc>
          <w:tcPr>
            <w:tcW w:w="1086"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 xml:space="preserve">2 868,3 </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3 487,9</w:t>
            </w:r>
          </w:p>
        </w:tc>
        <w:tc>
          <w:tcPr>
            <w:tcW w:w="1087" w:type="dxa"/>
            <w:vAlign w:val="bottom"/>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-18%</w:t>
            </w:r>
          </w:p>
        </w:tc>
      </w:tr>
      <w:tr w:rsidR="00F02413" w:rsidRPr="00FB0140" w:rsidTr="00F02413">
        <w:trPr>
          <w:trHeight w:val="360"/>
          <w:jc w:val="center"/>
        </w:trPr>
        <w:tc>
          <w:tcPr>
            <w:tcW w:w="6663" w:type="dxa"/>
            <w:gridSpan w:val="2"/>
            <w:vAlign w:val="center"/>
          </w:tcPr>
          <w:p w:rsidR="00F02413" w:rsidRPr="00FB0140" w:rsidRDefault="00F02413" w:rsidP="00F02413">
            <w:pPr>
              <w:pStyle w:val="a3"/>
              <w:ind w:left="0"/>
              <w:rPr>
                <w:rFonts w:ascii="Times New Roman" w:hAnsi="Times New Roman" w:cs="Times New Roman"/>
                <w:b/>
                <w:sz w:val="24"/>
                <w:szCs w:val="24"/>
              </w:rPr>
            </w:pPr>
            <w:r w:rsidRPr="00FB0140">
              <w:rPr>
                <w:rFonts w:ascii="Times New Roman" w:hAnsi="Times New Roman" w:cs="Times New Roman"/>
                <w:b/>
                <w:sz w:val="24"/>
                <w:szCs w:val="24"/>
              </w:rPr>
              <w:t>Итого</w:t>
            </w:r>
          </w:p>
        </w:tc>
        <w:tc>
          <w:tcPr>
            <w:tcW w:w="1086" w:type="dxa"/>
            <w:vAlign w:val="center"/>
          </w:tcPr>
          <w:p w:rsidR="00F02413" w:rsidRPr="00FB0140" w:rsidRDefault="00F02413" w:rsidP="00F02413">
            <w:pPr>
              <w:pStyle w:val="a3"/>
              <w:ind w:left="0"/>
              <w:rPr>
                <w:rFonts w:ascii="Times New Roman" w:hAnsi="Times New Roman" w:cs="Times New Roman"/>
                <w:b/>
                <w:sz w:val="24"/>
                <w:szCs w:val="24"/>
              </w:rPr>
            </w:pPr>
            <w:r w:rsidRPr="00FB0140">
              <w:rPr>
                <w:rFonts w:ascii="Times New Roman" w:hAnsi="Times New Roman" w:cs="Times New Roman"/>
                <w:b/>
                <w:sz w:val="24"/>
                <w:szCs w:val="24"/>
              </w:rPr>
              <w:t>23 583,5</w:t>
            </w:r>
          </w:p>
        </w:tc>
        <w:tc>
          <w:tcPr>
            <w:tcW w:w="1087" w:type="dxa"/>
            <w:vAlign w:val="center"/>
          </w:tcPr>
          <w:p w:rsidR="00F02413" w:rsidRPr="00FB0140" w:rsidRDefault="00F02413" w:rsidP="00F02413">
            <w:pPr>
              <w:pStyle w:val="a3"/>
              <w:ind w:left="0"/>
              <w:rPr>
                <w:rFonts w:ascii="Times New Roman" w:hAnsi="Times New Roman" w:cs="Times New Roman"/>
                <w:b/>
                <w:sz w:val="24"/>
                <w:szCs w:val="24"/>
              </w:rPr>
            </w:pPr>
            <w:r w:rsidRPr="00FB0140">
              <w:rPr>
                <w:rFonts w:ascii="Times New Roman" w:hAnsi="Times New Roman" w:cs="Times New Roman"/>
                <w:b/>
                <w:sz w:val="24"/>
                <w:szCs w:val="24"/>
              </w:rPr>
              <w:t>24 182,6</w:t>
            </w:r>
          </w:p>
        </w:tc>
        <w:tc>
          <w:tcPr>
            <w:tcW w:w="1087" w:type="dxa"/>
            <w:vAlign w:val="center"/>
          </w:tcPr>
          <w:p w:rsidR="00F02413" w:rsidRPr="00FB0140" w:rsidRDefault="00F02413" w:rsidP="00F02413">
            <w:pPr>
              <w:pStyle w:val="a3"/>
              <w:ind w:left="0"/>
              <w:rPr>
                <w:rFonts w:ascii="Times New Roman" w:hAnsi="Times New Roman" w:cs="Times New Roman"/>
                <w:sz w:val="20"/>
                <w:szCs w:val="20"/>
              </w:rPr>
            </w:pPr>
            <w:r w:rsidRPr="00FB0140">
              <w:rPr>
                <w:rFonts w:ascii="Times New Roman" w:hAnsi="Times New Roman" w:cs="Times New Roman"/>
                <w:b/>
                <w:sz w:val="24"/>
                <w:szCs w:val="24"/>
              </w:rPr>
              <w:t>-2,48%</w:t>
            </w:r>
          </w:p>
        </w:tc>
      </w:tr>
    </w:tbl>
    <w:p w:rsidR="00E56657" w:rsidRPr="00FB0140" w:rsidRDefault="00E56657" w:rsidP="00BE0F2B">
      <w:pPr>
        <w:tabs>
          <w:tab w:val="left" w:pos="0"/>
        </w:tabs>
        <w:spacing w:after="0" w:line="240" w:lineRule="auto"/>
        <w:jc w:val="right"/>
        <w:rPr>
          <w:rFonts w:ascii="Times New Roman" w:hAnsi="Times New Roman" w:cs="Times New Roman"/>
          <w:i/>
          <w:sz w:val="28"/>
        </w:rPr>
      </w:pPr>
    </w:p>
    <w:p w:rsidR="003B36BC" w:rsidRPr="00FB0140" w:rsidRDefault="00A32670" w:rsidP="00EF4AE4">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14" w:name="_Toc34079816"/>
      <w:r w:rsidRPr="00FB0140">
        <w:rPr>
          <w:rFonts w:ascii="Times New Roman" w:hAnsi="Times New Roman" w:cs="Times New Roman"/>
          <w:b/>
          <w:color w:val="auto"/>
        </w:rPr>
        <w:t>Уголь</w:t>
      </w:r>
      <w:bookmarkEnd w:id="14"/>
    </w:p>
    <w:p w:rsidR="00BC7CB8" w:rsidRPr="00FB0140" w:rsidRDefault="00BC7CB8" w:rsidP="00BE0F2B">
      <w:pPr>
        <w:pStyle w:val="1"/>
        <w:tabs>
          <w:tab w:val="left" w:pos="0"/>
        </w:tabs>
        <w:spacing w:before="0" w:line="240" w:lineRule="auto"/>
        <w:jc w:val="center"/>
        <w:rPr>
          <w:rFonts w:ascii="Times New Roman" w:hAnsi="Times New Roman" w:cs="Times New Roman"/>
          <w:i/>
          <w:color w:val="auto"/>
          <w:sz w:val="28"/>
        </w:rPr>
      </w:pPr>
    </w:p>
    <w:p w:rsidR="004550F2" w:rsidRPr="00FB0140" w:rsidRDefault="004550F2" w:rsidP="00BE0F2B">
      <w:pPr>
        <w:pStyle w:val="1"/>
        <w:tabs>
          <w:tab w:val="left" w:pos="0"/>
        </w:tabs>
        <w:spacing w:before="0" w:line="240" w:lineRule="auto"/>
        <w:jc w:val="center"/>
        <w:rPr>
          <w:rFonts w:ascii="Times New Roman" w:hAnsi="Times New Roman" w:cs="Times New Roman"/>
          <w:i/>
          <w:color w:val="auto"/>
          <w:sz w:val="28"/>
        </w:rPr>
      </w:pPr>
      <w:bookmarkStart w:id="15" w:name="_Toc510196472"/>
      <w:r w:rsidRPr="00FB0140">
        <w:rPr>
          <w:rFonts w:ascii="Times New Roman" w:hAnsi="Times New Roman" w:cs="Times New Roman"/>
          <w:i/>
          <w:color w:val="auto"/>
          <w:sz w:val="28"/>
        </w:rPr>
        <w:t>Добыча энергетического угля в Казахстане</w:t>
      </w:r>
      <w:bookmarkEnd w:id="15"/>
    </w:p>
    <w:p w:rsidR="00F02413" w:rsidRPr="00FB0140" w:rsidRDefault="00F02413" w:rsidP="00F02413">
      <w:pPr>
        <w:pStyle w:val="a3"/>
        <w:spacing w:after="0" w:line="240" w:lineRule="auto"/>
        <w:ind w:left="0" w:firstLine="567"/>
        <w:jc w:val="both"/>
        <w:rPr>
          <w:rFonts w:ascii="Times New Roman" w:hAnsi="Times New Roman" w:cs="Times New Roman"/>
          <w:sz w:val="28"/>
          <w:szCs w:val="28"/>
        </w:rPr>
      </w:pPr>
      <w:r w:rsidRPr="00FB0140">
        <w:rPr>
          <w:rFonts w:ascii="Times New Roman" w:hAnsi="Times New Roman" w:cs="Times New Roman"/>
          <w:sz w:val="28"/>
          <w:szCs w:val="28"/>
        </w:rPr>
        <w:t>По информации Комитета по статистике МНЭ РК, в Казахстане в период январь-август 2020 года добыто 69 037 млн. тонн каменного угля, что сопоставимо аналогичному периоду 2019 года (69 098 млн. тонн).</w:t>
      </w:r>
    </w:p>
    <w:p w:rsidR="00F02413" w:rsidRPr="00FB0140" w:rsidRDefault="00F02413" w:rsidP="00F02413">
      <w:pPr>
        <w:pStyle w:val="a3"/>
        <w:spacing w:after="0" w:line="240" w:lineRule="auto"/>
        <w:ind w:left="0" w:firstLine="567"/>
        <w:jc w:val="right"/>
        <w:rPr>
          <w:rFonts w:ascii="Times New Roman" w:hAnsi="Times New Roman" w:cs="Times New Roman"/>
          <w:i/>
          <w:sz w:val="28"/>
        </w:rPr>
      </w:pPr>
      <w:r w:rsidRPr="00FB0140">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F02413" w:rsidRPr="00FB0140" w:rsidTr="00F02413">
        <w:trPr>
          <w:trHeight w:val="406"/>
        </w:trPr>
        <w:tc>
          <w:tcPr>
            <w:tcW w:w="566" w:type="dxa"/>
            <w:vMerge w:val="restart"/>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 п/п</w:t>
            </w:r>
          </w:p>
        </w:tc>
        <w:tc>
          <w:tcPr>
            <w:tcW w:w="3685" w:type="dxa"/>
            <w:vMerge w:val="restart"/>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Область</w:t>
            </w:r>
          </w:p>
        </w:tc>
        <w:tc>
          <w:tcPr>
            <w:tcW w:w="3876" w:type="dxa"/>
            <w:gridSpan w:val="2"/>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eastAsia="Times New Roman" w:hAnsi="Times New Roman" w:cs="Times New Roman"/>
                <w:b/>
                <w:bCs/>
                <w:color w:val="000000"/>
                <w:lang w:eastAsia="ru-RU"/>
              </w:rPr>
              <w:t>Январь-август</w:t>
            </w:r>
          </w:p>
        </w:tc>
        <w:tc>
          <w:tcPr>
            <w:tcW w:w="1938" w:type="dxa"/>
            <w:vMerge w:val="restart"/>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Δ, %</w:t>
            </w:r>
          </w:p>
        </w:tc>
      </w:tr>
      <w:tr w:rsidR="00F02413" w:rsidRPr="00FB0140" w:rsidTr="00F02413">
        <w:trPr>
          <w:trHeight w:val="355"/>
        </w:trPr>
        <w:tc>
          <w:tcPr>
            <w:tcW w:w="566" w:type="dxa"/>
            <w:vMerge/>
            <w:shd w:val="clear" w:color="auto" w:fill="B6DDE8" w:themeFill="accent5" w:themeFillTint="66"/>
            <w:vAlign w:val="center"/>
          </w:tcPr>
          <w:p w:rsidR="00F02413" w:rsidRPr="00FB0140" w:rsidRDefault="00F02413" w:rsidP="00F02413">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F02413" w:rsidRPr="00FB0140" w:rsidRDefault="00F02413" w:rsidP="00F02413">
            <w:pPr>
              <w:pStyle w:val="a3"/>
              <w:ind w:left="0"/>
              <w:jc w:val="center"/>
              <w:rPr>
                <w:rFonts w:ascii="Times New Roman" w:hAnsi="Times New Roman" w:cs="Times New Roman"/>
                <w:b/>
                <w:sz w:val="24"/>
                <w:szCs w:val="24"/>
              </w:rPr>
            </w:pPr>
          </w:p>
        </w:tc>
        <w:tc>
          <w:tcPr>
            <w:tcW w:w="1938" w:type="dxa"/>
            <w:shd w:val="clear" w:color="auto" w:fill="auto"/>
            <w:vAlign w:val="center"/>
          </w:tcPr>
          <w:p w:rsidR="00F02413" w:rsidRPr="00FB0140" w:rsidRDefault="00F02413" w:rsidP="00F02413">
            <w:pPr>
              <w:jc w:val="center"/>
              <w:rPr>
                <w:rFonts w:ascii="Times New Roman" w:eastAsia="Times New Roman" w:hAnsi="Times New Roman" w:cs="Times New Roman"/>
                <w:b/>
                <w:bCs/>
                <w:color w:val="000000"/>
                <w:lang w:eastAsia="ru-RU"/>
              </w:rPr>
            </w:pPr>
            <w:r w:rsidRPr="00FB0140">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F02413" w:rsidRPr="00FB0140" w:rsidRDefault="00F02413" w:rsidP="00F02413">
            <w:pPr>
              <w:jc w:val="center"/>
              <w:rPr>
                <w:rFonts w:ascii="Times New Roman" w:eastAsia="Times New Roman" w:hAnsi="Times New Roman" w:cs="Times New Roman"/>
                <w:b/>
                <w:bCs/>
                <w:color w:val="000000"/>
                <w:lang w:eastAsia="ru-RU"/>
              </w:rPr>
            </w:pPr>
            <w:r w:rsidRPr="00FB0140">
              <w:rPr>
                <w:rFonts w:ascii="Times New Roman" w:eastAsia="Times New Roman" w:hAnsi="Times New Roman" w:cs="Times New Roman"/>
                <w:b/>
                <w:bCs/>
                <w:color w:val="000000"/>
                <w:lang w:eastAsia="ru-RU"/>
              </w:rPr>
              <w:t>2020 год</w:t>
            </w:r>
          </w:p>
        </w:tc>
        <w:tc>
          <w:tcPr>
            <w:tcW w:w="1938" w:type="dxa"/>
            <w:vMerge/>
            <w:shd w:val="clear" w:color="auto" w:fill="auto"/>
            <w:vAlign w:val="center"/>
          </w:tcPr>
          <w:p w:rsidR="00F02413" w:rsidRPr="00FB0140" w:rsidRDefault="00F02413" w:rsidP="00F02413">
            <w:pPr>
              <w:pStyle w:val="a3"/>
              <w:ind w:left="0"/>
              <w:jc w:val="center"/>
              <w:rPr>
                <w:rFonts w:ascii="Times New Roman" w:hAnsi="Times New Roman" w:cs="Times New Roman"/>
                <w:sz w:val="24"/>
                <w:szCs w:val="24"/>
              </w:rPr>
            </w:pPr>
          </w:p>
        </w:tc>
      </w:tr>
      <w:tr w:rsidR="00F02413" w:rsidRPr="00FB0140" w:rsidTr="00F02413">
        <w:trPr>
          <w:trHeight w:val="333"/>
        </w:trPr>
        <w:tc>
          <w:tcPr>
            <w:tcW w:w="566"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w:t>
            </w:r>
          </w:p>
        </w:tc>
        <w:tc>
          <w:tcPr>
            <w:tcW w:w="3685"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Павлодарская</w:t>
            </w:r>
          </w:p>
        </w:tc>
        <w:tc>
          <w:tcPr>
            <w:tcW w:w="1938" w:type="dxa"/>
            <w:vAlign w:val="bottom"/>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43 302,2</w:t>
            </w:r>
          </w:p>
        </w:tc>
        <w:tc>
          <w:tcPr>
            <w:tcW w:w="1938" w:type="dxa"/>
            <w:vAlign w:val="bottom"/>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42 788,1</w:t>
            </w:r>
          </w:p>
        </w:tc>
        <w:tc>
          <w:tcPr>
            <w:tcW w:w="1938"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99%</w:t>
            </w:r>
          </w:p>
        </w:tc>
      </w:tr>
      <w:tr w:rsidR="00F02413" w:rsidRPr="00FB0140" w:rsidTr="00F02413">
        <w:trPr>
          <w:trHeight w:val="333"/>
        </w:trPr>
        <w:tc>
          <w:tcPr>
            <w:tcW w:w="566"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2</w:t>
            </w:r>
          </w:p>
        </w:tc>
        <w:tc>
          <w:tcPr>
            <w:tcW w:w="3685"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Карагандинская</w:t>
            </w:r>
          </w:p>
        </w:tc>
        <w:tc>
          <w:tcPr>
            <w:tcW w:w="1938" w:type="dxa"/>
            <w:vAlign w:val="bottom"/>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20 999,8</w:t>
            </w:r>
          </w:p>
        </w:tc>
        <w:tc>
          <w:tcPr>
            <w:tcW w:w="1938" w:type="dxa"/>
            <w:vAlign w:val="bottom"/>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21 725,7</w:t>
            </w:r>
          </w:p>
        </w:tc>
        <w:tc>
          <w:tcPr>
            <w:tcW w:w="1938"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103%</w:t>
            </w:r>
          </w:p>
        </w:tc>
      </w:tr>
      <w:tr w:rsidR="00F02413" w:rsidRPr="00FB0140" w:rsidTr="00F02413">
        <w:trPr>
          <w:trHeight w:val="333"/>
        </w:trPr>
        <w:tc>
          <w:tcPr>
            <w:tcW w:w="566"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3</w:t>
            </w:r>
          </w:p>
        </w:tc>
        <w:tc>
          <w:tcPr>
            <w:tcW w:w="3685" w:type="dxa"/>
            <w:vAlign w:val="center"/>
          </w:tcPr>
          <w:p w:rsidR="00F02413" w:rsidRPr="00FB0140" w:rsidRDefault="00F02413" w:rsidP="00F02413">
            <w:pPr>
              <w:pStyle w:val="a3"/>
              <w:ind w:left="0"/>
              <w:rPr>
                <w:rFonts w:ascii="Times New Roman" w:hAnsi="Times New Roman" w:cs="Times New Roman"/>
                <w:sz w:val="24"/>
                <w:szCs w:val="24"/>
              </w:rPr>
            </w:pPr>
            <w:r w:rsidRPr="00FB0140">
              <w:rPr>
                <w:rFonts w:ascii="Times New Roman" w:hAnsi="Times New Roman" w:cs="Times New Roman"/>
                <w:sz w:val="24"/>
                <w:szCs w:val="24"/>
              </w:rPr>
              <w:t>Восточно-Казахстанская</w:t>
            </w:r>
          </w:p>
        </w:tc>
        <w:tc>
          <w:tcPr>
            <w:tcW w:w="1938" w:type="dxa"/>
            <w:vAlign w:val="bottom"/>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4 599,8</w:t>
            </w:r>
          </w:p>
        </w:tc>
        <w:tc>
          <w:tcPr>
            <w:tcW w:w="1938" w:type="dxa"/>
            <w:vAlign w:val="bottom"/>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4 445</w:t>
            </w:r>
          </w:p>
        </w:tc>
        <w:tc>
          <w:tcPr>
            <w:tcW w:w="1938" w:type="dxa"/>
            <w:vAlign w:val="center"/>
          </w:tcPr>
          <w:p w:rsidR="00F02413" w:rsidRPr="00FB0140" w:rsidRDefault="00F02413" w:rsidP="00F02413">
            <w:pPr>
              <w:pStyle w:val="a3"/>
              <w:ind w:left="0"/>
              <w:jc w:val="center"/>
              <w:rPr>
                <w:rFonts w:ascii="Times New Roman" w:hAnsi="Times New Roman" w:cs="Times New Roman"/>
                <w:sz w:val="24"/>
                <w:szCs w:val="24"/>
              </w:rPr>
            </w:pPr>
            <w:r w:rsidRPr="00FB0140">
              <w:rPr>
                <w:rFonts w:ascii="Times New Roman" w:hAnsi="Times New Roman" w:cs="Times New Roman"/>
                <w:sz w:val="24"/>
                <w:szCs w:val="24"/>
              </w:rPr>
              <w:t>97%</w:t>
            </w:r>
          </w:p>
        </w:tc>
      </w:tr>
      <w:tr w:rsidR="00F02413" w:rsidRPr="00FB0140" w:rsidTr="00F02413">
        <w:trPr>
          <w:trHeight w:val="333"/>
        </w:trPr>
        <w:tc>
          <w:tcPr>
            <w:tcW w:w="566" w:type="dxa"/>
            <w:vAlign w:val="center"/>
          </w:tcPr>
          <w:p w:rsidR="00F02413" w:rsidRPr="00FB0140" w:rsidRDefault="00F02413" w:rsidP="00F02413">
            <w:pPr>
              <w:pStyle w:val="a3"/>
              <w:ind w:left="0"/>
              <w:jc w:val="center"/>
              <w:rPr>
                <w:rFonts w:ascii="Times New Roman" w:hAnsi="Times New Roman" w:cs="Times New Roman"/>
                <w:sz w:val="24"/>
                <w:szCs w:val="24"/>
              </w:rPr>
            </w:pPr>
          </w:p>
        </w:tc>
        <w:tc>
          <w:tcPr>
            <w:tcW w:w="3685" w:type="dxa"/>
            <w:vAlign w:val="center"/>
          </w:tcPr>
          <w:p w:rsidR="00F02413" w:rsidRPr="00FB0140" w:rsidRDefault="00F02413" w:rsidP="00F02413">
            <w:pPr>
              <w:pStyle w:val="a3"/>
              <w:ind w:left="0"/>
              <w:rPr>
                <w:rFonts w:ascii="Times New Roman" w:hAnsi="Times New Roman" w:cs="Times New Roman"/>
                <w:b/>
                <w:sz w:val="24"/>
                <w:szCs w:val="24"/>
              </w:rPr>
            </w:pPr>
            <w:r w:rsidRPr="00FB0140">
              <w:rPr>
                <w:rFonts w:ascii="Times New Roman" w:hAnsi="Times New Roman" w:cs="Times New Roman"/>
                <w:b/>
                <w:sz w:val="24"/>
                <w:szCs w:val="24"/>
              </w:rPr>
              <w:t>Всего по РК</w:t>
            </w:r>
          </w:p>
        </w:tc>
        <w:tc>
          <w:tcPr>
            <w:tcW w:w="1938" w:type="dxa"/>
            <w:vAlign w:val="bottom"/>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69 098,3</w:t>
            </w:r>
          </w:p>
        </w:tc>
        <w:tc>
          <w:tcPr>
            <w:tcW w:w="1938" w:type="dxa"/>
            <w:vAlign w:val="bottom"/>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69 036,7</w:t>
            </w:r>
          </w:p>
        </w:tc>
        <w:tc>
          <w:tcPr>
            <w:tcW w:w="1938" w:type="dxa"/>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100%</w:t>
            </w:r>
          </w:p>
        </w:tc>
      </w:tr>
    </w:tbl>
    <w:p w:rsidR="00F02413" w:rsidRPr="00FB0140" w:rsidRDefault="00F02413" w:rsidP="00F02413">
      <w:pPr>
        <w:pStyle w:val="1"/>
        <w:spacing w:before="0" w:line="240" w:lineRule="auto"/>
        <w:jc w:val="center"/>
        <w:rPr>
          <w:rFonts w:ascii="Times New Roman" w:hAnsi="Times New Roman" w:cs="Times New Roman"/>
          <w:i/>
          <w:color w:val="auto"/>
          <w:sz w:val="28"/>
        </w:rPr>
      </w:pPr>
    </w:p>
    <w:p w:rsidR="00F02413" w:rsidRPr="00FB0140" w:rsidRDefault="00F02413" w:rsidP="00F02413">
      <w:pPr>
        <w:pStyle w:val="1"/>
        <w:spacing w:before="0" w:line="240" w:lineRule="auto"/>
        <w:jc w:val="center"/>
        <w:rPr>
          <w:rFonts w:ascii="Times New Roman" w:hAnsi="Times New Roman" w:cs="Times New Roman"/>
          <w:i/>
          <w:color w:val="auto"/>
          <w:sz w:val="28"/>
        </w:rPr>
      </w:pPr>
      <w:r w:rsidRPr="00FB0140">
        <w:rPr>
          <w:rFonts w:ascii="Times New Roman" w:hAnsi="Times New Roman" w:cs="Times New Roman"/>
          <w:i/>
          <w:color w:val="auto"/>
          <w:sz w:val="28"/>
        </w:rPr>
        <w:t>Добыча угля АО «Самрук-Энерго»</w:t>
      </w:r>
    </w:p>
    <w:p w:rsidR="00F02413" w:rsidRPr="00FB0140" w:rsidRDefault="00F02413" w:rsidP="00F02413">
      <w:pPr>
        <w:pStyle w:val="a3"/>
        <w:spacing w:after="0" w:line="240" w:lineRule="auto"/>
        <w:ind w:left="0" w:firstLine="567"/>
        <w:jc w:val="both"/>
        <w:rPr>
          <w:rFonts w:ascii="Times New Roman" w:hAnsi="Times New Roman" w:cs="Times New Roman"/>
          <w:sz w:val="28"/>
          <w:szCs w:val="28"/>
        </w:rPr>
      </w:pPr>
      <w:r w:rsidRPr="00FB0140">
        <w:rPr>
          <w:rFonts w:ascii="Times New Roman" w:hAnsi="Times New Roman" w:cs="Times New Roman"/>
          <w:sz w:val="28"/>
          <w:szCs w:val="28"/>
        </w:rPr>
        <w:t>В январе-августе 2020 года ТОО «Богатырь Комир» добыто 27 942 тыс. тонн, что на 1,5% меньше, чем за соответствующий период 2019 года (28 369 тыс. тонн).</w:t>
      </w:r>
    </w:p>
    <w:p w:rsidR="00F02413" w:rsidRPr="00FB0140" w:rsidRDefault="00F02413" w:rsidP="00F02413">
      <w:pPr>
        <w:pStyle w:val="1"/>
        <w:spacing w:before="0" w:line="240" w:lineRule="auto"/>
        <w:jc w:val="center"/>
        <w:rPr>
          <w:rFonts w:ascii="Times New Roman" w:hAnsi="Times New Roman" w:cs="Times New Roman"/>
          <w:i/>
          <w:color w:val="auto"/>
          <w:sz w:val="28"/>
        </w:rPr>
      </w:pPr>
    </w:p>
    <w:p w:rsidR="00F02413" w:rsidRPr="00FB0140" w:rsidRDefault="00F02413" w:rsidP="00F02413">
      <w:pPr>
        <w:pStyle w:val="1"/>
        <w:spacing w:before="0" w:line="240" w:lineRule="auto"/>
        <w:jc w:val="center"/>
        <w:rPr>
          <w:rFonts w:ascii="Times New Roman" w:hAnsi="Times New Roman" w:cs="Times New Roman"/>
          <w:i/>
          <w:color w:val="auto"/>
          <w:sz w:val="28"/>
        </w:rPr>
      </w:pPr>
      <w:bookmarkStart w:id="16" w:name="_Toc510196474"/>
      <w:r w:rsidRPr="00FB0140">
        <w:rPr>
          <w:rFonts w:ascii="Times New Roman" w:hAnsi="Times New Roman" w:cs="Times New Roman"/>
          <w:i/>
          <w:color w:val="auto"/>
          <w:sz w:val="28"/>
        </w:rPr>
        <w:t>Реализация угля АО «Самрук-Энерго»</w:t>
      </w:r>
      <w:bookmarkEnd w:id="16"/>
    </w:p>
    <w:p w:rsidR="00F02413" w:rsidRPr="00FB0140" w:rsidRDefault="00F02413" w:rsidP="00F02413">
      <w:pPr>
        <w:pStyle w:val="a3"/>
        <w:spacing w:after="0" w:line="240" w:lineRule="auto"/>
        <w:ind w:left="0" w:firstLine="567"/>
        <w:jc w:val="both"/>
        <w:rPr>
          <w:rFonts w:ascii="Times New Roman" w:hAnsi="Times New Roman" w:cs="Times New Roman"/>
          <w:sz w:val="28"/>
          <w:szCs w:val="28"/>
        </w:rPr>
      </w:pPr>
      <w:r w:rsidRPr="00FB0140">
        <w:rPr>
          <w:rFonts w:ascii="Times New Roman" w:hAnsi="Times New Roman" w:cs="Times New Roman"/>
          <w:sz w:val="28"/>
          <w:szCs w:val="28"/>
        </w:rPr>
        <w:t>В январе-августе 2020 года реализовано 27 625 тыс. тонн, в т.ч.:</w:t>
      </w:r>
    </w:p>
    <w:p w:rsidR="00F02413" w:rsidRPr="00FB0140" w:rsidRDefault="00F02413" w:rsidP="00F02413">
      <w:pPr>
        <w:pStyle w:val="a3"/>
        <w:spacing w:after="0" w:line="240" w:lineRule="auto"/>
        <w:ind w:left="0" w:firstLine="567"/>
        <w:jc w:val="both"/>
        <w:rPr>
          <w:rFonts w:ascii="Times New Roman" w:hAnsi="Times New Roman" w:cs="Times New Roman"/>
          <w:sz w:val="28"/>
          <w:szCs w:val="28"/>
        </w:rPr>
      </w:pPr>
      <w:r w:rsidRPr="00FB0140">
        <w:rPr>
          <w:rFonts w:ascii="Times New Roman" w:hAnsi="Times New Roman" w:cs="Times New Roman"/>
          <w:sz w:val="28"/>
          <w:szCs w:val="28"/>
        </w:rPr>
        <w:t>- на внутренний рынок РК 20 999 тыс. тонн, что на 0,9% меньше, чем за соответствующий период 2019 года (21 185 тыс. тонн);</w:t>
      </w:r>
    </w:p>
    <w:p w:rsidR="00F02413" w:rsidRPr="00FB0140" w:rsidRDefault="00F02413" w:rsidP="00F02413">
      <w:pPr>
        <w:pStyle w:val="a3"/>
        <w:spacing w:after="0" w:line="240" w:lineRule="auto"/>
        <w:ind w:left="0" w:firstLine="567"/>
        <w:jc w:val="both"/>
        <w:rPr>
          <w:rFonts w:ascii="Times New Roman" w:hAnsi="Times New Roman" w:cs="Times New Roman"/>
          <w:sz w:val="28"/>
          <w:szCs w:val="28"/>
        </w:rPr>
      </w:pPr>
      <w:r w:rsidRPr="00FB0140">
        <w:rPr>
          <w:rFonts w:ascii="Times New Roman" w:hAnsi="Times New Roman" w:cs="Times New Roman"/>
          <w:sz w:val="28"/>
          <w:szCs w:val="28"/>
        </w:rPr>
        <w:t>- на экспорт (РФ) – 6 626 млн. тонн, что на 7,4% меньше, чем за соответствующий период 2019 года (7 159 тыс. тонн).</w:t>
      </w:r>
    </w:p>
    <w:p w:rsidR="00D309A9" w:rsidRPr="00FB0140" w:rsidRDefault="00D309A9" w:rsidP="00BE0F2B">
      <w:pPr>
        <w:pStyle w:val="a3"/>
        <w:tabs>
          <w:tab w:val="left" w:pos="0"/>
        </w:tabs>
        <w:spacing w:after="0" w:line="240" w:lineRule="auto"/>
        <w:ind w:left="0" w:firstLine="567"/>
        <w:jc w:val="right"/>
        <w:rPr>
          <w:rFonts w:ascii="Times New Roman" w:hAnsi="Times New Roman" w:cs="Times New Roman"/>
          <w:i/>
          <w:sz w:val="24"/>
          <w:szCs w:val="28"/>
        </w:rPr>
      </w:pPr>
      <w:r w:rsidRPr="00FB0140">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D309A9" w:rsidRPr="00FB0140" w:rsidTr="00BD7175">
        <w:trPr>
          <w:trHeight w:val="515"/>
        </w:trPr>
        <w:tc>
          <w:tcPr>
            <w:tcW w:w="567" w:type="dxa"/>
            <w:vMerge w:val="restart"/>
            <w:shd w:val="clear" w:color="auto" w:fill="auto"/>
            <w:vAlign w:val="center"/>
          </w:tcPr>
          <w:p w:rsidR="00D309A9" w:rsidRPr="00FB0140" w:rsidRDefault="00D309A9" w:rsidP="00BE0F2B">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 п/п</w:t>
            </w:r>
          </w:p>
        </w:tc>
        <w:tc>
          <w:tcPr>
            <w:tcW w:w="3685" w:type="dxa"/>
            <w:vMerge w:val="restart"/>
            <w:shd w:val="clear" w:color="auto" w:fill="auto"/>
            <w:vAlign w:val="center"/>
          </w:tcPr>
          <w:p w:rsidR="00D309A9" w:rsidRPr="00FB0140" w:rsidRDefault="00D309A9" w:rsidP="00BE0F2B">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Область</w:t>
            </w:r>
          </w:p>
        </w:tc>
        <w:tc>
          <w:tcPr>
            <w:tcW w:w="3875" w:type="dxa"/>
            <w:gridSpan w:val="2"/>
            <w:shd w:val="clear" w:color="auto" w:fill="auto"/>
            <w:vAlign w:val="center"/>
          </w:tcPr>
          <w:p w:rsidR="00D309A9" w:rsidRPr="00FB0140" w:rsidRDefault="00D309A9" w:rsidP="00BE0F2B">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D309A9" w:rsidRPr="00FB0140" w:rsidRDefault="00D309A9" w:rsidP="00BE0F2B">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Δ, %</w:t>
            </w:r>
            <w:r w:rsidRPr="00FB0140" w:rsidDel="00B9424F">
              <w:rPr>
                <w:rFonts w:ascii="Times New Roman" w:hAnsi="Times New Roman" w:cs="Times New Roman"/>
                <w:b/>
                <w:sz w:val="24"/>
                <w:szCs w:val="24"/>
              </w:rPr>
              <w:t xml:space="preserve"> </w:t>
            </w:r>
          </w:p>
          <w:p w:rsidR="00D309A9" w:rsidRPr="00FB0140" w:rsidRDefault="00D309A9" w:rsidP="00BE0F2B">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2020/2019гг</w:t>
            </w:r>
          </w:p>
        </w:tc>
      </w:tr>
      <w:tr w:rsidR="00D309A9" w:rsidRPr="00FB0140" w:rsidTr="00BD7175">
        <w:trPr>
          <w:trHeight w:val="355"/>
        </w:trPr>
        <w:tc>
          <w:tcPr>
            <w:tcW w:w="567" w:type="dxa"/>
            <w:vMerge/>
            <w:shd w:val="clear" w:color="auto" w:fill="B6DDE8" w:themeFill="accent5" w:themeFillTint="66"/>
            <w:vAlign w:val="center"/>
          </w:tcPr>
          <w:p w:rsidR="00D309A9" w:rsidRPr="00FB0140" w:rsidRDefault="00D309A9" w:rsidP="00BE0F2B">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D309A9" w:rsidRPr="00FB0140" w:rsidRDefault="00D309A9" w:rsidP="00BE0F2B">
            <w:pPr>
              <w:pStyle w:val="a3"/>
              <w:tabs>
                <w:tab w:val="left" w:pos="0"/>
              </w:tabs>
              <w:ind w:left="0"/>
              <w:jc w:val="center"/>
              <w:rPr>
                <w:rFonts w:ascii="Times New Roman" w:hAnsi="Times New Roman" w:cs="Times New Roman"/>
                <w:b/>
                <w:sz w:val="24"/>
                <w:szCs w:val="24"/>
              </w:rPr>
            </w:pPr>
          </w:p>
        </w:tc>
        <w:tc>
          <w:tcPr>
            <w:tcW w:w="1937" w:type="dxa"/>
            <w:shd w:val="clear" w:color="auto" w:fill="auto"/>
            <w:vAlign w:val="center"/>
          </w:tcPr>
          <w:p w:rsidR="00D309A9" w:rsidRPr="00FB0140" w:rsidRDefault="00D309A9" w:rsidP="00F02413">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Январь-</w:t>
            </w:r>
            <w:r w:rsidR="00F02413" w:rsidRPr="00FB0140">
              <w:rPr>
                <w:rFonts w:ascii="Times New Roman" w:hAnsi="Times New Roman" w:cs="Times New Roman"/>
                <w:b/>
                <w:sz w:val="24"/>
                <w:szCs w:val="24"/>
              </w:rPr>
              <w:t xml:space="preserve">август </w:t>
            </w:r>
            <w:r w:rsidRPr="00FB0140">
              <w:rPr>
                <w:rFonts w:ascii="Times New Roman" w:hAnsi="Times New Roman" w:cs="Times New Roman"/>
                <w:b/>
                <w:sz w:val="24"/>
                <w:szCs w:val="24"/>
              </w:rPr>
              <w:t>2019г</w:t>
            </w:r>
          </w:p>
        </w:tc>
        <w:tc>
          <w:tcPr>
            <w:tcW w:w="1938" w:type="dxa"/>
            <w:shd w:val="clear" w:color="auto" w:fill="auto"/>
            <w:vAlign w:val="center"/>
          </w:tcPr>
          <w:p w:rsidR="00D309A9" w:rsidRPr="00FB0140" w:rsidRDefault="00D309A9" w:rsidP="00F02413">
            <w:pPr>
              <w:pStyle w:val="a3"/>
              <w:tabs>
                <w:tab w:val="left" w:pos="0"/>
              </w:tabs>
              <w:ind w:left="0"/>
              <w:jc w:val="center"/>
              <w:rPr>
                <w:rFonts w:ascii="Times New Roman" w:hAnsi="Times New Roman" w:cs="Times New Roman"/>
                <w:b/>
                <w:sz w:val="24"/>
                <w:szCs w:val="24"/>
              </w:rPr>
            </w:pPr>
            <w:r w:rsidRPr="00FB0140">
              <w:rPr>
                <w:rFonts w:ascii="Times New Roman" w:hAnsi="Times New Roman" w:cs="Times New Roman"/>
                <w:b/>
                <w:sz w:val="24"/>
                <w:szCs w:val="24"/>
              </w:rPr>
              <w:t>Январь-</w:t>
            </w:r>
            <w:r w:rsidR="00F02413" w:rsidRPr="00FB0140">
              <w:rPr>
                <w:rFonts w:ascii="Times New Roman" w:hAnsi="Times New Roman" w:cs="Times New Roman"/>
                <w:b/>
                <w:sz w:val="24"/>
                <w:szCs w:val="24"/>
              </w:rPr>
              <w:t xml:space="preserve">август </w:t>
            </w:r>
            <w:r w:rsidRPr="00FB0140">
              <w:rPr>
                <w:rFonts w:ascii="Times New Roman" w:hAnsi="Times New Roman" w:cs="Times New Roman"/>
                <w:b/>
                <w:sz w:val="24"/>
                <w:szCs w:val="24"/>
              </w:rPr>
              <w:t>2020г</w:t>
            </w:r>
          </w:p>
        </w:tc>
        <w:tc>
          <w:tcPr>
            <w:tcW w:w="1938" w:type="dxa"/>
            <w:vMerge/>
            <w:shd w:val="clear" w:color="auto" w:fill="auto"/>
            <w:vAlign w:val="center"/>
          </w:tcPr>
          <w:p w:rsidR="00D309A9" w:rsidRPr="00FB0140" w:rsidRDefault="00D309A9" w:rsidP="00BE0F2B">
            <w:pPr>
              <w:pStyle w:val="a3"/>
              <w:tabs>
                <w:tab w:val="left" w:pos="0"/>
              </w:tabs>
              <w:ind w:left="0"/>
              <w:jc w:val="center"/>
              <w:rPr>
                <w:rFonts w:ascii="Times New Roman" w:hAnsi="Times New Roman" w:cs="Times New Roman"/>
                <w:sz w:val="24"/>
                <w:szCs w:val="24"/>
              </w:rPr>
            </w:pPr>
          </w:p>
        </w:tc>
      </w:tr>
      <w:tr w:rsidR="00F02413" w:rsidRPr="00FB0140" w:rsidTr="00853D0D">
        <w:trPr>
          <w:trHeight w:val="315"/>
        </w:trPr>
        <w:tc>
          <w:tcPr>
            <w:tcW w:w="4252" w:type="dxa"/>
            <w:gridSpan w:val="2"/>
            <w:shd w:val="clear" w:color="auto" w:fill="auto"/>
            <w:vAlign w:val="center"/>
          </w:tcPr>
          <w:p w:rsidR="00F02413" w:rsidRPr="00FB0140" w:rsidRDefault="00F02413" w:rsidP="00F02413">
            <w:pPr>
              <w:pStyle w:val="a3"/>
              <w:tabs>
                <w:tab w:val="left" w:pos="0"/>
              </w:tabs>
              <w:ind w:left="0"/>
              <w:rPr>
                <w:rFonts w:ascii="Times New Roman" w:hAnsi="Times New Roman" w:cs="Times New Roman"/>
                <w:b/>
                <w:sz w:val="24"/>
                <w:szCs w:val="24"/>
              </w:rPr>
            </w:pPr>
            <w:r w:rsidRPr="00FB0140">
              <w:rPr>
                <w:rFonts w:ascii="Times New Roman" w:hAnsi="Times New Roman" w:cs="Times New Roman"/>
                <w:b/>
                <w:sz w:val="24"/>
                <w:szCs w:val="24"/>
              </w:rPr>
              <w:t>Всего на внутренний рынок РК</w:t>
            </w:r>
          </w:p>
        </w:tc>
        <w:tc>
          <w:tcPr>
            <w:tcW w:w="1937" w:type="dxa"/>
            <w:shd w:val="clear" w:color="auto" w:fill="auto"/>
            <w:vAlign w:val="bottom"/>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21 185</w:t>
            </w:r>
          </w:p>
        </w:tc>
        <w:tc>
          <w:tcPr>
            <w:tcW w:w="1938" w:type="dxa"/>
            <w:shd w:val="clear" w:color="auto" w:fill="auto"/>
            <w:vAlign w:val="bottom"/>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20 999</w:t>
            </w:r>
          </w:p>
        </w:tc>
        <w:tc>
          <w:tcPr>
            <w:tcW w:w="1938" w:type="dxa"/>
            <w:shd w:val="clear" w:color="auto" w:fill="auto"/>
            <w:vAlign w:val="bottom"/>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99,1%</w:t>
            </w:r>
          </w:p>
        </w:tc>
      </w:tr>
      <w:tr w:rsidR="00F02413" w:rsidRPr="00FB0140" w:rsidTr="00853D0D">
        <w:trPr>
          <w:trHeight w:val="315"/>
        </w:trPr>
        <w:tc>
          <w:tcPr>
            <w:tcW w:w="4252" w:type="dxa"/>
            <w:gridSpan w:val="2"/>
            <w:shd w:val="clear" w:color="auto" w:fill="auto"/>
            <w:vAlign w:val="center"/>
          </w:tcPr>
          <w:p w:rsidR="00F02413" w:rsidRPr="00FB0140" w:rsidRDefault="00F02413" w:rsidP="00F02413">
            <w:pPr>
              <w:pStyle w:val="a3"/>
              <w:tabs>
                <w:tab w:val="left" w:pos="0"/>
              </w:tabs>
              <w:ind w:left="0"/>
              <w:rPr>
                <w:rFonts w:ascii="Times New Roman" w:hAnsi="Times New Roman" w:cs="Times New Roman"/>
                <w:b/>
                <w:sz w:val="24"/>
                <w:szCs w:val="24"/>
              </w:rPr>
            </w:pPr>
            <w:r w:rsidRPr="00FB0140">
              <w:rPr>
                <w:rFonts w:ascii="Times New Roman" w:hAnsi="Times New Roman" w:cs="Times New Roman"/>
                <w:b/>
                <w:sz w:val="24"/>
                <w:szCs w:val="24"/>
              </w:rPr>
              <w:t>Всего на экспорт в РФ</w:t>
            </w:r>
          </w:p>
        </w:tc>
        <w:tc>
          <w:tcPr>
            <w:tcW w:w="1937" w:type="dxa"/>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7 159</w:t>
            </w:r>
          </w:p>
        </w:tc>
        <w:tc>
          <w:tcPr>
            <w:tcW w:w="1938" w:type="dxa"/>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6 626</w:t>
            </w:r>
          </w:p>
        </w:tc>
        <w:tc>
          <w:tcPr>
            <w:tcW w:w="1938" w:type="dxa"/>
            <w:shd w:val="clear" w:color="auto" w:fill="auto"/>
            <w:vAlign w:val="center"/>
          </w:tcPr>
          <w:p w:rsidR="00F02413" w:rsidRPr="00FB0140" w:rsidRDefault="00F02413" w:rsidP="00F02413">
            <w:pPr>
              <w:pStyle w:val="a3"/>
              <w:ind w:left="0"/>
              <w:jc w:val="center"/>
              <w:rPr>
                <w:rFonts w:ascii="Times New Roman" w:hAnsi="Times New Roman" w:cs="Times New Roman"/>
                <w:b/>
                <w:sz w:val="24"/>
                <w:szCs w:val="24"/>
              </w:rPr>
            </w:pPr>
            <w:r w:rsidRPr="00FB0140">
              <w:rPr>
                <w:rFonts w:ascii="Times New Roman" w:hAnsi="Times New Roman" w:cs="Times New Roman"/>
                <w:b/>
                <w:sz w:val="24"/>
                <w:szCs w:val="24"/>
              </w:rPr>
              <w:t>92,6%</w:t>
            </w:r>
          </w:p>
        </w:tc>
      </w:tr>
    </w:tbl>
    <w:p w:rsidR="00B601C1" w:rsidRPr="00FB0140" w:rsidRDefault="00853D0D" w:rsidP="00BE0F2B">
      <w:pPr>
        <w:tabs>
          <w:tab w:val="left" w:pos="0"/>
          <w:tab w:val="left" w:pos="6507"/>
        </w:tabs>
        <w:spacing w:after="0" w:line="240" w:lineRule="auto"/>
        <w:ind w:firstLine="709"/>
        <w:jc w:val="both"/>
        <w:rPr>
          <w:rFonts w:ascii="Times New Roman" w:hAnsi="Times New Roman" w:cs="Times New Roman"/>
          <w:sz w:val="28"/>
          <w:szCs w:val="28"/>
        </w:rPr>
      </w:pPr>
      <w:r w:rsidRPr="00FB0140">
        <w:rPr>
          <w:rFonts w:ascii="Times New Roman" w:hAnsi="Times New Roman" w:cs="Times New Roman"/>
          <w:sz w:val="28"/>
          <w:szCs w:val="28"/>
        </w:rPr>
        <w:tab/>
      </w:r>
    </w:p>
    <w:p w:rsidR="00F02413" w:rsidRPr="00FB0140" w:rsidRDefault="00F02413" w:rsidP="00F02413">
      <w:pPr>
        <w:pStyle w:val="a3"/>
        <w:spacing w:after="0" w:line="240" w:lineRule="auto"/>
        <w:ind w:left="0" w:firstLine="567"/>
        <w:jc w:val="both"/>
        <w:rPr>
          <w:rFonts w:ascii="Times New Roman" w:hAnsi="Times New Roman" w:cs="Times New Roman"/>
          <w:sz w:val="28"/>
          <w:szCs w:val="28"/>
        </w:rPr>
      </w:pPr>
      <w:r w:rsidRPr="00FB0140">
        <w:rPr>
          <w:rFonts w:ascii="Times New Roman" w:hAnsi="Times New Roman" w:cs="Times New Roman"/>
          <w:sz w:val="28"/>
          <w:szCs w:val="28"/>
        </w:rPr>
        <w:t xml:space="preserve">По показателям за январь-август 2020 года по сравнению с аналогичным периодом 2019 года в Обществе наблюдается снижение реализации угля на 2,5%. </w:t>
      </w:r>
    </w:p>
    <w:p w:rsidR="006B0E95" w:rsidRPr="00FB0140" w:rsidRDefault="006B0E95" w:rsidP="00BE0F2B">
      <w:pPr>
        <w:pStyle w:val="a3"/>
        <w:spacing w:after="0" w:line="240" w:lineRule="auto"/>
        <w:ind w:left="0" w:firstLine="567"/>
        <w:jc w:val="both"/>
        <w:rPr>
          <w:rFonts w:ascii="Times New Roman" w:hAnsi="Times New Roman" w:cs="Times New Roman"/>
          <w:sz w:val="28"/>
          <w:szCs w:val="28"/>
        </w:rPr>
      </w:pPr>
    </w:p>
    <w:p w:rsidR="00AE6952" w:rsidRPr="00FB0140" w:rsidRDefault="006C42DB" w:rsidP="00EF4AE4">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17" w:name="_Toc503289885"/>
      <w:bookmarkStart w:id="18" w:name="_Toc34079819"/>
      <w:r w:rsidRPr="00FB0140">
        <w:rPr>
          <w:rFonts w:ascii="Times New Roman" w:hAnsi="Times New Roman" w:cs="Times New Roman"/>
          <w:b/>
          <w:color w:val="auto"/>
        </w:rPr>
        <w:t>Возобновляемые источники энергии</w:t>
      </w:r>
      <w:bookmarkEnd w:id="17"/>
      <w:bookmarkEnd w:id="18"/>
    </w:p>
    <w:p w:rsidR="00F02413" w:rsidRPr="00FB0140" w:rsidRDefault="00F02413" w:rsidP="00F02413">
      <w:pPr>
        <w:spacing w:after="0" w:line="240" w:lineRule="auto"/>
        <w:ind w:firstLine="643"/>
        <w:jc w:val="both"/>
        <w:rPr>
          <w:rFonts w:ascii="Times New Roman" w:hAnsi="Times New Roman" w:cs="Times New Roman"/>
          <w:sz w:val="28"/>
        </w:rPr>
      </w:pPr>
      <w:bookmarkStart w:id="19" w:name="_Toc31296322"/>
      <w:bookmarkStart w:id="20" w:name="_Toc34079820"/>
      <w:r w:rsidRPr="00FB0140">
        <w:rPr>
          <w:rFonts w:ascii="Times New Roman" w:hAnsi="Times New Roman" w:cs="Times New Roman"/>
          <w:sz w:val="28"/>
        </w:rPr>
        <w:t>По данным системного оператора объем производства электроэнергии объектами по использованию ВИЭ (СЭС, ВЭС, БГС, малые ГЭС) РК за январь-август 2020 года составил 2 107,9 млн. кВтч. В сравнении с январем-августом 2019 года (1 233,9 млн. кВтч) прирост составил 70,8%.</w:t>
      </w:r>
    </w:p>
    <w:p w:rsidR="00586AF8" w:rsidRPr="00FB0140" w:rsidRDefault="00586AF8" w:rsidP="00BE0F2B">
      <w:pPr>
        <w:spacing w:after="0" w:line="240" w:lineRule="auto"/>
        <w:ind w:left="283"/>
        <w:jc w:val="right"/>
        <w:rPr>
          <w:rFonts w:ascii="Times New Roman" w:hAnsi="Times New Roman" w:cs="Times New Roman"/>
          <w:sz w:val="24"/>
        </w:rPr>
      </w:pPr>
      <w:r w:rsidRPr="00FB0140">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58"/>
        <w:gridCol w:w="3162"/>
        <w:gridCol w:w="1134"/>
        <w:gridCol w:w="1001"/>
        <w:gridCol w:w="1151"/>
        <w:gridCol w:w="996"/>
        <w:gridCol w:w="1041"/>
        <w:gridCol w:w="996"/>
      </w:tblGrid>
      <w:tr w:rsidR="00F02413" w:rsidRPr="00FB0140" w:rsidTr="00F02413">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color w:val="000000"/>
                <w:sz w:val="24"/>
                <w:lang w:eastAsia="ru-RU"/>
              </w:rPr>
            </w:pPr>
            <w:r w:rsidRPr="00FB0140">
              <w:rPr>
                <w:rFonts w:ascii="Times New Roman" w:eastAsia="Times New Roman" w:hAnsi="Times New Roman" w:cs="Times New Roman"/>
                <w:b/>
                <w:bCs/>
                <w:color w:val="000000"/>
                <w:sz w:val="24"/>
                <w:lang w:eastAsia="ru-RU"/>
              </w:rPr>
              <w:t>№</w:t>
            </w:r>
          </w:p>
        </w:tc>
        <w:tc>
          <w:tcPr>
            <w:tcW w:w="3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lang w:eastAsia="ru-RU"/>
              </w:rPr>
            </w:pPr>
            <w:r w:rsidRPr="00FB0140">
              <w:rPr>
                <w:rFonts w:ascii="Times New Roman" w:eastAsia="Times New Roman" w:hAnsi="Times New Roman" w:cs="Times New Roman"/>
                <w:b/>
                <w:bCs/>
                <w:sz w:val="24"/>
                <w:lang w:eastAsia="ru-RU"/>
              </w:rPr>
              <w:t>Наименование</w:t>
            </w:r>
          </w:p>
        </w:tc>
        <w:tc>
          <w:tcPr>
            <w:tcW w:w="2135"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201</w:t>
            </w:r>
            <w:r w:rsidRPr="00FB0140">
              <w:rPr>
                <w:rFonts w:ascii="Times New Roman" w:eastAsia="Times New Roman" w:hAnsi="Times New Roman" w:cs="Times New Roman"/>
                <w:b/>
                <w:bCs/>
                <w:sz w:val="24"/>
                <w:szCs w:val="24"/>
                <w:lang w:val="en-US" w:eastAsia="ru-RU"/>
              </w:rPr>
              <w:t>9</w:t>
            </w:r>
            <w:r w:rsidRPr="00FB0140">
              <w:rPr>
                <w:rFonts w:ascii="Times New Roman" w:eastAsia="Times New Roman" w:hAnsi="Times New Roman" w:cs="Times New Roman"/>
                <w:b/>
                <w:bCs/>
                <w:sz w:val="24"/>
                <w:szCs w:val="24"/>
                <w:lang w:eastAsia="ru-RU"/>
              </w:rPr>
              <w:t>г</w:t>
            </w:r>
          </w:p>
        </w:tc>
        <w:tc>
          <w:tcPr>
            <w:tcW w:w="2147"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w:t>
            </w:r>
            <w:r w:rsidRPr="00FB0140">
              <w:rPr>
                <w:rFonts w:ascii="Times New Roman" w:eastAsia="Times New Roman" w:hAnsi="Times New Roman" w:cs="Times New Roman"/>
                <w:b/>
                <w:bCs/>
                <w:sz w:val="24"/>
                <w:szCs w:val="24"/>
                <w:lang w:val="en-US" w:eastAsia="ru-RU"/>
              </w:rPr>
              <w:t>20</w:t>
            </w:r>
            <w:r w:rsidRPr="00FB0140">
              <w:rPr>
                <w:rFonts w:ascii="Times New Roman" w:eastAsia="Times New Roman" w:hAnsi="Times New Roman" w:cs="Times New Roman"/>
                <w:b/>
                <w:bCs/>
                <w:sz w:val="24"/>
                <w:szCs w:val="24"/>
                <w:lang w:eastAsia="ru-RU"/>
              </w:rPr>
              <w:t>г</w:t>
            </w:r>
          </w:p>
        </w:tc>
        <w:tc>
          <w:tcPr>
            <w:tcW w:w="2037" w:type="dxa"/>
            <w:gridSpan w:val="2"/>
            <w:tcBorders>
              <w:top w:val="single" w:sz="4" w:space="0" w:color="auto"/>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Отклонение 20</w:t>
            </w:r>
            <w:r w:rsidRPr="00FB0140">
              <w:rPr>
                <w:rFonts w:ascii="Times New Roman" w:eastAsia="Times New Roman" w:hAnsi="Times New Roman" w:cs="Times New Roman"/>
                <w:b/>
                <w:bCs/>
                <w:sz w:val="24"/>
                <w:szCs w:val="24"/>
                <w:lang w:val="en-US" w:eastAsia="ru-RU"/>
              </w:rPr>
              <w:t>20</w:t>
            </w:r>
            <w:r w:rsidRPr="00FB0140">
              <w:rPr>
                <w:rFonts w:ascii="Times New Roman" w:eastAsia="Times New Roman" w:hAnsi="Times New Roman" w:cs="Times New Roman"/>
                <w:b/>
                <w:bCs/>
                <w:sz w:val="24"/>
                <w:szCs w:val="24"/>
                <w:lang w:eastAsia="ru-RU"/>
              </w:rPr>
              <w:t>/2019гг,</w:t>
            </w:r>
          </w:p>
        </w:tc>
      </w:tr>
      <w:tr w:rsidR="00F02413" w:rsidRPr="00FB0140" w:rsidTr="00F02413">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color w:val="000000"/>
                <w:sz w:val="24"/>
                <w:lang w:eastAsia="ru-RU"/>
              </w:rPr>
            </w:pPr>
          </w:p>
        </w:tc>
        <w:tc>
          <w:tcPr>
            <w:tcW w:w="3162"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январь-август</w:t>
            </w:r>
          </w:p>
        </w:tc>
        <w:tc>
          <w:tcPr>
            <w:tcW w:w="100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доля в РК, %</w:t>
            </w:r>
          </w:p>
        </w:tc>
        <w:tc>
          <w:tcPr>
            <w:tcW w:w="115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январь-август</w:t>
            </w:r>
          </w:p>
        </w:tc>
        <w:tc>
          <w:tcPr>
            <w:tcW w:w="996"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 xml:space="preserve"> млн. кВтч</w:t>
            </w:r>
          </w:p>
        </w:tc>
        <w:tc>
          <w:tcPr>
            <w:tcW w:w="996"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w:t>
            </w:r>
          </w:p>
        </w:tc>
      </w:tr>
      <w:tr w:rsidR="00F02413" w:rsidRPr="00FB0140" w:rsidTr="00F024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b/>
                <w:bCs/>
                <w:sz w:val="24"/>
                <w:lang w:eastAsia="ru-RU"/>
              </w:rPr>
            </w:pPr>
            <w:r w:rsidRPr="00FB0140">
              <w:rPr>
                <w:rFonts w:ascii="Times New Roman" w:eastAsia="Times New Roman" w:hAnsi="Times New Roman" w:cs="Times New Roman"/>
                <w:b/>
                <w:bCs/>
                <w:sz w:val="24"/>
                <w:lang w:eastAsia="ru-RU"/>
              </w:rPr>
              <w:t>Всего выработка в РК</w:t>
            </w:r>
          </w:p>
        </w:tc>
        <w:tc>
          <w:tcPr>
            <w:tcW w:w="113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68725,3</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100%</w:t>
            </w:r>
          </w:p>
        </w:tc>
        <w:tc>
          <w:tcPr>
            <w:tcW w:w="1151"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69508,1</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782,8</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1,1%</w:t>
            </w:r>
          </w:p>
        </w:tc>
      </w:tr>
      <w:tr w:rsidR="00F02413" w:rsidRPr="00FB0140" w:rsidTr="00F0241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lang w:eastAsia="ru-RU"/>
              </w:rPr>
            </w:pPr>
            <w:r w:rsidRPr="00FB0140">
              <w:rPr>
                <w:rFonts w:ascii="Times New Roman" w:eastAsia="Times New Roman" w:hAnsi="Times New Roman" w:cs="Times New Roman"/>
                <w:b/>
                <w:bCs/>
                <w:sz w:val="24"/>
                <w:lang w:eastAsia="ru-RU"/>
              </w:rPr>
              <w:t>I</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b/>
                <w:bCs/>
                <w:sz w:val="24"/>
                <w:lang w:eastAsia="ru-RU"/>
              </w:rPr>
            </w:pPr>
            <w:r w:rsidRPr="00FB0140">
              <w:rPr>
                <w:rFonts w:ascii="Times New Roman" w:eastAsia="Times New Roman" w:hAnsi="Times New Roman" w:cs="Times New Roman"/>
                <w:b/>
                <w:bCs/>
                <w:sz w:val="24"/>
                <w:lang w:eastAsia="ru-RU"/>
              </w:rPr>
              <w:t xml:space="preserve">Всего ВИЭ в РК, в т.ч. по зонам </w:t>
            </w:r>
          </w:p>
        </w:tc>
        <w:tc>
          <w:tcPr>
            <w:tcW w:w="113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1233,9</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1,8%</w:t>
            </w:r>
          </w:p>
        </w:tc>
        <w:tc>
          <w:tcPr>
            <w:tcW w:w="115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2107,9</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3,0%</w:t>
            </w:r>
          </w:p>
        </w:tc>
        <w:tc>
          <w:tcPr>
            <w:tcW w:w="104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874,0</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70,8%</w:t>
            </w:r>
          </w:p>
        </w:tc>
      </w:tr>
      <w:tr w:rsidR="00F02413" w:rsidRPr="00FB0140" w:rsidTr="00F024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1.</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i/>
                <w:iCs/>
                <w:color w:val="000000"/>
                <w:sz w:val="24"/>
                <w:lang w:eastAsia="ru-RU"/>
              </w:rPr>
            </w:pPr>
            <w:r w:rsidRPr="00FB0140">
              <w:rPr>
                <w:rFonts w:ascii="Times New Roman" w:eastAsia="Times New Roman" w:hAnsi="Times New Roman" w:cs="Times New Roman"/>
                <w:i/>
                <w:iCs/>
                <w:color w:val="000000"/>
                <w:sz w:val="24"/>
                <w:lang w:eastAsia="ru-RU"/>
              </w:rPr>
              <w:t>Северная зона</w:t>
            </w:r>
          </w:p>
        </w:tc>
        <w:tc>
          <w:tcPr>
            <w:tcW w:w="113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336,4</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27,3%</w:t>
            </w:r>
          </w:p>
        </w:tc>
        <w:tc>
          <w:tcPr>
            <w:tcW w:w="115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721,1</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34,2%</w:t>
            </w:r>
          </w:p>
        </w:tc>
        <w:tc>
          <w:tcPr>
            <w:tcW w:w="104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384,7</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114,4%</w:t>
            </w:r>
          </w:p>
        </w:tc>
      </w:tr>
      <w:tr w:rsidR="00F02413" w:rsidRPr="00FB0140" w:rsidTr="00F024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2.</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i/>
                <w:iCs/>
                <w:color w:val="000000"/>
                <w:sz w:val="24"/>
                <w:lang w:eastAsia="ru-RU"/>
              </w:rPr>
            </w:pPr>
            <w:r w:rsidRPr="00FB0140">
              <w:rPr>
                <w:rFonts w:ascii="Times New Roman" w:eastAsia="Times New Roman" w:hAnsi="Times New Roman" w:cs="Times New Roman"/>
                <w:i/>
                <w:iCs/>
                <w:color w:val="000000"/>
                <w:sz w:val="24"/>
                <w:lang w:eastAsia="ru-RU"/>
              </w:rPr>
              <w:t>Южная зона</w:t>
            </w:r>
          </w:p>
        </w:tc>
        <w:tc>
          <w:tcPr>
            <w:tcW w:w="113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746,7</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60,5%</w:t>
            </w:r>
          </w:p>
        </w:tc>
        <w:tc>
          <w:tcPr>
            <w:tcW w:w="115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1138,8</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54,0%</w:t>
            </w:r>
          </w:p>
        </w:tc>
        <w:tc>
          <w:tcPr>
            <w:tcW w:w="104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392,1</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52,5%</w:t>
            </w:r>
          </w:p>
        </w:tc>
      </w:tr>
      <w:tr w:rsidR="00F02413" w:rsidRPr="00FB0140" w:rsidTr="00F024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3.</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i/>
                <w:iCs/>
                <w:color w:val="000000"/>
                <w:sz w:val="24"/>
                <w:lang w:eastAsia="ru-RU"/>
              </w:rPr>
            </w:pPr>
            <w:r w:rsidRPr="00FB0140">
              <w:rPr>
                <w:rFonts w:ascii="Times New Roman" w:eastAsia="Times New Roman" w:hAnsi="Times New Roman" w:cs="Times New Roman"/>
                <w:i/>
                <w:iCs/>
                <w:color w:val="000000"/>
                <w:sz w:val="24"/>
                <w:lang w:eastAsia="ru-RU"/>
              </w:rPr>
              <w:t>Западная зона</w:t>
            </w:r>
          </w:p>
        </w:tc>
        <w:tc>
          <w:tcPr>
            <w:tcW w:w="113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150,8</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0,0%</w:t>
            </w:r>
          </w:p>
        </w:tc>
        <w:tc>
          <w:tcPr>
            <w:tcW w:w="115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248,0</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11,8%</w:t>
            </w:r>
          </w:p>
        </w:tc>
        <w:tc>
          <w:tcPr>
            <w:tcW w:w="104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97,2</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0,0%</w:t>
            </w:r>
          </w:p>
        </w:tc>
      </w:tr>
      <w:tr w:rsidR="00F02413" w:rsidRPr="00FB0140" w:rsidTr="00F02413">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sz w:val="24"/>
                <w:lang w:eastAsia="ru-RU"/>
              </w:rPr>
            </w:pPr>
            <w:r w:rsidRPr="00FB0140">
              <w:rPr>
                <w:rFonts w:ascii="Times New Roman" w:eastAsia="Times New Roman" w:hAnsi="Times New Roman" w:cs="Times New Roman"/>
                <w:b/>
                <w:bCs/>
                <w:sz w:val="24"/>
                <w:lang w:eastAsia="ru-RU"/>
              </w:rPr>
              <w:t>II</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b/>
                <w:bCs/>
                <w:sz w:val="24"/>
                <w:lang w:eastAsia="ru-RU"/>
              </w:rPr>
            </w:pPr>
            <w:r w:rsidRPr="00FB0140">
              <w:rPr>
                <w:rFonts w:ascii="Times New Roman" w:eastAsia="Times New Roman" w:hAnsi="Times New Roman" w:cs="Times New Roman"/>
                <w:b/>
                <w:bCs/>
                <w:sz w:val="24"/>
                <w:lang w:eastAsia="ru-RU"/>
              </w:rPr>
              <w:t xml:space="preserve">Всего ВИЭ в РК, в т.ч. по типам </w:t>
            </w:r>
          </w:p>
        </w:tc>
        <w:tc>
          <w:tcPr>
            <w:tcW w:w="113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1233,9</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1,8%</w:t>
            </w:r>
          </w:p>
        </w:tc>
        <w:tc>
          <w:tcPr>
            <w:tcW w:w="115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2107,9</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3,0%</w:t>
            </w:r>
          </w:p>
        </w:tc>
        <w:tc>
          <w:tcPr>
            <w:tcW w:w="104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874,0</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sz w:val="24"/>
                <w:szCs w:val="24"/>
              </w:rPr>
            </w:pPr>
            <w:r w:rsidRPr="00FB0140">
              <w:rPr>
                <w:rFonts w:ascii="Times New Roman" w:hAnsi="Times New Roman" w:cs="Times New Roman"/>
                <w:b/>
                <w:bCs/>
                <w:sz w:val="24"/>
                <w:szCs w:val="24"/>
              </w:rPr>
              <w:t>70,8%</w:t>
            </w:r>
          </w:p>
        </w:tc>
      </w:tr>
      <w:tr w:rsidR="00F02413" w:rsidRPr="00FB0140" w:rsidTr="00F024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1.</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i/>
                <w:iCs/>
                <w:sz w:val="24"/>
                <w:lang w:eastAsia="ru-RU"/>
              </w:rPr>
            </w:pPr>
            <w:r w:rsidRPr="00FB0140">
              <w:rPr>
                <w:rFonts w:ascii="Times New Roman" w:eastAsia="Times New Roman" w:hAnsi="Times New Roman" w:cs="Times New Roman"/>
                <w:i/>
                <w:iCs/>
                <w:sz w:val="24"/>
                <w:lang w:eastAsia="ru-RU"/>
              </w:rPr>
              <w:t>СЭС</w:t>
            </w:r>
          </w:p>
        </w:tc>
        <w:tc>
          <w:tcPr>
            <w:tcW w:w="113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243,0</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19,7%</w:t>
            </w:r>
          </w:p>
        </w:tc>
        <w:tc>
          <w:tcPr>
            <w:tcW w:w="115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951,0</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45,1%</w:t>
            </w:r>
          </w:p>
        </w:tc>
        <w:tc>
          <w:tcPr>
            <w:tcW w:w="104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708,0</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291,4%</w:t>
            </w:r>
          </w:p>
        </w:tc>
      </w:tr>
      <w:tr w:rsidR="00F02413" w:rsidRPr="00FB0140" w:rsidTr="00F02413">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2.</w:t>
            </w:r>
          </w:p>
        </w:tc>
        <w:tc>
          <w:tcPr>
            <w:tcW w:w="316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i/>
                <w:iCs/>
                <w:sz w:val="24"/>
                <w:lang w:eastAsia="ru-RU"/>
              </w:rPr>
            </w:pPr>
            <w:r w:rsidRPr="00FB0140">
              <w:rPr>
                <w:rFonts w:ascii="Times New Roman" w:eastAsia="Times New Roman" w:hAnsi="Times New Roman" w:cs="Times New Roman"/>
                <w:i/>
                <w:iCs/>
                <w:sz w:val="24"/>
                <w:lang w:eastAsia="ru-RU"/>
              </w:rPr>
              <w:t>ВЭС</w:t>
            </w:r>
          </w:p>
        </w:tc>
        <w:tc>
          <w:tcPr>
            <w:tcW w:w="113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410,2</w:t>
            </w:r>
          </w:p>
        </w:tc>
        <w:tc>
          <w:tcPr>
            <w:tcW w:w="100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33,2%</w:t>
            </w:r>
          </w:p>
        </w:tc>
        <w:tc>
          <w:tcPr>
            <w:tcW w:w="115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643,6</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30,5%</w:t>
            </w:r>
          </w:p>
        </w:tc>
        <w:tc>
          <w:tcPr>
            <w:tcW w:w="1041"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233,4</w:t>
            </w:r>
          </w:p>
        </w:tc>
        <w:tc>
          <w:tcPr>
            <w:tcW w:w="996"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56,9%</w:t>
            </w:r>
          </w:p>
        </w:tc>
      </w:tr>
      <w:tr w:rsidR="00F02413" w:rsidRPr="00FB0140" w:rsidTr="00F0241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 3.</w:t>
            </w:r>
          </w:p>
        </w:tc>
        <w:tc>
          <w:tcPr>
            <w:tcW w:w="3162" w:type="dxa"/>
            <w:tcBorders>
              <w:top w:val="single" w:sz="4" w:space="0" w:color="auto"/>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i/>
                <w:iCs/>
                <w:sz w:val="24"/>
                <w:lang w:eastAsia="ru-RU"/>
              </w:rPr>
            </w:pPr>
            <w:r w:rsidRPr="00FB0140">
              <w:rPr>
                <w:rFonts w:ascii="Times New Roman" w:eastAsia="Times New Roman" w:hAnsi="Times New Roman" w:cs="Times New Roman"/>
                <w:i/>
                <w:iCs/>
                <w:sz w:val="24"/>
                <w:lang w:eastAsia="ru-RU"/>
              </w:rPr>
              <w:t>Малые ГЭС</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578,5</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46,9%</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510,3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24,2%</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-68,2</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-11,8%</w:t>
            </w:r>
          </w:p>
        </w:tc>
      </w:tr>
      <w:tr w:rsidR="00F02413" w:rsidRPr="00FB0140" w:rsidTr="00F02413">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F02413" w:rsidRPr="00FB0140" w:rsidRDefault="00F02413" w:rsidP="00F02413">
            <w:pPr>
              <w:spacing w:after="0" w:line="240" w:lineRule="auto"/>
              <w:jc w:val="center"/>
              <w:rPr>
                <w:rFonts w:ascii="Times New Roman" w:eastAsia="Times New Roman" w:hAnsi="Times New Roman" w:cs="Times New Roman"/>
                <w:sz w:val="24"/>
                <w:lang w:eastAsia="ru-RU"/>
              </w:rPr>
            </w:pPr>
            <w:r w:rsidRPr="00FB0140">
              <w:rPr>
                <w:rFonts w:ascii="Times New Roman" w:eastAsia="Times New Roman" w:hAnsi="Times New Roman" w:cs="Times New Roman"/>
                <w:sz w:val="24"/>
                <w:lang w:eastAsia="ru-RU"/>
              </w:rPr>
              <w:t>4.</w:t>
            </w:r>
          </w:p>
        </w:tc>
        <w:tc>
          <w:tcPr>
            <w:tcW w:w="3162" w:type="dxa"/>
            <w:tcBorders>
              <w:top w:val="single" w:sz="4" w:space="0" w:color="auto"/>
              <w:left w:val="nil"/>
              <w:bottom w:val="single" w:sz="4" w:space="0" w:color="auto"/>
              <w:right w:val="single" w:sz="4" w:space="0" w:color="auto"/>
            </w:tcBorders>
            <w:shd w:val="clear" w:color="auto" w:fill="auto"/>
            <w:vAlign w:val="bottom"/>
          </w:tcPr>
          <w:p w:rsidR="00F02413" w:rsidRPr="00FB0140" w:rsidRDefault="00F02413" w:rsidP="00F02413">
            <w:pPr>
              <w:spacing w:after="0" w:line="240" w:lineRule="auto"/>
              <w:rPr>
                <w:rFonts w:ascii="Times New Roman" w:eastAsia="Times New Roman" w:hAnsi="Times New Roman" w:cs="Times New Roman"/>
                <w:i/>
                <w:iCs/>
                <w:sz w:val="24"/>
                <w:lang w:eastAsia="ru-RU"/>
              </w:rPr>
            </w:pPr>
            <w:r w:rsidRPr="00FB0140">
              <w:rPr>
                <w:rFonts w:ascii="Times New Roman" w:eastAsia="Times New Roman" w:hAnsi="Times New Roman" w:cs="Times New Roman"/>
                <w:i/>
                <w:iCs/>
                <w:sz w:val="24"/>
                <w:lang w:eastAsia="ru-RU"/>
              </w:rPr>
              <w:t>БиоГазовыеУстановки</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2,2</w:t>
            </w:r>
          </w:p>
        </w:tc>
        <w:tc>
          <w:tcPr>
            <w:tcW w:w="1001" w:type="dxa"/>
            <w:tcBorders>
              <w:top w:val="single" w:sz="4" w:space="0" w:color="auto"/>
              <w:left w:val="nil"/>
              <w:bottom w:val="single" w:sz="4" w:space="0" w:color="auto"/>
              <w:right w:val="single" w:sz="4" w:space="0" w:color="auto"/>
            </w:tcBorders>
            <w:shd w:val="clear" w:color="auto" w:fill="auto"/>
            <w:vAlign w:val="bottom"/>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0,2%</w:t>
            </w:r>
          </w:p>
        </w:tc>
        <w:tc>
          <w:tcPr>
            <w:tcW w:w="1151" w:type="dxa"/>
            <w:tcBorders>
              <w:top w:val="single" w:sz="4" w:space="0" w:color="auto"/>
              <w:left w:val="nil"/>
              <w:bottom w:val="single" w:sz="4" w:space="0" w:color="auto"/>
              <w:right w:val="single" w:sz="4" w:space="0" w:color="auto"/>
            </w:tcBorders>
            <w:shd w:val="clear" w:color="000000" w:fill="FFFFFF"/>
            <w:noWrap/>
            <w:vAlign w:val="bottom"/>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3,0</w:t>
            </w:r>
          </w:p>
        </w:tc>
        <w:tc>
          <w:tcPr>
            <w:tcW w:w="996" w:type="dxa"/>
            <w:tcBorders>
              <w:top w:val="single" w:sz="4" w:space="0" w:color="auto"/>
              <w:left w:val="nil"/>
              <w:bottom w:val="single" w:sz="4" w:space="0" w:color="auto"/>
              <w:right w:val="single" w:sz="4" w:space="0" w:color="auto"/>
            </w:tcBorders>
            <w:shd w:val="clear" w:color="auto" w:fill="auto"/>
            <w:vAlign w:val="bottom"/>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F02413" w:rsidRPr="00FB0140" w:rsidRDefault="00F02413" w:rsidP="00F02413">
            <w:pPr>
              <w:spacing w:after="0" w:line="240" w:lineRule="auto"/>
              <w:jc w:val="right"/>
              <w:rPr>
                <w:rFonts w:ascii="Times New Roman" w:hAnsi="Times New Roman" w:cs="Times New Roman"/>
                <w:i/>
                <w:iCs/>
                <w:sz w:val="24"/>
                <w:szCs w:val="24"/>
              </w:rPr>
            </w:pPr>
            <w:r w:rsidRPr="00FB0140">
              <w:rPr>
                <w:rFonts w:ascii="Times New Roman" w:hAnsi="Times New Roman" w:cs="Times New Roman"/>
                <w:i/>
                <w:iCs/>
                <w:sz w:val="24"/>
                <w:szCs w:val="24"/>
              </w:rPr>
              <w:t>0,8</w:t>
            </w:r>
          </w:p>
        </w:tc>
        <w:tc>
          <w:tcPr>
            <w:tcW w:w="996" w:type="dxa"/>
            <w:tcBorders>
              <w:top w:val="single" w:sz="4" w:space="0" w:color="auto"/>
              <w:left w:val="nil"/>
              <w:bottom w:val="single" w:sz="4" w:space="0" w:color="auto"/>
              <w:right w:val="single" w:sz="4" w:space="0" w:color="auto"/>
            </w:tcBorders>
            <w:shd w:val="clear" w:color="auto" w:fill="auto"/>
            <w:vAlign w:val="bottom"/>
          </w:tcPr>
          <w:p w:rsidR="00F02413" w:rsidRPr="00FB0140" w:rsidRDefault="00F02413" w:rsidP="00F02413">
            <w:pPr>
              <w:spacing w:after="0" w:line="240" w:lineRule="auto"/>
              <w:jc w:val="center"/>
              <w:rPr>
                <w:rFonts w:ascii="Times New Roman" w:hAnsi="Times New Roman" w:cs="Times New Roman"/>
                <w:i/>
                <w:iCs/>
                <w:sz w:val="24"/>
                <w:szCs w:val="24"/>
              </w:rPr>
            </w:pPr>
            <w:r w:rsidRPr="00FB0140">
              <w:rPr>
                <w:rFonts w:ascii="Times New Roman" w:hAnsi="Times New Roman" w:cs="Times New Roman"/>
                <w:i/>
                <w:iCs/>
                <w:sz w:val="24"/>
                <w:szCs w:val="24"/>
              </w:rPr>
              <w:t>0,0%</w:t>
            </w:r>
          </w:p>
        </w:tc>
      </w:tr>
    </w:tbl>
    <w:p w:rsidR="00F02413" w:rsidRPr="00FB0140" w:rsidRDefault="00F02413" w:rsidP="00F02413">
      <w:pPr>
        <w:spacing w:after="0" w:line="240" w:lineRule="auto"/>
        <w:rPr>
          <w:rFonts w:ascii="Times New Roman" w:hAnsi="Times New Roman" w:cs="Times New Roman"/>
          <w:sz w:val="28"/>
        </w:rPr>
      </w:pPr>
    </w:p>
    <w:p w:rsidR="00586AF8" w:rsidRPr="00FB0140" w:rsidRDefault="00F02413" w:rsidP="00F02413">
      <w:pPr>
        <w:spacing w:after="0" w:line="240" w:lineRule="auto"/>
        <w:ind w:firstLine="643"/>
        <w:jc w:val="both"/>
        <w:rPr>
          <w:rFonts w:ascii="Times New Roman" w:hAnsi="Times New Roman" w:cs="Times New Roman"/>
          <w:sz w:val="24"/>
        </w:rPr>
      </w:pPr>
      <w:r w:rsidRPr="00FB0140">
        <w:rPr>
          <w:rFonts w:ascii="Times New Roman" w:hAnsi="Times New Roman" w:cs="Times New Roman"/>
          <w:sz w:val="28"/>
        </w:rPr>
        <w:t>В январе-августе 2020г. наблюдается снижение производства электроэнергии малыми ГЭС по сравнению с аналогичным периодом 2019г., в то время как производство электроэнергии объектами ВЭС и СЭС выросло</w:t>
      </w:r>
    </w:p>
    <w:p w:rsidR="00586AF8" w:rsidRPr="00FB0140" w:rsidRDefault="00586AF8" w:rsidP="00F02413">
      <w:pPr>
        <w:pStyle w:val="a3"/>
        <w:spacing w:after="0" w:line="240" w:lineRule="auto"/>
        <w:ind w:left="643"/>
        <w:jc w:val="right"/>
        <w:rPr>
          <w:rFonts w:ascii="Times New Roman" w:hAnsi="Times New Roman" w:cs="Times New Roman"/>
          <w:sz w:val="24"/>
        </w:rPr>
      </w:pPr>
      <w:r w:rsidRPr="00FB0140">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629"/>
        <w:gridCol w:w="1114"/>
        <w:gridCol w:w="1047"/>
        <w:gridCol w:w="1114"/>
        <w:gridCol w:w="982"/>
        <w:gridCol w:w="931"/>
        <w:gridCol w:w="1029"/>
      </w:tblGrid>
      <w:tr w:rsidR="00F02413" w:rsidRPr="00FB0140" w:rsidTr="00F02413">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color w:val="000000"/>
                <w:lang w:eastAsia="ru-RU"/>
              </w:rPr>
            </w:pPr>
            <w:r w:rsidRPr="00FB0140">
              <w:rPr>
                <w:rFonts w:ascii="Times New Roman" w:eastAsia="Times New Roman" w:hAnsi="Times New Roman" w:cs="Times New Roman"/>
                <w:b/>
                <w:bCs/>
                <w:color w:val="000000"/>
                <w:lang w:eastAsia="ru-RU"/>
              </w:rPr>
              <w:t>№</w:t>
            </w:r>
          </w:p>
        </w:tc>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Наименование</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2019г</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2020г</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eastAsia="Times New Roman" w:hAnsi="Times New Roman" w:cs="Times New Roman"/>
                <w:b/>
                <w:bCs/>
                <w:lang w:eastAsia="ru-RU"/>
              </w:rPr>
            </w:pPr>
            <w:r w:rsidRPr="00FB0140">
              <w:rPr>
                <w:rFonts w:ascii="Times New Roman" w:eastAsia="Times New Roman" w:hAnsi="Times New Roman" w:cs="Times New Roman"/>
                <w:b/>
                <w:bCs/>
                <w:lang w:eastAsia="ru-RU"/>
              </w:rPr>
              <w:t>Отклонение 2020/2019гг,</w:t>
            </w:r>
          </w:p>
        </w:tc>
      </w:tr>
      <w:tr w:rsidR="00F02413" w:rsidRPr="00FB0140" w:rsidTr="00F02413">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color w:val="000000"/>
                <w:lang w:eastAsia="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январь-август</w:t>
            </w:r>
          </w:p>
        </w:tc>
        <w:tc>
          <w:tcPr>
            <w:tcW w:w="10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январь-август</w:t>
            </w:r>
          </w:p>
        </w:tc>
        <w:tc>
          <w:tcPr>
            <w:tcW w:w="98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доля в РК, %</w:t>
            </w:r>
          </w:p>
        </w:tc>
        <w:tc>
          <w:tcPr>
            <w:tcW w:w="93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 xml:space="preserve"> млн. кВтч</w:t>
            </w:r>
          </w:p>
        </w:tc>
        <w:tc>
          <w:tcPr>
            <w:tcW w:w="102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w:t>
            </w:r>
          </w:p>
        </w:tc>
      </w:tr>
      <w:tr w:rsidR="00F02413" w:rsidRPr="00FB0140" w:rsidTr="00F02413">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eastAsia="Times New Roman" w:hAnsi="Times New Roman" w:cs="Times New Roman"/>
                <w:b/>
                <w:i/>
                <w:lang w:eastAsia="ru-RU"/>
              </w:rPr>
            </w:pPr>
            <w:r w:rsidRPr="00FB0140">
              <w:rPr>
                <w:rFonts w:ascii="Times New Roman" w:eastAsia="Times New Roman" w:hAnsi="Times New Roman" w:cs="Times New Roman"/>
                <w:b/>
                <w:i/>
                <w:lang w:eastAsia="ru-RU"/>
              </w:rPr>
              <w:t> </w:t>
            </w:r>
          </w:p>
        </w:tc>
        <w:tc>
          <w:tcPr>
            <w:tcW w:w="362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rPr>
                <w:rFonts w:ascii="Times New Roman" w:hAnsi="Times New Roman" w:cs="Times New Roman"/>
                <w:b/>
                <w:bCs/>
                <w:i/>
              </w:rPr>
            </w:pPr>
            <w:r w:rsidRPr="00FB0140">
              <w:rPr>
                <w:rFonts w:ascii="Times New Roman" w:hAnsi="Times New Roman" w:cs="Times New Roman"/>
                <w:b/>
                <w:bCs/>
                <w:i/>
              </w:rPr>
              <w:t>Производство э/э в ЕЭС РК</w:t>
            </w:r>
          </w:p>
        </w:tc>
        <w:tc>
          <w:tcPr>
            <w:tcW w:w="111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68725,3</w:t>
            </w:r>
          </w:p>
        </w:tc>
        <w:tc>
          <w:tcPr>
            <w:tcW w:w="10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100,0%</w:t>
            </w:r>
          </w:p>
        </w:tc>
        <w:tc>
          <w:tcPr>
            <w:tcW w:w="111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69508,1</w:t>
            </w:r>
          </w:p>
        </w:tc>
        <w:tc>
          <w:tcPr>
            <w:tcW w:w="98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100%</w:t>
            </w:r>
          </w:p>
        </w:tc>
        <w:tc>
          <w:tcPr>
            <w:tcW w:w="93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782,8</w:t>
            </w:r>
          </w:p>
        </w:tc>
        <w:tc>
          <w:tcPr>
            <w:tcW w:w="102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1,1%</w:t>
            </w:r>
          </w:p>
        </w:tc>
      </w:tr>
      <w:tr w:rsidR="00F02413" w:rsidRPr="00FB0140" w:rsidTr="00F02413">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lang w:eastAsia="ru-RU"/>
              </w:rPr>
            </w:pPr>
            <w:r w:rsidRPr="00FB0140">
              <w:rPr>
                <w:rFonts w:ascii="Times New Roman" w:eastAsia="Times New Roman" w:hAnsi="Times New Roman" w:cs="Times New Roman"/>
                <w:lang w:eastAsia="ru-RU"/>
              </w:rPr>
              <w:t> 1.</w:t>
            </w:r>
          </w:p>
        </w:tc>
        <w:tc>
          <w:tcPr>
            <w:tcW w:w="3629" w:type="dxa"/>
            <w:tcBorders>
              <w:top w:val="nil"/>
              <w:left w:val="nil"/>
              <w:bottom w:val="single" w:sz="4" w:space="0" w:color="auto"/>
              <w:right w:val="single" w:sz="4" w:space="0" w:color="auto"/>
            </w:tcBorders>
            <w:shd w:val="clear" w:color="auto" w:fill="auto"/>
            <w:hideMark/>
          </w:tcPr>
          <w:p w:rsidR="00F02413" w:rsidRPr="00FB0140" w:rsidRDefault="00F02413" w:rsidP="00F02413">
            <w:pPr>
              <w:spacing w:after="0" w:line="240" w:lineRule="auto"/>
              <w:ind w:firstLineChars="100" w:firstLine="220"/>
              <w:rPr>
                <w:rFonts w:ascii="Times New Roman" w:hAnsi="Times New Roman" w:cs="Times New Roman"/>
              </w:rPr>
            </w:pPr>
            <w:r w:rsidRPr="00FB0140">
              <w:rPr>
                <w:rFonts w:ascii="Times New Roman" w:hAnsi="Times New Roman" w:cs="Times New Roman"/>
              </w:rPr>
              <w:t xml:space="preserve">Производство «чистой» электроэнергии (ВИЭ + Крупные ГЭС) </w:t>
            </w:r>
          </w:p>
        </w:tc>
        <w:tc>
          <w:tcPr>
            <w:tcW w:w="111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7355,3</w:t>
            </w:r>
          </w:p>
        </w:tc>
        <w:tc>
          <w:tcPr>
            <w:tcW w:w="10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10,7%</w:t>
            </w:r>
          </w:p>
        </w:tc>
        <w:tc>
          <w:tcPr>
            <w:tcW w:w="111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8149,2</w:t>
            </w:r>
          </w:p>
        </w:tc>
        <w:tc>
          <w:tcPr>
            <w:tcW w:w="98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11,7%</w:t>
            </w:r>
          </w:p>
        </w:tc>
        <w:tc>
          <w:tcPr>
            <w:tcW w:w="93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793,9</w:t>
            </w:r>
          </w:p>
        </w:tc>
        <w:tc>
          <w:tcPr>
            <w:tcW w:w="102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10,8%</w:t>
            </w:r>
          </w:p>
        </w:tc>
      </w:tr>
      <w:tr w:rsidR="00F02413" w:rsidRPr="00FB0140" w:rsidTr="00F02413">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lang w:eastAsia="ru-RU"/>
              </w:rPr>
            </w:pPr>
            <w:r w:rsidRPr="00FB0140">
              <w:rPr>
                <w:rFonts w:ascii="Times New Roman" w:eastAsia="Times New Roman" w:hAnsi="Times New Roman" w:cs="Times New Roman"/>
                <w:lang w:eastAsia="ru-RU"/>
              </w:rPr>
              <w:t> 2.</w:t>
            </w:r>
          </w:p>
        </w:tc>
        <w:tc>
          <w:tcPr>
            <w:tcW w:w="3629" w:type="dxa"/>
            <w:tcBorders>
              <w:top w:val="nil"/>
              <w:left w:val="nil"/>
              <w:bottom w:val="single" w:sz="4" w:space="0" w:color="auto"/>
              <w:right w:val="single" w:sz="4" w:space="0" w:color="auto"/>
            </w:tcBorders>
            <w:shd w:val="clear" w:color="auto" w:fill="auto"/>
            <w:hideMark/>
          </w:tcPr>
          <w:p w:rsidR="00F02413" w:rsidRPr="00FB0140" w:rsidRDefault="00F02413" w:rsidP="00F02413">
            <w:pPr>
              <w:spacing w:after="0" w:line="240" w:lineRule="auto"/>
              <w:ind w:firstLineChars="100" w:firstLine="220"/>
              <w:rPr>
                <w:rFonts w:ascii="Times New Roman" w:hAnsi="Times New Roman" w:cs="Times New Roman"/>
              </w:rPr>
            </w:pPr>
            <w:r w:rsidRPr="00FB0140">
              <w:rPr>
                <w:rFonts w:ascii="Times New Roman" w:hAnsi="Times New Roman" w:cs="Times New Roman"/>
              </w:rPr>
              <w:t>Производство «чистой» электроэнергии (ВИЭ без учета Крупных ГЭC)</w:t>
            </w:r>
          </w:p>
        </w:tc>
        <w:tc>
          <w:tcPr>
            <w:tcW w:w="111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1233,9</w:t>
            </w:r>
          </w:p>
        </w:tc>
        <w:tc>
          <w:tcPr>
            <w:tcW w:w="10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1,8%</w:t>
            </w:r>
          </w:p>
        </w:tc>
        <w:tc>
          <w:tcPr>
            <w:tcW w:w="1114"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2107,9</w:t>
            </w:r>
          </w:p>
        </w:tc>
        <w:tc>
          <w:tcPr>
            <w:tcW w:w="982"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3,0%</w:t>
            </w:r>
          </w:p>
        </w:tc>
        <w:tc>
          <w:tcPr>
            <w:tcW w:w="931"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874,0</w:t>
            </w:r>
          </w:p>
        </w:tc>
        <w:tc>
          <w:tcPr>
            <w:tcW w:w="102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70,8%</w:t>
            </w:r>
          </w:p>
        </w:tc>
      </w:tr>
    </w:tbl>
    <w:p w:rsidR="00F02413" w:rsidRPr="00FB0140" w:rsidRDefault="00F02413" w:rsidP="000B7AEB">
      <w:pPr>
        <w:spacing w:after="0" w:line="240" w:lineRule="auto"/>
        <w:ind w:firstLine="643"/>
        <w:jc w:val="both"/>
        <w:rPr>
          <w:rFonts w:ascii="Times New Roman" w:hAnsi="Times New Roman" w:cs="Times New Roman"/>
          <w:sz w:val="28"/>
        </w:rPr>
      </w:pPr>
    </w:p>
    <w:p w:rsidR="00F02413" w:rsidRPr="00FB0140" w:rsidRDefault="00F02413" w:rsidP="00F02413">
      <w:pPr>
        <w:spacing w:after="0" w:line="240" w:lineRule="auto"/>
        <w:ind w:firstLine="709"/>
        <w:jc w:val="both"/>
        <w:rPr>
          <w:rFonts w:ascii="Times New Roman" w:hAnsi="Times New Roman" w:cs="Times New Roman"/>
          <w:sz w:val="24"/>
        </w:rPr>
      </w:pPr>
      <w:r w:rsidRPr="00FB0140">
        <w:rPr>
          <w:rFonts w:ascii="Times New Roman" w:hAnsi="Times New Roman" w:cs="Times New Roman"/>
          <w:sz w:val="28"/>
        </w:rPr>
        <w:t xml:space="preserve">Выработка электроэнергии объектами ВИЭ АО «Самрук-Энерго» (СЭС, ВЭС, малые ГЭС) за январь-август 2020 года </w:t>
      </w:r>
      <w:r w:rsidRPr="00FB0140">
        <w:rPr>
          <w:rFonts w:ascii="Times New Roman" w:hAnsi="Times New Roman" w:cs="Times New Roman"/>
          <w:sz w:val="28"/>
          <w:szCs w:val="28"/>
        </w:rPr>
        <w:t xml:space="preserve">составила 221,4 </w:t>
      </w:r>
      <w:r w:rsidRPr="00FB0140">
        <w:rPr>
          <w:rFonts w:ascii="Times New Roman" w:hAnsi="Times New Roman" w:cs="Times New Roman"/>
          <w:sz w:val="28"/>
        </w:rPr>
        <w:t>млн. кВтч или 10,5% от общего объема вырабатываемой объектами ВИЭ электроэнергии, что по сравнению с аналогичным периодом 2019 года ниже на -5,7</w:t>
      </w:r>
      <w:r w:rsidRPr="00FB0140">
        <w:rPr>
          <w:rFonts w:ascii="Times New Roman" w:hAnsi="Times New Roman" w:cs="Times New Roman"/>
          <w:sz w:val="28"/>
          <w:szCs w:val="28"/>
        </w:rPr>
        <w:t>%</w:t>
      </w:r>
      <w:r w:rsidRPr="00FB0140">
        <w:rPr>
          <w:rFonts w:ascii="Times New Roman" w:hAnsi="Times New Roman" w:cs="Times New Roman"/>
          <w:sz w:val="28"/>
        </w:rPr>
        <w:t xml:space="preserve"> (за январь-август 2019г. выработка ВИЭ </w:t>
      </w:r>
      <w:r w:rsidRPr="00FB0140">
        <w:rPr>
          <w:rFonts w:ascii="Times New Roman" w:hAnsi="Times New Roman" w:cs="Times New Roman"/>
          <w:sz w:val="28"/>
          <w:szCs w:val="28"/>
        </w:rPr>
        <w:t>Общества составила 234,7</w:t>
      </w:r>
      <w:r w:rsidRPr="00FB0140">
        <w:rPr>
          <w:rFonts w:ascii="Times New Roman" w:eastAsia="Times New Roman" w:hAnsi="Times New Roman" w:cs="Times New Roman"/>
          <w:sz w:val="28"/>
          <w:lang w:eastAsia="ru-RU"/>
        </w:rPr>
        <w:t xml:space="preserve"> </w:t>
      </w:r>
      <w:r w:rsidRPr="00FB0140">
        <w:rPr>
          <w:rFonts w:ascii="Times New Roman" w:hAnsi="Times New Roman" w:cs="Times New Roman"/>
          <w:sz w:val="28"/>
        </w:rPr>
        <w:t>млн. кВтч, а доля ВИЭ Общества 19%).</w:t>
      </w:r>
    </w:p>
    <w:p w:rsidR="00F02413" w:rsidRPr="00FB0140" w:rsidRDefault="00F02413" w:rsidP="00F02413">
      <w:pPr>
        <w:spacing w:after="0" w:line="240" w:lineRule="auto"/>
        <w:ind w:firstLine="709"/>
        <w:jc w:val="both"/>
        <w:rPr>
          <w:rFonts w:ascii="Times New Roman" w:hAnsi="Times New Roman" w:cs="Times New Roman"/>
          <w:sz w:val="24"/>
        </w:rPr>
      </w:pPr>
      <w:r w:rsidRPr="00FB0140">
        <w:rPr>
          <w:rFonts w:ascii="Times New Roman" w:hAnsi="Times New Roman" w:cs="Times New Roman"/>
          <w:iCs/>
          <w:sz w:val="28"/>
          <w:lang w:val="kk-KZ"/>
        </w:rPr>
        <w:t xml:space="preserve">Основным снижением доли производства электроэнергии ВИЭ </w:t>
      </w:r>
      <w:r w:rsidRPr="00FB0140">
        <w:rPr>
          <w:rFonts w:ascii="Times New Roman" w:hAnsi="Times New Roman" w:cs="Times New Roman"/>
          <w:sz w:val="28"/>
        </w:rPr>
        <w:t xml:space="preserve">Общества </w:t>
      </w:r>
      <w:r w:rsidRPr="00FB0140">
        <w:rPr>
          <w:rFonts w:ascii="Times New Roman" w:hAnsi="Times New Roman" w:cs="Times New Roman"/>
          <w:iCs/>
          <w:sz w:val="28"/>
          <w:lang w:val="kk-KZ"/>
        </w:rPr>
        <w:t xml:space="preserve">является </w:t>
      </w:r>
      <w:r w:rsidRPr="00FB0140">
        <w:rPr>
          <w:rFonts w:ascii="Times New Roman" w:hAnsi="Times New Roman" w:cs="Times New Roman"/>
          <w:iCs/>
          <w:sz w:val="28"/>
        </w:rPr>
        <w:t>ввод новых мощностей ВИЭ в РК.</w:t>
      </w:r>
    </w:p>
    <w:p w:rsidR="00F02413" w:rsidRPr="00FB0140" w:rsidRDefault="00F02413" w:rsidP="00F02413">
      <w:pPr>
        <w:spacing w:after="0" w:line="240" w:lineRule="auto"/>
        <w:ind w:firstLine="709"/>
        <w:jc w:val="both"/>
        <w:rPr>
          <w:rFonts w:ascii="Times New Roman" w:hAnsi="Times New Roman" w:cs="Times New Roman"/>
          <w:sz w:val="24"/>
        </w:rPr>
      </w:pPr>
      <w:r w:rsidRPr="00FB0140">
        <w:rPr>
          <w:rFonts w:ascii="Times New Roman" w:hAnsi="Times New Roman" w:cs="Times New Roman"/>
          <w:sz w:val="28"/>
        </w:rPr>
        <w:t>Доля Общества в производстве «чистой» электроэнергии (СЭС, ВЭС, малые и крупные ГЭС) за январь-август 2020г. снизилась на -4 % (1992,1 млн. кВтч) в сравнении с аналогичным периодом 2019г. (2 074,5 млн. кВтч).</w:t>
      </w:r>
    </w:p>
    <w:p w:rsidR="00586AF8" w:rsidRPr="00FB0140" w:rsidRDefault="00586AF8" w:rsidP="00BE0F2B">
      <w:pPr>
        <w:pStyle w:val="a3"/>
        <w:spacing w:after="0" w:line="240" w:lineRule="auto"/>
        <w:ind w:left="643"/>
        <w:jc w:val="right"/>
        <w:rPr>
          <w:rFonts w:ascii="Times New Roman" w:hAnsi="Times New Roman" w:cs="Times New Roman"/>
          <w:sz w:val="24"/>
        </w:rPr>
      </w:pPr>
      <w:r w:rsidRPr="00FB0140">
        <w:rPr>
          <w:rFonts w:ascii="Times New Roman" w:hAnsi="Times New Roman" w:cs="Times New Roman"/>
          <w:sz w:val="24"/>
        </w:rPr>
        <w:t>млн. кВтч</w:t>
      </w:r>
    </w:p>
    <w:tbl>
      <w:tblPr>
        <w:tblW w:w="10116" w:type="dxa"/>
        <w:jc w:val="center"/>
        <w:tblLook w:val="04A0" w:firstRow="1" w:lastRow="0" w:firstColumn="1" w:lastColumn="0" w:noHBand="0" w:noVBand="1"/>
      </w:tblPr>
      <w:tblGrid>
        <w:gridCol w:w="460"/>
        <w:gridCol w:w="3667"/>
        <w:gridCol w:w="1114"/>
        <w:gridCol w:w="959"/>
        <w:gridCol w:w="1114"/>
        <w:gridCol w:w="947"/>
        <w:gridCol w:w="960"/>
        <w:gridCol w:w="895"/>
      </w:tblGrid>
      <w:tr w:rsidR="00F02413" w:rsidRPr="00FB0140" w:rsidTr="00F02413">
        <w:trPr>
          <w:trHeight w:val="28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color w:val="000000"/>
                <w:sz w:val="24"/>
                <w:szCs w:val="24"/>
                <w:lang w:eastAsia="ru-RU"/>
              </w:rPr>
            </w:pPr>
            <w:r w:rsidRPr="00FB0140">
              <w:rPr>
                <w:rFonts w:ascii="Times New Roman" w:eastAsia="Times New Roman" w:hAnsi="Times New Roman" w:cs="Times New Roman"/>
                <w:b/>
                <w:bCs/>
                <w:color w:val="000000"/>
                <w:sz w:val="24"/>
                <w:szCs w:val="24"/>
                <w:lang w:eastAsia="ru-RU"/>
              </w:rPr>
              <w:t>№</w:t>
            </w:r>
          </w:p>
        </w:tc>
        <w:tc>
          <w:tcPr>
            <w:tcW w:w="3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Наименование</w:t>
            </w:r>
          </w:p>
        </w:tc>
        <w:tc>
          <w:tcPr>
            <w:tcW w:w="2073"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2019г</w:t>
            </w:r>
          </w:p>
        </w:tc>
        <w:tc>
          <w:tcPr>
            <w:tcW w:w="2061"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2020г</w:t>
            </w:r>
          </w:p>
        </w:tc>
        <w:tc>
          <w:tcPr>
            <w:tcW w:w="1855"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Отклонение 2020/2019гг,</w:t>
            </w:r>
          </w:p>
        </w:tc>
      </w:tr>
      <w:tr w:rsidR="00F02413" w:rsidRPr="00FB0140" w:rsidTr="00F02413">
        <w:trPr>
          <w:trHeight w:val="57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color w:val="000000"/>
                <w:sz w:val="24"/>
                <w:szCs w:val="24"/>
                <w:lang w:eastAsia="ru-RU"/>
              </w:rPr>
            </w:pPr>
          </w:p>
        </w:tc>
        <w:tc>
          <w:tcPr>
            <w:tcW w:w="3667"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январь-август</w:t>
            </w:r>
          </w:p>
        </w:tc>
        <w:tc>
          <w:tcPr>
            <w:tcW w:w="95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январь-август</w:t>
            </w:r>
          </w:p>
        </w:tc>
        <w:tc>
          <w:tcPr>
            <w:tcW w:w="9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 xml:space="preserve"> млн. кВтч</w:t>
            </w:r>
          </w:p>
        </w:tc>
        <w:tc>
          <w:tcPr>
            <w:tcW w:w="895"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b/>
                <w:bCs/>
              </w:rPr>
            </w:pPr>
            <w:r w:rsidRPr="00FB0140">
              <w:rPr>
                <w:rFonts w:ascii="Times New Roman" w:hAnsi="Times New Roman" w:cs="Times New Roman"/>
                <w:b/>
                <w:bCs/>
              </w:rPr>
              <w:t>%</w:t>
            </w:r>
          </w:p>
        </w:tc>
      </w:tr>
      <w:tr w:rsidR="00F02413" w:rsidRPr="00FB0140" w:rsidTr="00F02413">
        <w:trPr>
          <w:trHeight w:val="75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1. </w:t>
            </w:r>
          </w:p>
        </w:tc>
        <w:tc>
          <w:tcPr>
            <w:tcW w:w="3667" w:type="dxa"/>
            <w:tcBorders>
              <w:top w:val="nil"/>
              <w:left w:val="nil"/>
              <w:bottom w:val="single" w:sz="4" w:space="0" w:color="auto"/>
              <w:right w:val="single" w:sz="4" w:space="0" w:color="auto"/>
            </w:tcBorders>
            <w:shd w:val="clear" w:color="auto" w:fill="auto"/>
            <w:hideMark/>
          </w:tcPr>
          <w:p w:rsidR="00F02413" w:rsidRPr="00FB0140" w:rsidRDefault="00F02413" w:rsidP="00F02413">
            <w:pPr>
              <w:spacing w:after="0" w:line="240" w:lineRule="auto"/>
              <w:rPr>
                <w:rFonts w:ascii="Times New Roman" w:hAnsi="Times New Roman" w:cs="Times New Roman"/>
                <w:sz w:val="24"/>
                <w:szCs w:val="24"/>
              </w:rPr>
            </w:pPr>
            <w:r w:rsidRPr="00FB0140">
              <w:rPr>
                <w:rFonts w:ascii="Times New Roman" w:hAnsi="Times New Roman" w:cs="Times New Roman"/>
                <w:sz w:val="24"/>
                <w:szCs w:val="24"/>
              </w:rPr>
              <w:t>Производство</w:t>
            </w:r>
            <w:r w:rsidRPr="00FB0140">
              <w:rPr>
                <w:rFonts w:ascii="Times New Roman" w:hAnsi="Times New Roman" w:cs="Times New Roman"/>
                <w:b/>
                <w:bCs/>
                <w:sz w:val="24"/>
                <w:szCs w:val="24"/>
              </w:rPr>
              <w:t xml:space="preserve"> </w:t>
            </w:r>
            <w:r w:rsidRPr="00FB0140">
              <w:rPr>
                <w:rFonts w:ascii="Times New Roman" w:hAnsi="Times New Roman" w:cs="Times New Roman"/>
                <w:sz w:val="24"/>
                <w:szCs w:val="24"/>
              </w:rPr>
              <w:t xml:space="preserve">АО «Самрук-Энерго» «чистой» электроэнергии (СЭС, ВЭС, малые и крупные ГЭС) </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2074,5</w:t>
            </w:r>
          </w:p>
        </w:tc>
        <w:tc>
          <w:tcPr>
            <w:tcW w:w="95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28,2%</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1992,1</w:t>
            </w:r>
          </w:p>
        </w:tc>
        <w:tc>
          <w:tcPr>
            <w:tcW w:w="9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24,4%</w:t>
            </w:r>
          </w:p>
        </w:tc>
        <w:tc>
          <w:tcPr>
            <w:tcW w:w="960"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-82,4</w:t>
            </w:r>
          </w:p>
        </w:tc>
        <w:tc>
          <w:tcPr>
            <w:tcW w:w="895"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-4,0%</w:t>
            </w:r>
          </w:p>
        </w:tc>
      </w:tr>
      <w:tr w:rsidR="00F02413" w:rsidRPr="00FB0140" w:rsidTr="00F02413">
        <w:trPr>
          <w:trHeight w:val="679"/>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2.</w:t>
            </w:r>
          </w:p>
        </w:tc>
        <w:tc>
          <w:tcPr>
            <w:tcW w:w="3667" w:type="dxa"/>
            <w:tcBorders>
              <w:top w:val="nil"/>
              <w:left w:val="nil"/>
              <w:bottom w:val="single" w:sz="4" w:space="0" w:color="auto"/>
              <w:right w:val="single" w:sz="4" w:space="0" w:color="auto"/>
            </w:tcBorders>
            <w:shd w:val="clear" w:color="auto" w:fill="auto"/>
            <w:hideMark/>
          </w:tcPr>
          <w:p w:rsidR="00F02413" w:rsidRPr="00FB0140" w:rsidRDefault="00F02413" w:rsidP="00F02413">
            <w:pPr>
              <w:spacing w:after="0" w:line="240" w:lineRule="auto"/>
              <w:rPr>
                <w:rFonts w:ascii="Times New Roman" w:hAnsi="Times New Roman" w:cs="Times New Roman"/>
                <w:sz w:val="24"/>
                <w:szCs w:val="24"/>
              </w:rPr>
            </w:pPr>
            <w:r w:rsidRPr="00FB0140">
              <w:rPr>
                <w:rFonts w:ascii="Times New Roman" w:hAnsi="Times New Roman" w:cs="Times New Roman"/>
                <w:sz w:val="24"/>
                <w:szCs w:val="24"/>
              </w:rPr>
              <w:t>Производство АО «Самрук-Энерго» «чистой» электроэнергии (СЭС, ВЭС и малые ГЭС), в т.ч.:</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234,7</w:t>
            </w:r>
          </w:p>
        </w:tc>
        <w:tc>
          <w:tcPr>
            <w:tcW w:w="95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19%</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221,4</w:t>
            </w:r>
          </w:p>
        </w:tc>
        <w:tc>
          <w:tcPr>
            <w:tcW w:w="9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10,5%</w:t>
            </w:r>
          </w:p>
        </w:tc>
        <w:tc>
          <w:tcPr>
            <w:tcW w:w="960"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-13,3</w:t>
            </w:r>
          </w:p>
        </w:tc>
        <w:tc>
          <w:tcPr>
            <w:tcW w:w="895"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rPr>
            </w:pPr>
            <w:r w:rsidRPr="00FB0140">
              <w:rPr>
                <w:rFonts w:ascii="Times New Roman" w:hAnsi="Times New Roman" w:cs="Times New Roman"/>
              </w:rPr>
              <w:t>-5,7%</w:t>
            </w:r>
          </w:p>
        </w:tc>
      </w:tr>
      <w:tr w:rsidR="00F02413" w:rsidRPr="00FB0140" w:rsidTr="00F02413">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3.</w:t>
            </w:r>
          </w:p>
        </w:tc>
        <w:tc>
          <w:tcPr>
            <w:tcW w:w="366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ind w:firstLineChars="100" w:firstLine="240"/>
              <w:rPr>
                <w:rFonts w:ascii="Times New Roman" w:hAnsi="Times New Roman" w:cs="Times New Roman"/>
                <w:i/>
                <w:iCs/>
                <w:color w:val="000000"/>
                <w:sz w:val="24"/>
                <w:szCs w:val="24"/>
              </w:rPr>
            </w:pPr>
            <w:r w:rsidRPr="00FB0140">
              <w:rPr>
                <w:rFonts w:ascii="Times New Roman" w:hAnsi="Times New Roman" w:cs="Times New Roman"/>
                <w:i/>
                <w:iCs/>
                <w:color w:val="000000"/>
                <w:sz w:val="24"/>
                <w:szCs w:val="24"/>
              </w:rPr>
              <w:t xml:space="preserve"> Каскад малых ГЭС АО «АлЭС»</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136,8</w:t>
            </w:r>
          </w:p>
        </w:tc>
        <w:tc>
          <w:tcPr>
            <w:tcW w:w="95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11,1%</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116,8</w:t>
            </w:r>
          </w:p>
        </w:tc>
        <w:tc>
          <w:tcPr>
            <w:tcW w:w="9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5,5%</w:t>
            </w:r>
          </w:p>
        </w:tc>
        <w:tc>
          <w:tcPr>
            <w:tcW w:w="960"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-20</w:t>
            </w:r>
          </w:p>
        </w:tc>
        <w:tc>
          <w:tcPr>
            <w:tcW w:w="895"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-14,6%</w:t>
            </w:r>
          </w:p>
        </w:tc>
      </w:tr>
      <w:tr w:rsidR="00F02413" w:rsidRPr="00FB0140" w:rsidTr="00F02413">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4.</w:t>
            </w:r>
          </w:p>
        </w:tc>
        <w:tc>
          <w:tcPr>
            <w:tcW w:w="366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ind w:firstLineChars="100" w:firstLine="240"/>
              <w:rPr>
                <w:rFonts w:ascii="Times New Roman" w:hAnsi="Times New Roman" w:cs="Times New Roman"/>
                <w:i/>
                <w:iCs/>
                <w:color w:val="000000"/>
                <w:sz w:val="24"/>
                <w:szCs w:val="24"/>
              </w:rPr>
            </w:pPr>
            <w:r w:rsidRPr="00FB0140">
              <w:rPr>
                <w:rFonts w:ascii="Times New Roman" w:hAnsi="Times New Roman" w:cs="Times New Roman"/>
                <w:i/>
                <w:iCs/>
                <w:color w:val="000000"/>
                <w:sz w:val="24"/>
                <w:szCs w:val="24"/>
              </w:rPr>
              <w:t>ТОО «Samruk-Green Energy»</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2,4</w:t>
            </w:r>
          </w:p>
        </w:tc>
        <w:tc>
          <w:tcPr>
            <w:tcW w:w="95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2,8</w:t>
            </w:r>
          </w:p>
        </w:tc>
        <w:tc>
          <w:tcPr>
            <w:tcW w:w="9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0,4</w:t>
            </w:r>
          </w:p>
        </w:tc>
        <w:tc>
          <w:tcPr>
            <w:tcW w:w="895"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17%</w:t>
            </w:r>
          </w:p>
        </w:tc>
      </w:tr>
      <w:tr w:rsidR="00F02413" w:rsidRPr="00FB0140" w:rsidTr="00F02413">
        <w:trPr>
          <w:trHeight w:val="427"/>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rPr>
                <w:rFonts w:ascii="Times New Roman" w:eastAsia="Times New Roman" w:hAnsi="Times New Roman" w:cs="Times New Roman"/>
                <w:sz w:val="24"/>
                <w:szCs w:val="24"/>
                <w:lang w:eastAsia="ru-RU"/>
              </w:rPr>
            </w:pPr>
            <w:r w:rsidRPr="00FB0140">
              <w:rPr>
                <w:rFonts w:ascii="Times New Roman" w:eastAsia="Times New Roman" w:hAnsi="Times New Roman" w:cs="Times New Roman"/>
                <w:sz w:val="24"/>
                <w:szCs w:val="24"/>
                <w:lang w:eastAsia="ru-RU"/>
              </w:rPr>
              <w:t> 5.</w:t>
            </w:r>
          </w:p>
        </w:tc>
        <w:tc>
          <w:tcPr>
            <w:tcW w:w="366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ind w:firstLineChars="100" w:firstLine="240"/>
              <w:rPr>
                <w:rFonts w:ascii="Times New Roman" w:hAnsi="Times New Roman" w:cs="Times New Roman"/>
                <w:i/>
                <w:iCs/>
                <w:color w:val="000000"/>
                <w:sz w:val="24"/>
                <w:szCs w:val="24"/>
              </w:rPr>
            </w:pPr>
            <w:r w:rsidRPr="00FB0140">
              <w:rPr>
                <w:rFonts w:ascii="Times New Roman" w:hAnsi="Times New Roman" w:cs="Times New Roman"/>
                <w:i/>
                <w:iCs/>
                <w:color w:val="000000"/>
                <w:sz w:val="24"/>
                <w:szCs w:val="24"/>
              </w:rPr>
              <w:t>ТОО «Первая ветровая электрическая станция»</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95,5</w:t>
            </w:r>
          </w:p>
        </w:tc>
        <w:tc>
          <w:tcPr>
            <w:tcW w:w="959"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7,7%</w:t>
            </w:r>
          </w:p>
        </w:tc>
        <w:tc>
          <w:tcPr>
            <w:tcW w:w="1114"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101,8</w:t>
            </w:r>
          </w:p>
        </w:tc>
        <w:tc>
          <w:tcPr>
            <w:tcW w:w="947"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4,8%</w:t>
            </w:r>
          </w:p>
        </w:tc>
        <w:tc>
          <w:tcPr>
            <w:tcW w:w="960" w:type="dxa"/>
            <w:tcBorders>
              <w:top w:val="nil"/>
              <w:left w:val="nil"/>
              <w:bottom w:val="single" w:sz="4" w:space="0" w:color="auto"/>
              <w:right w:val="single" w:sz="4" w:space="0" w:color="auto"/>
            </w:tcBorders>
            <w:shd w:val="clear" w:color="000000" w:fill="FFFFFF"/>
            <w:noWrap/>
            <w:vAlign w:val="bottom"/>
            <w:hideMark/>
          </w:tcPr>
          <w:p w:rsidR="00F02413" w:rsidRPr="00FB0140" w:rsidRDefault="00F02413" w:rsidP="00F02413">
            <w:pPr>
              <w:spacing w:after="0" w:line="240" w:lineRule="auto"/>
              <w:jc w:val="right"/>
              <w:rPr>
                <w:rFonts w:ascii="Times New Roman" w:hAnsi="Times New Roman" w:cs="Times New Roman"/>
                <w:i/>
                <w:iCs/>
              </w:rPr>
            </w:pPr>
            <w:r w:rsidRPr="00FB0140">
              <w:rPr>
                <w:rFonts w:ascii="Times New Roman" w:hAnsi="Times New Roman" w:cs="Times New Roman"/>
                <w:i/>
                <w:iCs/>
              </w:rPr>
              <w:t>6,3</w:t>
            </w:r>
          </w:p>
        </w:tc>
        <w:tc>
          <w:tcPr>
            <w:tcW w:w="895" w:type="dxa"/>
            <w:tcBorders>
              <w:top w:val="nil"/>
              <w:left w:val="nil"/>
              <w:bottom w:val="single" w:sz="4" w:space="0" w:color="auto"/>
              <w:right w:val="single" w:sz="4" w:space="0" w:color="auto"/>
            </w:tcBorders>
            <w:shd w:val="clear" w:color="auto" w:fill="auto"/>
            <w:vAlign w:val="bottom"/>
            <w:hideMark/>
          </w:tcPr>
          <w:p w:rsidR="00F02413" w:rsidRPr="00FB0140" w:rsidRDefault="00F02413" w:rsidP="00F02413">
            <w:pPr>
              <w:spacing w:after="0" w:line="240" w:lineRule="auto"/>
              <w:jc w:val="center"/>
              <w:rPr>
                <w:rFonts w:ascii="Times New Roman" w:hAnsi="Times New Roman" w:cs="Times New Roman"/>
                <w:i/>
                <w:iCs/>
              </w:rPr>
            </w:pPr>
            <w:r w:rsidRPr="00FB0140">
              <w:rPr>
                <w:rFonts w:ascii="Times New Roman" w:hAnsi="Times New Roman" w:cs="Times New Roman"/>
                <w:i/>
                <w:iCs/>
              </w:rPr>
              <w:t>6,6%</w:t>
            </w:r>
          </w:p>
        </w:tc>
      </w:tr>
    </w:tbl>
    <w:p w:rsidR="00346CFD" w:rsidRPr="00FB0140" w:rsidRDefault="00346CFD" w:rsidP="00BE0F2B">
      <w:pPr>
        <w:pStyle w:val="1"/>
        <w:tabs>
          <w:tab w:val="left" w:pos="0"/>
          <w:tab w:val="left" w:pos="426"/>
        </w:tabs>
        <w:spacing w:before="0" w:line="240" w:lineRule="auto"/>
        <w:rPr>
          <w:rFonts w:ascii="Times New Roman" w:hAnsi="Times New Roman" w:cs="Times New Roman"/>
          <w:b/>
          <w:color w:val="auto"/>
        </w:rPr>
      </w:pPr>
    </w:p>
    <w:p w:rsidR="001248FB" w:rsidRPr="00FB0140" w:rsidRDefault="001248FB" w:rsidP="00EF4AE4">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r w:rsidRPr="00FB0140">
        <w:rPr>
          <w:rFonts w:ascii="Times New Roman" w:hAnsi="Times New Roman" w:cs="Times New Roman"/>
          <w:b/>
          <w:color w:val="auto"/>
        </w:rPr>
        <w:t>Централизованные торги электроэнергией АО «КОРЭМ»</w:t>
      </w:r>
      <w:bookmarkEnd w:id="19"/>
      <w:bookmarkEnd w:id="20"/>
    </w:p>
    <w:p w:rsidR="001248FB" w:rsidRPr="00FB0140" w:rsidRDefault="001248FB" w:rsidP="00BE0F2B">
      <w:pPr>
        <w:pStyle w:val="ab"/>
        <w:tabs>
          <w:tab w:val="left" w:pos="0"/>
        </w:tabs>
        <w:spacing w:before="0" w:beforeAutospacing="0" w:after="0" w:afterAutospacing="0"/>
        <w:ind w:left="720"/>
        <w:jc w:val="center"/>
        <w:rPr>
          <w:rStyle w:val="ac"/>
          <w:b w:val="0"/>
          <w:bCs w:val="0"/>
          <w:i/>
          <w:szCs w:val="22"/>
        </w:rPr>
      </w:pPr>
      <w:r w:rsidRPr="00FB0140">
        <w:rPr>
          <w:i/>
          <w:szCs w:val="22"/>
        </w:rPr>
        <w:t>(информация АО «КОРЭМ»)</w:t>
      </w:r>
    </w:p>
    <w:p w:rsidR="006B0E95" w:rsidRPr="00FB0140" w:rsidRDefault="006B0E95" w:rsidP="00BE0F2B">
      <w:pPr>
        <w:spacing w:after="0" w:line="240" w:lineRule="auto"/>
        <w:ind w:firstLine="709"/>
        <w:jc w:val="both"/>
        <w:outlineLvl w:val="0"/>
        <w:rPr>
          <w:rFonts w:ascii="Times New Roman" w:hAnsi="Times New Roman" w:cs="Times New Roman"/>
          <w:i/>
          <w:sz w:val="28"/>
          <w:szCs w:val="28"/>
        </w:rPr>
      </w:pPr>
      <w:bookmarkStart w:id="21" w:name="_Toc510196477"/>
      <w:r w:rsidRPr="00FB0140">
        <w:rPr>
          <w:rFonts w:ascii="Times New Roman" w:hAnsi="Times New Roman" w:cs="Times New Roman"/>
          <w:i/>
          <w:sz w:val="28"/>
          <w:szCs w:val="28"/>
        </w:rPr>
        <w:t>Общие итоги торгов</w:t>
      </w:r>
      <w:bookmarkEnd w:id="21"/>
    </w:p>
    <w:p w:rsidR="002E6CD9" w:rsidRPr="00FB0140" w:rsidRDefault="00F02413" w:rsidP="002E6CD9">
      <w:pPr>
        <w:spacing w:after="0" w:line="240" w:lineRule="auto"/>
        <w:ind w:firstLine="709"/>
        <w:jc w:val="both"/>
        <w:rPr>
          <w:rFonts w:ascii="Times New Roman" w:hAnsi="Times New Roman" w:cs="Times New Roman"/>
          <w:sz w:val="28"/>
          <w:szCs w:val="28"/>
        </w:rPr>
      </w:pPr>
      <w:r w:rsidRPr="00FB0140">
        <w:rPr>
          <w:rFonts w:ascii="Times New Roman" w:hAnsi="Times New Roman" w:cs="Times New Roman"/>
          <w:sz w:val="28"/>
          <w:szCs w:val="28"/>
        </w:rPr>
        <w:t>По результатам проведенных централизованных торгов электроэнергией в августе 2020 года были заключены 2 сделки объеме 3 456 тыс. кВт*ч на общую сумму 20 673,6 тыс. тенге (без НДС), (включая, в режиме «за день вперед» и торги на среднесрочный и долгосрочный периоды), в том числе:</w:t>
      </w:r>
    </w:p>
    <w:p w:rsidR="002E6CD9" w:rsidRPr="00FB0140" w:rsidRDefault="002E6CD9" w:rsidP="002E6CD9">
      <w:pPr>
        <w:spacing w:after="0" w:line="240" w:lineRule="auto"/>
        <w:ind w:firstLine="709"/>
        <w:jc w:val="both"/>
        <w:rPr>
          <w:rFonts w:ascii="Times New Roman" w:hAnsi="Times New Roman" w:cs="Times New Roman"/>
          <w:sz w:val="28"/>
          <w:szCs w:val="28"/>
        </w:rPr>
      </w:pPr>
      <w:r w:rsidRPr="00FB0140">
        <w:rPr>
          <w:rFonts w:ascii="Times New Roman" w:hAnsi="Times New Roman" w:cs="Times New Roman"/>
          <w:sz w:val="28"/>
          <w:szCs w:val="28"/>
        </w:rPr>
        <w:t xml:space="preserve">- </w:t>
      </w:r>
      <w:r w:rsidR="00F02413" w:rsidRPr="00FB0140">
        <w:rPr>
          <w:rFonts w:ascii="Times New Roman" w:hAnsi="Times New Roman" w:cs="Times New Roman"/>
          <w:sz w:val="28"/>
          <w:szCs w:val="28"/>
        </w:rPr>
        <w:t>спот-торги в режиме «за день вперед» - была заключена 1 сделка в объеме 2 280 тыс. кВт*ч на общую сумму 19 380 тыс. тенге (без НДС). Минимальная цена на спот-торгах в режиме «за день вперед» составила – 8,5 тг/кВт*ч (без НДС), максимальная цена – 8,5 тг/кВт*ч (без НДС);</w:t>
      </w:r>
    </w:p>
    <w:p w:rsidR="002E6CD9" w:rsidRPr="00FB0140" w:rsidRDefault="002E6CD9" w:rsidP="002E6CD9">
      <w:pPr>
        <w:spacing w:after="0" w:line="240" w:lineRule="auto"/>
        <w:ind w:firstLine="709"/>
        <w:jc w:val="both"/>
        <w:rPr>
          <w:rFonts w:ascii="Times New Roman" w:hAnsi="Times New Roman" w:cs="Times New Roman"/>
          <w:sz w:val="28"/>
          <w:szCs w:val="28"/>
        </w:rPr>
      </w:pPr>
      <w:r w:rsidRPr="00FB0140">
        <w:rPr>
          <w:rFonts w:ascii="Times New Roman" w:hAnsi="Times New Roman" w:cs="Times New Roman"/>
          <w:sz w:val="28"/>
          <w:szCs w:val="28"/>
        </w:rPr>
        <w:t xml:space="preserve">- </w:t>
      </w:r>
      <w:r w:rsidR="00F02413" w:rsidRPr="00FB0140">
        <w:rPr>
          <w:rFonts w:ascii="Times New Roman" w:hAnsi="Times New Roman" w:cs="Times New Roman"/>
          <w:sz w:val="28"/>
          <w:szCs w:val="28"/>
        </w:rPr>
        <w:t>спот-торги «в течение операционных суток» - сделок заключено не было.</w:t>
      </w:r>
    </w:p>
    <w:p w:rsidR="00F02413" w:rsidRPr="00FB0140" w:rsidRDefault="002E6CD9" w:rsidP="002E6CD9">
      <w:pPr>
        <w:spacing w:after="0" w:line="240" w:lineRule="auto"/>
        <w:ind w:firstLine="709"/>
        <w:jc w:val="both"/>
        <w:rPr>
          <w:rFonts w:ascii="Times New Roman" w:hAnsi="Times New Roman" w:cs="Times New Roman"/>
          <w:sz w:val="28"/>
          <w:szCs w:val="28"/>
        </w:rPr>
      </w:pPr>
      <w:r w:rsidRPr="00FB0140">
        <w:rPr>
          <w:rFonts w:ascii="Times New Roman" w:hAnsi="Times New Roman" w:cs="Times New Roman"/>
          <w:sz w:val="28"/>
          <w:szCs w:val="28"/>
        </w:rPr>
        <w:t xml:space="preserve">- </w:t>
      </w:r>
      <w:r w:rsidR="00F02413" w:rsidRPr="00FB0140">
        <w:rPr>
          <w:rFonts w:ascii="Times New Roman" w:hAnsi="Times New Roman" w:cs="Times New Roman"/>
          <w:sz w:val="28"/>
          <w:szCs w:val="28"/>
        </w:rPr>
        <w:t>торги электроэнергией на средне- и долгосрочный периоды - была заключена 1 сделка объемом 1 176 тыс. кВт*ч на общую сумму 1293,6 тыс. тенге (без НДС). Минимальная и максимальная цена по данному виду централизованных торгов составила 1,1 тг/кВт*ч (без НДС).</w:t>
      </w:r>
    </w:p>
    <w:p w:rsidR="00F02413" w:rsidRPr="00FB0140" w:rsidRDefault="00F02413" w:rsidP="00F02413">
      <w:pPr>
        <w:spacing w:after="0" w:line="240" w:lineRule="auto"/>
        <w:ind w:firstLine="709"/>
        <w:jc w:val="both"/>
        <w:rPr>
          <w:rFonts w:ascii="Times New Roman" w:hAnsi="Times New Roman" w:cs="Times New Roman"/>
          <w:sz w:val="28"/>
          <w:szCs w:val="28"/>
        </w:rPr>
      </w:pPr>
      <w:r w:rsidRPr="00FB0140">
        <w:rPr>
          <w:rFonts w:ascii="Times New Roman" w:hAnsi="Times New Roman" w:cs="Times New Roman"/>
          <w:sz w:val="28"/>
          <w:szCs w:val="28"/>
        </w:rPr>
        <w:t>За аналогичный период 2019 года общий объем централизованных торгов составил 930 073 тыс. кВт*ч. В таблице ниже приведена динамика цен сделок, заключенных на централизованных торгах в августе 2019-2020 годы.</w:t>
      </w:r>
    </w:p>
    <w:p w:rsidR="00F02413" w:rsidRPr="00FB0140" w:rsidRDefault="00F02413" w:rsidP="00F02413">
      <w:pPr>
        <w:pStyle w:val="a3"/>
        <w:spacing w:after="0" w:line="240" w:lineRule="auto"/>
        <w:ind w:left="0" w:firstLine="567"/>
        <w:jc w:val="center"/>
        <w:rPr>
          <w:rFonts w:ascii="Times New Roman" w:hAnsi="Times New Roman" w:cs="Times New Roman"/>
          <w:sz w:val="28"/>
          <w:szCs w:val="28"/>
        </w:rPr>
      </w:pPr>
      <w:r w:rsidRPr="00FB0140">
        <w:rPr>
          <w:rFonts w:ascii="Times New Roman" w:hAnsi="Times New Roman" w:cs="Times New Roman"/>
          <w:sz w:val="28"/>
          <w:szCs w:val="28"/>
        </w:rPr>
        <w:t>Динамика цен, сложившихся по итогам централизованных торгов</w:t>
      </w:r>
    </w:p>
    <w:p w:rsidR="00F02413" w:rsidRPr="00FB0140" w:rsidRDefault="00F02413" w:rsidP="00F02413">
      <w:pPr>
        <w:pStyle w:val="a3"/>
        <w:spacing w:after="0" w:line="240" w:lineRule="auto"/>
        <w:ind w:left="0" w:firstLine="567"/>
        <w:jc w:val="center"/>
        <w:rPr>
          <w:rFonts w:ascii="Times New Roman" w:hAnsi="Times New Roman" w:cs="Times New Roman"/>
          <w:sz w:val="28"/>
          <w:szCs w:val="28"/>
        </w:rPr>
      </w:pPr>
      <w:r w:rsidRPr="00FB0140">
        <w:rPr>
          <w:rFonts w:ascii="Times New Roman" w:hAnsi="Times New Roman" w:cs="Times New Roman"/>
          <w:sz w:val="28"/>
          <w:szCs w:val="28"/>
        </w:rPr>
        <w:t>в августе 2019-2020 гг.</w:t>
      </w: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F02413" w:rsidRPr="00FB0140" w:rsidTr="00F02413">
        <w:trPr>
          <w:trHeight w:val="133"/>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0"/>
                <w:szCs w:val="20"/>
              </w:rPr>
            </w:pPr>
            <w:r w:rsidRPr="00FB0140">
              <w:rPr>
                <w:rFonts w:ascii="Times New Roman" w:hAnsi="Times New Roman" w:cs="Times New Roman"/>
                <w:b/>
                <w:bCs/>
                <w:sz w:val="20"/>
                <w:szCs w:val="20"/>
              </w:rPr>
              <w:t>Август</w:t>
            </w:r>
          </w:p>
        </w:tc>
        <w:tc>
          <w:tcPr>
            <w:tcW w:w="2533"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0"/>
                <w:szCs w:val="20"/>
              </w:rPr>
            </w:pPr>
            <w:r w:rsidRPr="00FB0140">
              <w:rPr>
                <w:rFonts w:ascii="Times New Roman" w:hAnsi="Times New Roman" w:cs="Times New Roman"/>
                <w:b/>
                <w:bCs/>
                <w:sz w:val="20"/>
                <w:szCs w:val="20"/>
              </w:rPr>
              <w:t>спот-торги в режиме «за день вперед»</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0"/>
                <w:szCs w:val="20"/>
              </w:rPr>
            </w:pPr>
            <w:r w:rsidRPr="00FB0140">
              <w:rPr>
                <w:rFonts w:ascii="Times New Roman" w:hAnsi="Times New Roman" w:cs="Times New Roman"/>
                <w:b/>
                <w:bCs/>
                <w:sz w:val="20"/>
                <w:szCs w:val="20"/>
              </w:rPr>
              <w:t>торги на средне- и долгосрочные периоды</w:t>
            </w:r>
          </w:p>
        </w:tc>
        <w:tc>
          <w:tcPr>
            <w:tcW w:w="2853" w:type="dxa"/>
            <w:gridSpan w:val="2"/>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0"/>
                <w:szCs w:val="20"/>
              </w:rPr>
            </w:pPr>
            <w:r w:rsidRPr="00FB0140">
              <w:rPr>
                <w:rFonts w:ascii="Times New Roman" w:hAnsi="Times New Roman" w:cs="Times New Roman"/>
                <w:b/>
                <w:bCs/>
                <w:sz w:val="20"/>
                <w:szCs w:val="20"/>
              </w:rPr>
              <w:t>в течение операционных суток</w:t>
            </w:r>
          </w:p>
        </w:tc>
      </w:tr>
      <w:tr w:rsidR="00F02413" w:rsidRPr="00FB0140" w:rsidTr="00F02413">
        <w:trPr>
          <w:trHeight w:val="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sz w:val="20"/>
                <w:szCs w:val="20"/>
              </w:rPr>
            </w:pPr>
            <w:r w:rsidRPr="00FB0140">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sz w:val="20"/>
                <w:szCs w:val="20"/>
              </w:rPr>
            </w:pPr>
            <w:r w:rsidRPr="00FB0140">
              <w:rPr>
                <w:rFonts w:ascii="Times New Roman" w:hAnsi="Times New Roman" w:cs="Times New Roman"/>
                <w:sz w:val="20"/>
                <w:szCs w:val="20"/>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sz w:val="20"/>
                <w:szCs w:val="20"/>
              </w:rPr>
            </w:pPr>
            <w:r w:rsidRPr="00FB0140">
              <w:rPr>
                <w:rFonts w:ascii="Times New Roman" w:hAnsi="Times New Roman" w:cs="Times New Roman"/>
                <w:sz w:val="20"/>
                <w:szCs w:val="20"/>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sz w:val="20"/>
                <w:szCs w:val="20"/>
              </w:rPr>
            </w:pPr>
            <w:r w:rsidRPr="00FB0140">
              <w:rPr>
                <w:rFonts w:ascii="Times New Roman" w:hAnsi="Times New Roman" w:cs="Times New Roman"/>
                <w:sz w:val="20"/>
                <w:szCs w:val="20"/>
              </w:rPr>
              <w:t xml:space="preserve">MAX цена </w:t>
            </w:r>
          </w:p>
        </w:tc>
        <w:tc>
          <w:tcPr>
            <w:tcW w:w="1134"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sz w:val="20"/>
                <w:szCs w:val="20"/>
              </w:rPr>
            </w:pPr>
            <w:r w:rsidRPr="00FB0140">
              <w:rPr>
                <w:rFonts w:ascii="Times New Roman" w:hAnsi="Times New Roman" w:cs="Times New Roman"/>
                <w:sz w:val="20"/>
                <w:szCs w:val="20"/>
              </w:rPr>
              <w:t xml:space="preserve">MIN цена </w:t>
            </w:r>
          </w:p>
        </w:tc>
        <w:tc>
          <w:tcPr>
            <w:tcW w:w="1719" w:type="dxa"/>
            <w:tcBorders>
              <w:top w:val="nil"/>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sz w:val="20"/>
                <w:szCs w:val="20"/>
              </w:rPr>
            </w:pPr>
            <w:r w:rsidRPr="00FB0140">
              <w:rPr>
                <w:rFonts w:ascii="Times New Roman" w:hAnsi="Times New Roman" w:cs="Times New Roman"/>
                <w:sz w:val="20"/>
                <w:szCs w:val="20"/>
              </w:rPr>
              <w:t xml:space="preserve">MAX цена </w:t>
            </w:r>
          </w:p>
        </w:tc>
      </w:tr>
      <w:tr w:rsidR="00F02413" w:rsidRPr="00FB0140" w:rsidTr="00F02413">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F02413" w:rsidRPr="00FB0140" w:rsidRDefault="00F02413" w:rsidP="00F02413">
            <w:pPr>
              <w:spacing w:after="0" w:line="240" w:lineRule="auto"/>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shd w:val="clear" w:color="auto" w:fill="auto"/>
            <w:vAlign w:val="center"/>
            <w:hideMark/>
          </w:tcPr>
          <w:p w:rsidR="00F02413" w:rsidRPr="00FB0140" w:rsidRDefault="00F02413" w:rsidP="00F02413">
            <w:pPr>
              <w:spacing w:after="0" w:line="240" w:lineRule="auto"/>
              <w:jc w:val="center"/>
              <w:rPr>
                <w:rFonts w:ascii="Times New Roman" w:hAnsi="Times New Roman" w:cs="Times New Roman"/>
                <w:b/>
                <w:bCs/>
                <w:sz w:val="20"/>
                <w:szCs w:val="20"/>
              </w:rPr>
            </w:pPr>
            <w:r w:rsidRPr="00FB0140">
              <w:rPr>
                <w:rFonts w:ascii="Times New Roman" w:hAnsi="Times New Roman" w:cs="Times New Roman"/>
                <w:b/>
                <w:bCs/>
                <w:sz w:val="20"/>
                <w:szCs w:val="20"/>
              </w:rPr>
              <w:t>тг/кВт*ч   (без НДС)</w:t>
            </w:r>
          </w:p>
        </w:tc>
      </w:tr>
      <w:tr w:rsidR="00F02413" w:rsidRPr="00FB0140" w:rsidTr="00F02413">
        <w:trPr>
          <w:trHeight w:val="255"/>
        </w:trPr>
        <w:tc>
          <w:tcPr>
            <w:tcW w:w="1985" w:type="dxa"/>
            <w:tcBorders>
              <w:top w:val="nil"/>
              <w:left w:val="single" w:sz="4" w:space="0" w:color="auto"/>
              <w:bottom w:val="single" w:sz="4" w:space="0" w:color="auto"/>
              <w:right w:val="single" w:sz="4" w:space="0" w:color="auto"/>
            </w:tcBorders>
            <w:shd w:val="clear" w:color="000000" w:fill="FFFF00"/>
            <w:hideMark/>
          </w:tcPr>
          <w:p w:rsidR="00F02413" w:rsidRPr="00FB0140" w:rsidRDefault="00F02413" w:rsidP="00F02413">
            <w:pPr>
              <w:pStyle w:val="Default"/>
              <w:jc w:val="center"/>
              <w:rPr>
                <w:sz w:val="20"/>
                <w:szCs w:val="20"/>
              </w:rPr>
            </w:pPr>
            <w:r w:rsidRPr="00FB0140">
              <w:rPr>
                <w:b/>
                <w:bCs/>
                <w:sz w:val="20"/>
                <w:szCs w:val="20"/>
              </w:rPr>
              <w:t>2019</w:t>
            </w:r>
          </w:p>
        </w:tc>
        <w:tc>
          <w:tcPr>
            <w:tcW w:w="1257" w:type="dxa"/>
            <w:tcBorders>
              <w:top w:val="nil"/>
              <w:left w:val="nil"/>
              <w:bottom w:val="single" w:sz="4" w:space="0" w:color="auto"/>
              <w:right w:val="single" w:sz="4" w:space="0" w:color="auto"/>
            </w:tcBorders>
            <w:shd w:val="clear" w:color="000000" w:fill="FFFF00"/>
            <w:vAlign w:val="center"/>
            <w:hideMark/>
          </w:tcPr>
          <w:p w:rsidR="00F02413" w:rsidRPr="00FB0140" w:rsidRDefault="00F02413" w:rsidP="00F02413">
            <w:pPr>
              <w:pStyle w:val="Default"/>
              <w:jc w:val="center"/>
              <w:rPr>
                <w:b/>
                <w:bCs/>
                <w:sz w:val="20"/>
                <w:szCs w:val="20"/>
              </w:rPr>
            </w:pPr>
            <w:r w:rsidRPr="00FB0140">
              <w:rPr>
                <w:b/>
                <w:bCs/>
                <w:sz w:val="20"/>
                <w:szCs w:val="20"/>
              </w:rPr>
              <w:t>6,5</w:t>
            </w:r>
          </w:p>
        </w:tc>
        <w:tc>
          <w:tcPr>
            <w:tcW w:w="1276" w:type="dxa"/>
            <w:tcBorders>
              <w:top w:val="nil"/>
              <w:left w:val="nil"/>
              <w:bottom w:val="single" w:sz="4" w:space="0" w:color="auto"/>
              <w:right w:val="single" w:sz="4" w:space="0" w:color="auto"/>
            </w:tcBorders>
            <w:shd w:val="clear" w:color="000000" w:fill="FFFF00"/>
            <w:vAlign w:val="center"/>
            <w:hideMark/>
          </w:tcPr>
          <w:p w:rsidR="00F02413" w:rsidRPr="00FB0140" w:rsidRDefault="00F02413" w:rsidP="00F02413">
            <w:pPr>
              <w:pStyle w:val="Default"/>
              <w:jc w:val="center"/>
              <w:rPr>
                <w:b/>
                <w:bCs/>
                <w:sz w:val="20"/>
                <w:szCs w:val="20"/>
              </w:rPr>
            </w:pPr>
            <w:r w:rsidRPr="00FB0140">
              <w:rPr>
                <w:b/>
                <w:bCs/>
                <w:sz w:val="20"/>
                <w:szCs w:val="20"/>
              </w:rPr>
              <w:t>7,31</w:t>
            </w:r>
          </w:p>
        </w:tc>
        <w:tc>
          <w:tcPr>
            <w:tcW w:w="1276" w:type="dxa"/>
            <w:tcBorders>
              <w:top w:val="nil"/>
              <w:left w:val="nil"/>
              <w:bottom w:val="single" w:sz="4" w:space="0" w:color="auto"/>
              <w:right w:val="single" w:sz="4" w:space="0" w:color="auto"/>
            </w:tcBorders>
            <w:shd w:val="clear" w:color="000000" w:fill="FFFF00"/>
            <w:vAlign w:val="center"/>
            <w:hideMark/>
          </w:tcPr>
          <w:p w:rsidR="00F02413" w:rsidRPr="00FB0140" w:rsidRDefault="00F02413" w:rsidP="00F02413">
            <w:pPr>
              <w:pStyle w:val="Default"/>
              <w:jc w:val="center"/>
              <w:rPr>
                <w:b/>
                <w:bCs/>
                <w:sz w:val="20"/>
                <w:szCs w:val="20"/>
              </w:rPr>
            </w:pPr>
            <w:r w:rsidRPr="00FB0140">
              <w:rPr>
                <w:b/>
                <w:bCs/>
                <w:sz w:val="20"/>
                <w:szCs w:val="20"/>
              </w:rPr>
              <w:t>1,1</w:t>
            </w:r>
          </w:p>
        </w:tc>
        <w:tc>
          <w:tcPr>
            <w:tcW w:w="1276" w:type="dxa"/>
            <w:tcBorders>
              <w:top w:val="nil"/>
              <w:left w:val="nil"/>
              <w:bottom w:val="single" w:sz="4" w:space="0" w:color="auto"/>
              <w:right w:val="single" w:sz="4" w:space="0" w:color="auto"/>
            </w:tcBorders>
            <w:shd w:val="clear" w:color="000000" w:fill="FFFF00"/>
            <w:vAlign w:val="center"/>
            <w:hideMark/>
          </w:tcPr>
          <w:p w:rsidR="00F02413" w:rsidRPr="00FB0140" w:rsidRDefault="00F02413" w:rsidP="00F02413">
            <w:pPr>
              <w:pStyle w:val="Default"/>
              <w:jc w:val="center"/>
              <w:rPr>
                <w:b/>
                <w:bCs/>
                <w:sz w:val="20"/>
                <w:szCs w:val="20"/>
              </w:rPr>
            </w:pPr>
            <w:r w:rsidRPr="00FB0140">
              <w:rPr>
                <w:b/>
                <w:bCs/>
                <w:sz w:val="20"/>
                <w:szCs w:val="20"/>
              </w:rPr>
              <w:t>8,7</w:t>
            </w:r>
          </w:p>
        </w:tc>
        <w:tc>
          <w:tcPr>
            <w:tcW w:w="1134" w:type="dxa"/>
            <w:tcBorders>
              <w:top w:val="nil"/>
              <w:left w:val="nil"/>
              <w:bottom w:val="single" w:sz="4" w:space="0" w:color="auto"/>
              <w:right w:val="single" w:sz="4" w:space="0" w:color="auto"/>
            </w:tcBorders>
            <w:shd w:val="clear" w:color="000000" w:fill="FFFF00"/>
            <w:vAlign w:val="center"/>
            <w:hideMark/>
          </w:tcPr>
          <w:p w:rsidR="00F02413" w:rsidRPr="00FB0140" w:rsidRDefault="00F02413" w:rsidP="00F02413">
            <w:pPr>
              <w:pStyle w:val="Default"/>
              <w:jc w:val="center"/>
              <w:rPr>
                <w:b/>
                <w:bCs/>
                <w:sz w:val="20"/>
                <w:szCs w:val="20"/>
              </w:rPr>
            </w:pPr>
            <w:r w:rsidRPr="00FB0140">
              <w:rPr>
                <w:b/>
                <w:bCs/>
                <w:sz w:val="20"/>
                <w:szCs w:val="20"/>
              </w:rPr>
              <w:t>8,4</w:t>
            </w:r>
          </w:p>
        </w:tc>
        <w:tc>
          <w:tcPr>
            <w:tcW w:w="1719" w:type="dxa"/>
            <w:tcBorders>
              <w:top w:val="nil"/>
              <w:left w:val="nil"/>
              <w:bottom w:val="single" w:sz="4" w:space="0" w:color="auto"/>
              <w:right w:val="single" w:sz="4" w:space="0" w:color="auto"/>
            </w:tcBorders>
            <w:shd w:val="clear" w:color="000000" w:fill="FFFF00"/>
            <w:vAlign w:val="center"/>
            <w:hideMark/>
          </w:tcPr>
          <w:p w:rsidR="00F02413" w:rsidRPr="00FB0140" w:rsidRDefault="00F02413" w:rsidP="00F02413">
            <w:pPr>
              <w:pStyle w:val="Default"/>
              <w:jc w:val="center"/>
              <w:rPr>
                <w:b/>
                <w:bCs/>
                <w:sz w:val="20"/>
                <w:szCs w:val="20"/>
              </w:rPr>
            </w:pPr>
            <w:r w:rsidRPr="00FB0140">
              <w:rPr>
                <w:b/>
                <w:bCs/>
                <w:sz w:val="20"/>
                <w:szCs w:val="20"/>
              </w:rPr>
              <w:t>8,4</w:t>
            </w:r>
          </w:p>
        </w:tc>
      </w:tr>
      <w:tr w:rsidR="00F02413" w:rsidRPr="00FB0140" w:rsidTr="00F02413">
        <w:trPr>
          <w:trHeight w:val="255"/>
        </w:trPr>
        <w:tc>
          <w:tcPr>
            <w:tcW w:w="1985" w:type="dxa"/>
            <w:tcBorders>
              <w:top w:val="nil"/>
              <w:left w:val="single" w:sz="4" w:space="0" w:color="auto"/>
              <w:bottom w:val="single" w:sz="4" w:space="0" w:color="auto"/>
              <w:right w:val="single" w:sz="4" w:space="0" w:color="auto"/>
            </w:tcBorders>
            <w:shd w:val="clear" w:color="000000" w:fill="FFC000"/>
            <w:hideMark/>
          </w:tcPr>
          <w:p w:rsidR="00F02413" w:rsidRPr="00FB0140" w:rsidRDefault="00F02413" w:rsidP="00F02413">
            <w:pPr>
              <w:pStyle w:val="Default"/>
              <w:jc w:val="center"/>
              <w:rPr>
                <w:sz w:val="20"/>
                <w:szCs w:val="20"/>
              </w:rPr>
            </w:pPr>
            <w:r w:rsidRPr="00FB0140">
              <w:rPr>
                <w:b/>
                <w:bCs/>
                <w:sz w:val="20"/>
                <w:szCs w:val="20"/>
              </w:rPr>
              <w:t>2020</w:t>
            </w:r>
          </w:p>
        </w:tc>
        <w:tc>
          <w:tcPr>
            <w:tcW w:w="1257" w:type="dxa"/>
            <w:tcBorders>
              <w:top w:val="nil"/>
              <w:left w:val="nil"/>
              <w:bottom w:val="single" w:sz="4" w:space="0" w:color="auto"/>
              <w:right w:val="single" w:sz="4" w:space="0" w:color="auto"/>
            </w:tcBorders>
            <w:shd w:val="clear" w:color="000000" w:fill="FFC000"/>
            <w:vAlign w:val="center"/>
            <w:hideMark/>
          </w:tcPr>
          <w:p w:rsidR="00F02413" w:rsidRPr="00FB0140" w:rsidRDefault="00F02413" w:rsidP="00F02413">
            <w:pPr>
              <w:pStyle w:val="Default"/>
              <w:jc w:val="center"/>
              <w:rPr>
                <w:b/>
                <w:bCs/>
                <w:sz w:val="20"/>
                <w:szCs w:val="20"/>
              </w:rPr>
            </w:pPr>
            <w:r w:rsidRPr="00FB0140">
              <w:rPr>
                <w:b/>
                <w:bCs/>
                <w:sz w:val="20"/>
                <w:szCs w:val="20"/>
              </w:rPr>
              <w:t>8,5</w:t>
            </w:r>
          </w:p>
        </w:tc>
        <w:tc>
          <w:tcPr>
            <w:tcW w:w="1276" w:type="dxa"/>
            <w:tcBorders>
              <w:top w:val="nil"/>
              <w:left w:val="nil"/>
              <w:bottom w:val="single" w:sz="4" w:space="0" w:color="auto"/>
              <w:right w:val="single" w:sz="4" w:space="0" w:color="auto"/>
            </w:tcBorders>
            <w:shd w:val="clear" w:color="000000" w:fill="FFC000"/>
            <w:vAlign w:val="center"/>
            <w:hideMark/>
          </w:tcPr>
          <w:p w:rsidR="00F02413" w:rsidRPr="00FB0140" w:rsidRDefault="00F02413" w:rsidP="00F02413">
            <w:pPr>
              <w:pStyle w:val="Default"/>
              <w:jc w:val="center"/>
              <w:rPr>
                <w:b/>
                <w:bCs/>
                <w:sz w:val="20"/>
                <w:szCs w:val="20"/>
              </w:rPr>
            </w:pPr>
            <w:r w:rsidRPr="00FB0140">
              <w:rPr>
                <w:b/>
                <w:bCs/>
                <w:sz w:val="20"/>
                <w:szCs w:val="20"/>
              </w:rPr>
              <w:t>8,5</w:t>
            </w:r>
          </w:p>
        </w:tc>
        <w:tc>
          <w:tcPr>
            <w:tcW w:w="1276" w:type="dxa"/>
            <w:tcBorders>
              <w:top w:val="nil"/>
              <w:left w:val="nil"/>
              <w:bottom w:val="single" w:sz="4" w:space="0" w:color="auto"/>
              <w:right w:val="single" w:sz="4" w:space="0" w:color="auto"/>
            </w:tcBorders>
            <w:shd w:val="clear" w:color="000000" w:fill="FFC000"/>
            <w:vAlign w:val="center"/>
            <w:hideMark/>
          </w:tcPr>
          <w:p w:rsidR="00F02413" w:rsidRPr="00FB0140" w:rsidRDefault="00F02413" w:rsidP="00F02413">
            <w:pPr>
              <w:pStyle w:val="Default"/>
              <w:jc w:val="center"/>
              <w:rPr>
                <w:b/>
                <w:bCs/>
                <w:sz w:val="20"/>
                <w:szCs w:val="20"/>
              </w:rPr>
            </w:pPr>
            <w:r w:rsidRPr="00FB0140">
              <w:rPr>
                <w:b/>
                <w:bCs/>
                <w:sz w:val="20"/>
                <w:szCs w:val="20"/>
              </w:rPr>
              <w:t>1,1</w:t>
            </w:r>
          </w:p>
        </w:tc>
        <w:tc>
          <w:tcPr>
            <w:tcW w:w="1276" w:type="dxa"/>
            <w:tcBorders>
              <w:top w:val="nil"/>
              <w:left w:val="nil"/>
              <w:bottom w:val="single" w:sz="4" w:space="0" w:color="auto"/>
              <w:right w:val="single" w:sz="4" w:space="0" w:color="auto"/>
            </w:tcBorders>
            <w:shd w:val="clear" w:color="000000" w:fill="FFC000"/>
            <w:vAlign w:val="center"/>
            <w:hideMark/>
          </w:tcPr>
          <w:p w:rsidR="00F02413" w:rsidRPr="00FB0140" w:rsidRDefault="00F02413" w:rsidP="00F02413">
            <w:pPr>
              <w:pStyle w:val="Default"/>
              <w:jc w:val="center"/>
              <w:rPr>
                <w:b/>
                <w:bCs/>
                <w:sz w:val="20"/>
                <w:szCs w:val="20"/>
              </w:rPr>
            </w:pPr>
            <w:r w:rsidRPr="00FB0140">
              <w:rPr>
                <w:b/>
                <w:bCs/>
                <w:sz w:val="20"/>
                <w:szCs w:val="20"/>
              </w:rPr>
              <w:t>1,1</w:t>
            </w:r>
          </w:p>
        </w:tc>
        <w:tc>
          <w:tcPr>
            <w:tcW w:w="1134" w:type="dxa"/>
            <w:tcBorders>
              <w:top w:val="nil"/>
              <w:left w:val="nil"/>
              <w:bottom w:val="single" w:sz="4" w:space="0" w:color="auto"/>
              <w:right w:val="single" w:sz="4" w:space="0" w:color="auto"/>
            </w:tcBorders>
            <w:shd w:val="clear" w:color="000000" w:fill="FFC000"/>
            <w:vAlign w:val="center"/>
            <w:hideMark/>
          </w:tcPr>
          <w:p w:rsidR="00F02413" w:rsidRPr="00FB0140" w:rsidRDefault="00F02413" w:rsidP="00F02413">
            <w:pPr>
              <w:pStyle w:val="Default"/>
              <w:jc w:val="center"/>
              <w:rPr>
                <w:b/>
                <w:bCs/>
                <w:sz w:val="20"/>
                <w:szCs w:val="20"/>
              </w:rPr>
            </w:pPr>
            <w:r w:rsidRPr="00FB0140">
              <w:rPr>
                <w:b/>
                <w:bCs/>
                <w:sz w:val="20"/>
                <w:szCs w:val="20"/>
              </w:rPr>
              <w:t>-</w:t>
            </w:r>
          </w:p>
        </w:tc>
        <w:tc>
          <w:tcPr>
            <w:tcW w:w="1719" w:type="dxa"/>
            <w:tcBorders>
              <w:top w:val="nil"/>
              <w:left w:val="nil"/>
              <w:bottom w:val="single" w:sz="4" w:space="0" w:color="auto"/>
              <w:right w:val="single" w:sz="4" w:space="0" w:color="auto"/>
            </w:tcBorders>
            <w:shd w:val="clear" w:color="000000" w:fill="FFC000"/>
            <w:vAlign w:val="center"/>
            <w:hideMark/>
          </w:tcPr>
          <w:p w:rsidR="00F02413" w:rsidRPr="00FB0140" w:rsidRDefault="00F02413" w:rsidP="00F02413">
            <w:pPr>
              <w:pStyle w:val="Default"/>
              <w:jc w:val="center"/>
              <w:rPr>
                <w:b/>
                <w:bCs/>
                <w:sz w:val="20"/>
                <w:szCs w:val="20"/>
              </w:rPr>
            </w:pPr>
            <w:r w:rsidRPr="00FB0140">
              <w:rPr>
                <w:b/>
                <w:bCs/>
                <w:sz w:val="20"/>
                <w:szCs w:val="20"/>
              </w:rPr>
              <w:t>-</w:t>
            </w:r>
          </w:p>
        </w:tc>
      </w:tr>
    </w:tbl>
    <w:p w:rsidR="00F02413" w:rsidRPr="00FB0140" w:rsidRDefault="00F02413" w:rsidP="00F02413">
      <w:pPr>
        <w:pStyle w:val="1"/>
        <w:spacing w:before="0" w:line="240" w:lineRule="auto"/>
        <w:ind w:firstLine="709"/>
        <w:rPr>
          <w:rFonts w:ascii="Times New Roman" w:hAnsi="Times New Roman" w:cs="Times New Roman"/>
          <w:b/>
          <w:i/>
          <w:color w:val="auto"/>
          <w:sz w:val="28"/>
        </w:rPr>
      </w:pPr>
      <w:bookmarkStart w:id="22" w:name="_Toc510196478"/>
    </w:p>
    <w:p w:rsidR="00F02413" w:rsidRPr="00FB0140" w:rsidRDefault="00F02413" w:rsidP="00F02413">
      <w:pPr>
        <w:pStyle w:val="1"/>
        <w:spacing w:before="0" w:line="240" w:lineRule="auto"/>
        <w:ind w:firstLine="709"/>
        <w:rPr>
          <w:rFonts w:ascii="Times New Roman" w:hAnsi="Times New Roman" w:cs="Times New Roman"/>
          <w:b/>
          <w:i/>
          <w:color w:val="auto"/>
          <w:sz w:val="28"/>
        </w:rPr>
      </w:pPr>
      <w:r w:rsidRPr="00FB0140">
        <w:rPr>
          <w:rFonts w:ascii="Times New Roman" w:hAnsi="Times New Roman" w:cs="Times New Roman"/>
          <w:b/>
          <w:i/>
          <w:color w:val="auto"/>
          <w:sz w:val="28"/>
        </w:rPr>
        <w:t>Итоги спот-торгов в режиме «за день вперед»</w:t>
      </w:r>
      <w:bookmarkEnd w:id="22"/>
    </w:p>
    <w:p w:rsidR="00F02413" w:rsidRPr="00FB0140" w:rsidRDefault="00F02413" w:rsidP="00F02413">
      <w:pPr>
        <w:pStyle w:val="a3"/>
        <w:spacing w:after="0" w:line="240" w:lineRule="auto"/>
        <w:ind w:left="0" w:firstLine="709"/>
        <w:jc w:val="both"/>
        <w:rPr>
          <w:rFonts w:ascii="Times New Roman" w:eastAsia="Times New Roman" w:hAnsi="Times New Roman" w:cs="Times New Roman"/>
          <w:sz w:val="28"/>
          <w:szCs w:val="28"/>
          <w:lang w:eastAsia="ru-RU"/>
        </w:rPr>
      </w:pPr>
      <w:r w:rsidRPr="00FB0140">
        <w:rPr>
          <w:rFonts w:ascii="Times New Roman" w:eastAsia="Times New Roman" w:hAnsi="Times New Roman" w:cs="Times New Roman"/>
          <w:sz w:val="28"/>
          <w:szCs w:val="28"/>
          <w:lang w:eastAsia="ru-RU"/>
        </w:rPr>
        <w:t>По итогам проведенных спот-торгов в августе 2020 года была заключена 1 сделка в объеме 2280 тыс. кВт*ч на общую сумму 19 380 тыс. тенге (без НДС). Минимальная цена на спот-торгах в режиме «за день вперед» составила – 8,5 тг/кВт*ч (без НДС), максимальная цена – 8,5 тг/кВт*ч (без НДС).</w:t>
      </w:r>
    </w:p>
    <w:p w:rsidR="00F02413" w:rsidRPr="00FB0140" w:rsidRDefault="00F02413" w:rsidP="00F02413">
      <w:pPr>
        <w:pStyle w:val="a3"/>
        <w:spacing w:after="0" w:line="240" w:lineRule="auto"/>
        <w:ind w:left="0" w:firstLine="709"/>
        <w:jc w:val="both"/>
        <w:rPr>
          <w:rFonts w:ascii="Times New Roman" w:hAnsi="Times New Roman" w:cs="Times New Roman"/>
          <w:noProof/>
          <w:lang w:eastAsia="ru-RU"/>
        </w:rPr>
      </w:pPr>
      <w:r w:rsidRPr="00FB0140">
        <w:rPr>
          <w:rFonts w:ascii="Times New Roman" w:eastAsia="Times New Roman" w:hAnsi="Times New Roman" w:cs="Times New Roman"/>
          <w:sz w:val="28"/>
          <w:szCs w:val="28"/>
          <w:lang w:eastAsia="ru-RU"/>
        </w:rPr>
        <w:t xml:space="preserve">В нижеприведенной таблице представлены объемы и цены спроса-предложения и итоговые результаты спот-торгов в режиме «за день вперед» в августе 2020 года. </w:t>
      </w:r>
    </w:p>
    <w:p w:rsidR="006B0E95" w:rsidRPr="00FB0140" w:rsidRDefault="00F02413" w:rsidP="00BE0F2B">
      <w:pPr>
        <w:pStyle w:val="a3"/>
        <w:spacing w:after="0" w:line="240" w:lineRule="auto"/>
        <w:ind w:left="-142" w:firstLine="142"/>
        <w:jc w:val="both"/>
        <w:rPr>
          <w:rFonts w:ascii="Times New Roman" w:hAnsi="Times New Roman" w:cs="Times New Roman"/>
          <w:sz w:val="28"/>
          <w:szCs w:val="28"/>
          <w:lang w:val="en-US"/>
        </w:rPr>
      </w:pPr>
      <w:r w:rsidRPr="00FB0140">
        <w:rPr>
          <w:rFonts w:ascii="Times New Roman" w:hAnsi="Times New Roman" w:cs="Times New Roman"/>
          <w:noProof/>
          <w:sz w:val="28"/>
          <w:szCs w:val="28"/>
          <w:lang w:eastAsia="ru-RU"/>
        </w:rPr>
        <w:drawing>
          <wp:inline distT="0" distB="0" distL="0" distR="0" wp14:anchorId="525CF0CC" wp14:editId="528E9F05">
            <wp:extent cx="6301105" cy="617220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1105" cy="6172200"/>
                    </a:xfrm>
                    <a:prstGeom prst="rect">
                      <a:avLst/>
                    </a:prstGeom>
                    <a:noFill/>
                    <a:ln>
                      <a:noFill/>
                    </a:ln>
                  </pic:spPr>
                </pic:pic>
              </a:graphicData>
            </a:graphic>
          </wp:inline>
        </w:drawing>
      </w:r>
    </w:p>
    <w:p w:rsidR="00F02413" w:rsidRPr="00FB0140" w:rsidRDefault="00F02413" w:rsidP="00F02413">
      <w:pPr>
        <w:pStyle w:val="a3"/>
        <w:spacing w:after="0" w:line="240" w:lineRule="auto"/>
        <w:ind w:left="0" w:firstLine="709"/>
        <w:jc w:val="both"/>
        <w:rPr>
          <w:rFonts w:ascii="Times New Roman" w:eastAsia="Times New Roman" w:hAnsi="Times New Roman" w:cs="Times New Roman"/>
          <w:sz w:val="28"/>
          <w:szCs w:val="28"/>
          <w:lang w:eastAsia="ru-RU"/>
        </w:rPr>
      </w:pPr>
      <w:bookmarkStart w:id="23" w:name="_Toc510196479"/>
      <w:r w:rsidRPr="00FB0140">
        <w:rPr>
          <w:rFonts w:ascii="Times New Roman" w:eastAsia="Times New Roman" w:hAnsi="Times New Roman" w:cs="Times New Roman"/>
          <w:sz w:val="28"/>
          <w:szCs w:val="28"/>
          <w:lang w:eastAsia="ru-RU"/>
        </w:rPr>
        <w:t xml:space="preserve">Из таблицы видно, что суммарный объем спроса составил 8280 тыс. кВт*ч., при этом объем предложения составил 7800 тыс. кВт*ч. Неудовлетворенный объем спроса в августе 2020 года составил 6000 тыс. кВт*ч, а неудовлетворенное предложение 5520 тыс. кВт*ч. В процессе спот-торгов в торговую систему всего было принято заявок в количестве -8, из них, 5 заявок от покупателей и 3 заявки от продавцов. </w:t>
      </w:r>
    </w:p>
    <w:p w:rsidR="00F02413" w:rsidRPr="00FB0140" w:rsidRDefault="00F02413" w:rsidP="00F02413">
      <w:pPr>
        <w:pStyle w:val="1"/>
        <w:spacing w:before="0" w:line="240" w:lineRule="auto"/>
        <w:ind w:firstLine="709"/>
        <w:jc w:val="both"/>
        <w:rPr>
          <w:rFonts w:ascii="Times New Roman" w:hAnsi="Times New Roman" w:cs="Times New Roman"/>
          <w:b/>
          <w:i/>
          <w:color w:val="auto"/>
          <w:sz w:val="28"/>
        </w:rPr>
      </w:pPr>
      <w:r w:rsidRPr="00FB0140">
        <w:rPr>
          <w:rFonts w:ascii="Times New Roman" w:hAnsi="Times New Roman" w:cs="Times New Roman"/>
          <w:b/>
          <w:i/>
          <w:color w:val="auto"/>
          <w:sz w:val="28"/>
        </w:rPr>
        <w:t>Итоги спот-торгов «в течение операционных суток»</w:t>
      </w:r>
      <w:bookmarkEnd w:id="23"/>
    </w:p>
    <w:p w:rsidR="00F02413" w:rsidRPr="00FB0140" w:rsidRDefault="00F02413" w:rsidP="00F02413">
      <w:pPr>
        <w:pStyle w:val="a3"/>
        <w:spacing w:after="0" w:line="240" w:lineRule="auto"/>
        <w:ind w:left="0" w:firstLine="709"/>
        <w:jc w:val="both"/>
        <w:rPr>
          <w:rFonts w:ascii="Times New Roman" w:eastAsia="Times New Roman" w:hAnsi="Times New Roman" w:cs="Times New Roman"/>
          <w:sz w:val="28"/>
          <w:szCs w:val="28"/>
          <w:lang w:eastAsia="ru-RU"/>
        </w:rPr>
      </w:pPr>
      <w:bookmarkStart w:id="24" w:name="_Toc510196480"/>
      <w:r w:rsidRPr="00FB0140">
        <w:rPr>
          <w:rFonts w:ascii="Times New Roman" w:eastAsia="Times New Roman" w:hAnsi="Times New Roman" w:cs="Times New Roman"/>
          <w:sz w:val="28"/>
          <w:szCs w:val="28"/>
          <w:lang w:eastAsia="ru-RU"/>
        </w:rPr>
        <w:t>По итогам проведенных торгов в августе 2020 года сделок заключено не было. По итогам проведенных спот-торгов в августе 2019 года были заключены 48 сделок в объеме 432 тыс. кВт*ч. Минимальная и максимальная цена по данному виду централизованных торгов составила 8,4 тг/кВт*ч (без НДС).</w:t>
      </w:r>
    </w:p>
    <w:p w:rsidR="00F02413" w:rsidRPr="00FB0140" w:rsidRDefault="00F02413" w:rsidP="00F02413">
      <w:pPr>
        <w:pStyle w:val="a3"/>
        <w:spacing w:after="0" w:line="240" w:lineRule="auto"/>
        <w:ind w:left="0" w:firstLine="709"/>
        <w:jc w:val="both"/>
        <w:rPr>
          <w:rFonts w:ascii="Times New Roman" w:eastAsia="Times New Roman" w:hAnsi="Times New Roman" w:cs="Times New Roman"/>
          <w:sz w:val="28"/>
          <w:szCs w:val="28"/>
          <w:lang w:eastAsia="ru-RU"/>
        </w:rPr>
      </w:pPr>
    </w:p>
    <w:p w:rsidR="00F02413" w:rsidRPr="00FB0140" w:rsidRDefault="00F02413" w:rsidP="00F02413">
      <w:pPr>
        <w:pStyle w:val="1"/>
        <w:spacing w:before="0" w:line="240" w:lineRule="auto"/>
        <w:ind w:firstLine="709"/>
        <w:jc w:val="both"/>
        <w:rPr>
          <w:rFonts w:ascii="Times New Roman" w:hAnsi="Times New Roman" w:cs="Times New Roman"/>
          <w:b/>
          <w:i/>
          <w:color w:val="auto"/>
          <w:sz w:val="28"/>
        </w:rPr>
      </w:pPr>
      <w:r w:rsidRPr="00FB0140">
        <w:rPr>
          <w:rFonts w:ascii="Times New Roman" w:hAnsi="Times New Roman" w:cs="Times New Roman"/>
          <w:b/>
          <w:i/>
          <w:color w:val="auto"/>
          <w:sz w:val="28"/>
        </w:rPr>
        <w:t>Итоги торгов на средне- и долгосрочный период</w:t>
      </w:r>
      <w:bookmarkEnd w:id="24"/>
    </w:p>
    <w:p w:rsidR="009A1698" w:rsidRPr="00FB0140" w:rsidRDefault="009A1698" w:rsidP="009A1698">
      <w:pPr>
        <w:pStyle w:val="a3"/>
        <w:spacing w:after="0" w:line="240" w:lineRule="auto"/>
        <w:ind w:left="0" w:firstLine="709"/>
        <w:jc w:val="both"/>
        <w:rPr>
          <w:rFonts w:ascii="Times New Roman" w:eastAsia="Times New Roman" w:hAnsi="Times New Roman" w:cs="Times New Roman"/>
          <w:sz w:val="28"/>
          <w:szCs w:val="28"/>
          <w:lang w:eastAsia="ru-RU"/>
        </w:rPr>
      </w:pPr>
      <w:r w:rsidRPr="00FB0140">
        <w:rPr>
          <w:rFonts w:ascii="Times New Roman" w:eastAsia="Times New Roman" w:hAnsi="Times New Roman" w:cs="Times New Roman"/>
          <w:sz w:val="28"/>
          <w:szCs w:val="28"/>
          <w:lang w:eastAsia="ru-RU"/>
        </w:rPr>
        <w:t>По итогам торгов на средне- и долгосрочный периоды в августе 2020 года была заключена 1 сделка объемом 1 176 тыс. кВт*ч на общую сумму 1293,6 тыс. тенге (без НДС). Минимальная и максимальная цена по данному виду централизованных торгов составила - 1,1 тг/кВт*ч (без НДС). Сделка была зарегистрирована по итогам проведения централизованных торгов электрической энергией с периодом поставки – неделя.</w:t>
      </w:r>
    </w:p>
    <w:p w:rsidR="009A1698" w:rsidRPr="00FB0140" w:rsidRDefault="009A1698" w:rsidP="009A1698">
      <w:pPr>
        <w:spacing w:after="0" w:line="240" w:lineRule="auto"/>
        <w:ind w:firstLine="709"/>
        <w:jc w:val="both"/>
        <w:rPr>
          <w:rFonts w:ascii="Times New Roman" w:eastAsia="Times New Roman" w:hAnsi="Times New Roman" w:cs="Times New Roman"/>
          <w:sz w:val="28"/>
          <w:szCs w:val="28"/>
          <w:lang w:eastAsia="ru-RU"/>
        </w:rPr>
      </w:pPr>
      <w:r w:rsidRPr="00FB0140">
        <w:rPr>
          <w:rFonts w:ascii="Times New Roman" w:eastAsia="Times New Roman" w:hAnsi="Times New Roman" w:cs="Times New Roman"/>
          <w:sz w:val="28"/>
          <w:szCs w:val="28"/>
          <w:lang w:eastAsia="ru-RU"/>
        </w:rPr>
        <w:t>В сравнении с аналогичным периодом 2019 года в августе 2020 года по торгам на средне- и долгосрочный период произошло снижение объема торгов в 686 раз.</w:t>
      </w:r>
    </w:p>
    <w:p w:rsidR="009A1698" w:rsidRPr="00FB0140" w:rsidRDefault="009A1698" w:rsidP="009A1698">
      <w:pPr>
        <w:pStyle w:val="a3"/>
        <w:spacing w:after="0" w:line="240" w:lineRule="auto"/>
        <w:ind w:left="0" w:firstLine="709"/>
        <w:jc w:val="both"/>
        <w:rPr>
          <w:rFonts w:ascii="Times New Roman" w:eastAsia="Times New Roman" w:hAnsi="Times New Roman" w:cs="Times New Roman"/>
          <w:sz w:val="28"/>
          <w:szCs w:val="28"/>
          <w:lang w:eastAsia="ru-RU"/>
        </w:rPr>
      </w:pPr>
      <w:r w:rsidRPr="00FB0140">
        <w:rPr>
          <w:rFonts w:ascii="Times New Roman" w:eastAsia="Times New Roman" w:hAnsi="Times New Roman" w:cs="Times New Roman"/>
          <w:sz w:val="28"/>
          <w:szCs w:val="28"/>
          <w:lang w:eastAsia="ru-RU"/>
        </w:rPr>
        <w:t xml:space="preserve">В августе 2019 года в торгах на средне- и долгосрочный период были заключены 45 сделок объемом 806 616 тыс. кВт*ч. Минимальная цена по данному виду централизованных торгов составила 1,1 тг/кВт*ч (без НДС), максимальная – 8,7 тг/кВт*ч (без НДС). </w:t>
      </w:r>
    </w:p>
    <w:p w:rsidR="001248FB" w:rsidRPr="00FB0140" w:rsidRDefault="001248FB" w:rsidP="00BE0F2B">
      <w:pPr>
        <w:tabs>
          <w:tab w:val="left" w:pos="0"/>
        </w:tabs>
        <w:spacing w:after="0" w:line="240" w:lineRule="auto"/>
        <w:rPr>
          <w:rFonts w:ascii="Times New Roman" w:hAnsi="Times New Roman" w:cs="Times New Roman"/>
        </w:rPr>
      </w:pPr>
    </w:p>
    <w:p w:rsidR="006C42DB" w:rsidRPr="00FB0140" w:rsidRDefault="006C42DB" w:rsidP="00EF4AE4">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5" w:name="_Toc34079821"/>
      <w:r w:rsidRPr="00FB0140">
        <w:rPr>
          <w:rFonts w:ascii="Times New Roman" w:hAnsi="Times New Roman" w:cs="Times New Roman"/>
          <w:b/>
          <w:color w:val="auto"/>
        </w:rPr>
        <w:t>Экспорт-импорт электрической энергии</w:t>
      </w:r>
      <w:bookmarkEnd w:id="25"/>
      <w:r w:rsidRPr="00FB0140">
        <w:rPr>
          <w:rFonts w:ascii="Times New Roman" w:hAnsi="Times New Roman" w:cs="Times New Roman"/>
          <w:b/>
          <w:color w:val="auto"/>
        </w:rPr>
        <w:t xml:space="preserve"> </w:t>
      </w:r>
    </w:p>
    <w:p w:rsidR="006C42DB" w:rsidRPr="00FB0140" w:rsidRDefault="006C42DB" w:rsidP="00BE0F2B">
      <w:pPr>
        <w:tabs>
          <w:tab w:val="left" w:pos="0"/>
        </w:tabs>
        <w:spacing w:after="0" w:line="240" w:lineRule="auto"/>
        <w:ind w:firstLine="709"/>
        <w:jc w:val="both"/>
        <w:rPr>
          <w:rFonts w:ascii="Times New Roman" w:hAnsi="Times New Roman" w:cs="Times New Roman"/>
          <w:sz w:val="28"/>
          <w:szCs w:val="28"/>
        </w:rPr>
      </w:pPr>
    </w:p>
    <w:p w:rsidR="00F02413" w:rsidRPr="00FB0140" w:rsidRDefault="00F02413" w:rsidP="00F02413">
      <w:pPr>
        <w:spacing w:after="0" w:line="240" w:lineRule="auto"/>
        <w:ind w:firstLine="709"/>
        <w:jc w:val="both"/>
        <w:rPr>
          <w:rFonts w:ascii="Times New Roman" w:hAnsi="Times New Roman" w:cs="Times New Roman"/>
          <w:sz w:val="24"/>
        </w:rPr>
      </w:pPr>
      <w:r w:rsidRPr="00FB0140">
        <w:rPr>
          <w:rFonts w:ascii="Times New Roman" w:hAnsi="Times New Roman" w:cs="Times New Roman"/>
          <w:sz w:val="28"/>
          <w:szCs w:val="28"/>
        </w:rPr>
        <w:t>В январе-августе 2020 года основным направлением экспорта-импорта электроэнергии РК стала РФ (экспорт в РФ – 682,3 млн. кВтч, импорт из РФ – 643,4 млн. кВтч). АО «</w:t>
      </w:r>
      <w:r w:rsidRPr="00FB0140">
        <w:rPr>
          <w:rFonts w:ascii="Times New Roman" w:hAnsi="Times New Roman" w:cs="Times New Roman"/>
          <w:sz w:val="28"/>
          <w:szCs w:val="28"/>
          <w:lang w:val="en-US"/>
        </w:rPr>
        <w:t>KEGOC</w:t>
      </w:r>
      <w:r w:rsidRPr="00FB0140">
        <w:rPr>
          <w:rFonts w:ascii="Times New Roman" w:hAnsi="Times New Roman" w:cs="Times New Roman"/>
          <w:sz w:val="28"/>
          <w:szCs w:val="28"/>
        </w:rPr>
        <w:t>» – 758,3 млн. кВтч в целях балансирования производства-потребления электроэнергии. Импорт электроэнергии из РФ за отчетный период в объеме 588,5 млн. кВтч осуществлялся в целях балансирования производства-потребления электроэнергии.</w:t>
      </w:r>
    </w:p>
    <w:p w:rsidR="00741F18" w:rsidRPr="00FB0140" w:rsidRDefault="00741F18" w:rsidP="00BE0F2B">
      <w:pPr>
        <w:tabs>
          <w:tab w:val="left" w:pos="0"/>
        </w:tabs>
        <w:spacing w:after="0" w:line="240" w:lineRule="auto"/>
        <w:ind w:left="283"/>
        <w:jc w:val="right"/>
        <w:rPr>
          <w:rFonts w:ascii="Times New Roman" w:hAnsi="Times New Roman" w:cs="Times New Roman"/>
          <w:sz w:val="24"/>
        </w:rPr>
      </w:pPr>
      <w:r w:rsidRPr="00FB0140">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0312EB" w:rsidRPr="00FB0140" w:rsidTr="00E644FC">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0312EB" w:rsidRPr="00FB0140" w:rsidRDefault="000312EB" w:rsidP="00BE0F2B">
            <w:pPr>
              <w:tabs>
                <w:tab w:val="left" w:pos="0"/>
              </w:tabs>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0312EB" w:rsidRPr="00FB0140" w:rsidRDefault="000312EB" w:rsidP="00BE0F2B">
            <w:pPr>
              <w:tabs>
                <w:tab w:val="left" w:pos="0"/>
              </w:tabs>
              <w:spacing w:after="0" w:line="240" w:lineRule="auto"/>
              <w:ind w:left="-113"/>
              <w:jc w:val="center"/>
              <w:rPr>
                <w:rFonts w:ascii="Times New Roman" w:eastAsia="Times New Roman" w:hAnsi="Times New Roman" w:cs="Times New Roman"/>
                <w:b/>
                <w:bCs/>
                <w:sz w:val="24"/>
                <w:szCs w:val="24"/>
                <w:lang w:val="kk-KZ" w:eastAsia="ru-RU"/>
              </w:rPr>
            </w:pPr>
            <w:r w:rsidRPr="00FB0140">
              <w:rPr>
                <w:rFonts w:ascii="Times New Roman" w:eastAsia="Times New Roman" w:hAnsi="Times New Roman" w:cs="Times New Roman"/>
                <w:b/>
                <w:bCs/>
                <w:sz w:val="24"/>
                <w:szCs w:val="24"/>
                <w:lang w:eastAsia="ru-RU"/>
              </w:rPr>
              <w:t>2019г</w:t>
            </w:r>
            <w:r w:rsidRPr="00FB0140">
              <w:rPr>
                <w:rFonts w:ascii="Times New Roman" w:eastAsia="Times New Roman" w:hAnsi="Times New Roman" w:cs="Times New Roman"/>
                <w:b/>
                <w:bCs/>
                <w:sz w:val="24"/>
                <w:szCs w:val="24"/>
                <w:lang w:eastAsia="ru-RU"/>
              </w:rPr>
              <w:br/>
            </w:r>
            <w:r w:rsidR="00F02413" w:rsidRPr="00FB0140">
              <w:rPr>
                <w:rFonts w:ascii="Times New Roman" w:eastAsia="Times New Roman" w:hAnsi="Times New Roman" w:cs="Times New Roman"/>
                <w:b/>
                <w:bCs/>
                <w:sz w:val="24"/>
                <w:szCs w:val="24"/>
                <w:lang w:eastAsia="ru-RU"/>
              </w:rPr>
              <w:t>январь-август</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0312EB" w:rsidRPr="00FB0140" w:rsidRDefault="000312EB" w:rsidP="00BE0F2B">
            <w:pPr>
              <w:tabs>
                <w:tab w:val="left" w:pos="0"/>
              </w:tabs>
              <w:spacing w:after="0" w:line="240" w:lineRule="auto"/>
              <w:ind w:left="-119"/>
              <w:jc w:val="center"/>
              <w:rPr>
                <w:rFonts w:ascii="Times New Roman" w:eastAsia="Times New Roman" w:hAnsi="Times New Roman" w:cs="Times New Roman"/>
                <w:b/>
                <w:bCs/>
                <w:sz w:val="24"/>
                <w:szCs w:val="24"/>
                <w:lang w:val="kk-KZ" w:eastAsia="ru-RU"/>
              </w:rPr>
            </w:pPr>
            <w:r w:rsidRPr="00FB0140">
              <w:rPr>
                <w:rFonts w:ascii="Times New Roman" w:eastAsia="Times New Roman" w:hAnsi="Times New Roman" w:cs="Times New Roman"/>
                <w:b/>
                <w:bCs/>
                <w:sz w:val="24"/>
                <w:szCs w:val="24"/>
                <w:lang w:eastAsia="ru-RU"/>
              </w:rPr>
              <w:t>2020г</w:t>
            </w:r>
            <w:r w:rsidRPr="00FB0140">
              <w:rPr>
                <w:rFonts w:ascii="Times New Roman" w:eastAsia="Times New Roman" w:hAnsi="Times New Roman" w:cs="Times New Roman"/>
                <w:b/>
                <w:bCs/>
                <w:sz w:val="24"/>
                <w:szCs w:val="24"/>
                <w:lang w:eastAsia="ru-RU"/>
              </w:rPr>
              <w:br/>
            </w:r>
            <w:r w:rsidR="00F02413" w:rsidRPr="00FB0140">
              <w:rPr>
                <w:rFonts w:ascii="Times New Roman" w:eastAsia="Times New Roman" w:hAnsi="Times New Roman" w:cs="Times New Roman"/>
                <w:b/>
                <w:bCs/>
                <w:sz w:val="24"/>
                <w:szCs w:val="24"/>
                <w:lang w:eastAsia="ru-RU"/>
              </w:rPr>
              <w:t>январь-август</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0312EB" w:rsidRPr="00FB0140" w:rsidRDefault="000312EB" w:rsidP="00BE0F2B">
            <w:pPr>
              <w:tabs>
                <w:tab w:val="left" w:pos="0"/>
              </w:tabs>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Δ 2020/2019гг</w:t>
            </w:r>
          </w:p>
        </w:tc>
      </w:tr>
      <w:tr w:rsidR="000312EB" w:rsidRPr="00FB0140" w:rsidTr="00E644FC">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0312EB" w:rsidRPr="00FB0140" w:rsidRDefault="000312EB" w:rsidP="00BE0F2B">
            <w:pPr>
              <w:tabs>
                <w:tab w:val="left" w:pos="0"/>
              </w:tabs>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0312EB" w:rsidRPr="00FB0140" w:rsidRDefault="000312EB" w:rsidP="00BE0F2B">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0312EB" w:rsidRPr="00FB0140" w:rsidRDefault="000312EB" w:rsidP="00BE0F2B">
            <w:pPr>
              <w:tabs>
                <w:tab w:val="left" w:pos="0"/>
              </w:tabs>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0312EB" w:rsidRPr="00FB0140" w:rsidRDefault="000312EB" w:rsidP="00BE0F2B">
            <w:pPr>
              <w:tabs>
                <w:tab w:val="left" w:pos="0"/>
              </w:tabs>
              <w:spacing w:after="0" w:line="240" w:lineRule="auto"/>
              <w:ind w:left="-57"/>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0312EB" w:rsidRPr="00FB0140" w:rsidRDefault="0047172D" w:rsidP="00BE0F2B">
            <w:pPr>
              <w:tabs>
                <w:tab w:val="left" w:pos="0"/>
              </w:tabs>
              <w:spacing w:after="0" w:line="240" w:lineRule="auto"/>
              <w:jc w:val="center"/>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w:t>
            </w:r>
          </w:p>
        </w:tc>
      </w:tr>
      <w:tr w:rsidR="00F02413" w:rsidRPr="00FB0140"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F02413" w:rsidRPr="00FB0140" w:rsidRDefault="00F02413" w:rsidP="00F02413">
            <w:pPr>
              <w:tabs>
                <w:tab w:val="left" w:pos="0"/>
              </w:tabs>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4 017,8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1 144,0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-2 873,7</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F02413" w:rsidRPr="00FB0140" w:rsidRDefault="00F02413" w:rsidP="00F02413">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-71,5%</w:t>
            </w:r>
          </w:p>
        </w:tc>
      </w:tr>
      <w:tr w:rsidR="00F02413" w:rsidRPr="00FB0140"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F02413" w:rsidRPr="00FB0140" w:rsidRDefault="00F02413" w:rsidP="00F02413">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4 014,9</w:t>
            </w:r>
          </w:p>
        </w:tc>
        <w:tc>
          <w:tcPr>
            <w:tcW w:w="1241" w:type="dxa"/>
            <w:tcBorders>
              <w:top w:val="nil"/>
              <w:left w:val="nil"/>
              <w:bottom w:val="single" w:sz="4" w:space="0" w:color="auto"/>
              <w:right w:val="single" w:sz="4" w:space="0" w:color="auto"/>
            </w:tcBorders>
            <w:shd w:val="clear" w:color="auto" w:fill="auto"/>
            <w:noWrap/>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682,3</w:t>
            </w:r>
          </w:p>
        </w:tc>
        <w:tc>
          <w:tcPr>
            <w:tcW w:w="1275" w:type="dxa"/>
            <w:tcBorders>
              <w:top w:val="nil"/>
              <w:left w:val="nil"/>
              <w:bottom w:val="single" w:sz="4" w:space="0" w:color="auto"/>
              <w:right w:val="single" w:sz="4" w:space="0" w:color="auto"/>
            </w:tcBorders>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-3 332,5</w:t>
            </w:r>
          </w:p>
        </w:tc>
        <w:tc>
          <w:tcPr>
            <w:tcW w:w="1134" w:type="dxa"/>
            <w:tcBorders>
              <w:top w:val="nil"/>
              <w:left w:val="nil"/>
              <w:bottom w:val="single" w:sz="4" w:space="0" w:color="auto"/>
              <w:right w:val="single" w:sz="4" w:space="0" w:color="auto"/>
            </w:tcBorders>
            <w:vAlign w:val="center"/>
          </w:tcPr>
          <w:p w:rsidR="00F02413" w:rsidRPr="00FB0140" w:rsidRDefault="00F02413" w:rsidP="00F02413">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-83,0%</w:t>
            </w:r>
          </w:p>
        </w:tc>
      </w:tr>
      <w:tr w:rsidR="00344536" w:rsidRPr="00FB0140"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44536" w:rsidRPr="00FB0140" w:rsidRDefault="00344536" w:rsidP="00344536">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461,7</w:t>
            </w:r>
          </w:p>
        </w:tc>
        <w:tc>
          <w:tcPr>
            <w:tcW w:w="1275" w:type="dxa"/>
            <w:tcBorders>
              <w:top w:val="nil"/>
              <w:left w:val="nil"/>
              <w:bottom w:val="single" w:sz="4" w:space="0" w:color="auto"/>
              <w:right w:val="single" w:sz="4" w:space="0" w:color="auto"/>
            </w:tcBorders>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458,8</w:t>
            </w:r>
          </w:p>
        </w:tc>
        <w:tc>
          <w:tcPr>
            <w:tcW w:w="1134" w:type="dxa"/>
            <w:tcBorders>
              <w:top w:val="nil"/>
              <w:left w:val="nil"/>
              <w:bottom w:val="single" w:sz="4" w:space="0" w:color="auto"/>
              <w:right w:val="single" w:sz="4" w:space="0" w:color="auto"/>
            </w:tcBorders>
            <w:vAlign w:val="center"/>
          </w:tcPr>
          <w:p w:rsidR="00344536" w:rsidRPr="00FB0140" w:rsidRDefault="00344536" w:rsidP="00344536">
            <w:pPr>
              <w:spacing w:after="0" w:line="240" w:lineRule="auto"/>
              <w:rPr>
                <w:rFonts w:ascii="Times New Roman" w:hAnsi="Times New Roman" w:cs="Times New Roman"/>
                <w:bCs/>
                <w:i/>
                <w:color w:val="000000" w:themeColor="text1"/>
              </w:rPr>
            </w:pPr>
            <w:r w:rsidRPr="00FB0140">
              <w:rPr>
                <w:rFonts w:ascii="Times New Roman" w:hAnsi="Times New Roman" w:cs="Times New Roman"/>
                <w:bCs/>
                <w:i/>
                <w:color w:val="000000" w:themeColor="text1"/>
              </w:rPr>
              <w:t>15755%</w:t>
            </w:r>
          </w:p>
        </w:tc>
      </w:tr>
      <w:tr w:rsidR="00344536" w:rsidRPr="00FB0140" w:rsidTr="00E644FC">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344536" w:rsidRPr="00FB0140" w:rsidRDefault="00344536" w:rsidP="00344536">
            <w:pPr>
              <w:tabs>
                <w:tab w:val="left" w:pos="0"/>
              </w:tabs>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929,1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1 073,1</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144,0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15,5%</w:t>
            </w:r>
          </w:p>
        </w:tc>
      </w:tr>
      <w:tr w:rsidR="00344536" w:rsidRPr="00FB0140"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44536" w:rsidRPr="00FB0140" w:rsidRDefault="00344536" w:rsidP="00344536">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913,6</w:t>
            </w:r>
          </w:p>
        </w:tc>
        <w:tc>
          <w:tcPr>
            <w:tcW w:w="1241" w:type="dxa"/>
            <w:tcBorders>
              <w:top w:val="nil"/>
              <w:left w:val="nil"/>
              <w:bottom w:val="single" w:sz="4" w:space="0" w:color="auto"/>
              <w:right w:val="single" w:sz="4" w:space="0" w:color="auto"/>
            </w:tcBorders>
            <w:shd w:val="clear" w:color="auto" w:fill="auto"/>
            <w:noWrap/>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758,3</w:t>
            </w:r>
          </w:p>
        </w:tc>
        <w:tc>
          <w:tcPr>
            <w:tcW w:w="1275" w:type="dxa"/>
            <w:tcBorders>
              <w:top w:val="nil"/>
              <w:left w:val="nil"/>
              <w:bottom w:val="single" w:sz="4" w:space="0" w:color="auto"/>
              <w:right w:val="single" w:sz="4" w:space="0" w:color="auto"/>
            </w:tcBorders>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-155,3</w:t>
            </w:r>
          </w:p>
        </w:tc>
        <w:tc>
          <w:tcPr>
            <w:tcW w:w="1134" w:type="dxa"/>
            <w:tcBorders>
              <w:top w:val="nil"/>
              <w:left w:val="nil"/>
              <w:bottom w:val="single" w:sz="4" w:space="0" w:color="auto"/>
              <w:right w:val="single" w:sz="4" w:space="0" w:color="auto"/>
            </w:tcBorders>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-17,0%</w:t>
            </w:r>
          </w:p>
        </w:tc>
      </w:tr>
      <w:tr w:rsidR="00344536" w:rsidRPr="00FB0140" w:rsidTr="00E644FC">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344536" w:rsidRPr="00FB0140" w:rsidRDefault="00344536" w:rsidP="00344536">
            <w:pPr>
              <w:tabs>
                <w:tab w:val="left" w:pos="0"/>
              </w:tabs>
              <w:spacing w:after="0" w:line="240" w:lineRule="auto"/>
              <w:ind w:firstLineChars="500" w:firstLine="1205"/>
              <w:rPr>
                <w:rFonts w:ascii="Times New Roman" w:eastAsia="Times New Roman" w:hAnsi="Times New Roman" w:cs="Times New Roman"/>
                <w:b/>
                <w:sz w:val="24"/>
                <w:szCs w:val="24"/>
                <w:lang w:eastAsia="ru-RU"/>
              </w:rPr>
            </w:pPr>
            <w:r w:rsidRPr="00FB0140">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15,5</w:t>
            </w:r>
          </w:p>
        </w:tc>
        <w:tc>
          <w:tcPr>
            <w:tcW w:w="1241" w:type="dxa"/>
            <w:tcBorders>
              <w:top w:val="nil"/>
              <w:left w:val="nil"/>
              <w:bottom w:val="single" w:sz="4" w:space="0" w:color="auto"/>
              <w:right w:val="single" w:sz="4" w:space="0" w:color="auto"/>
            </w:tcBorders>
            <w:shd w:val="clear" w:color="auto" w:fill="auto"/>
            <w:noWrap/>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314,8</w:t>
            </w:r>
          </w:p>
        </w:tc>
        <w:tc>
          <w:tcPr>
            <w:tcW w:w="1275" w:type="dxa"/>
            <w:tcBorders>
              <w:top w:val="nil"/>
              <w:left w:val="nil"/>
              <w:bottom w:val="single" w:sz="4" w:space="0" w:color="auto"/>
              <w:right w:val="single" w:sz="4" w:space="0" w:color="auto"/>
            </w:tcBorders>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299,4</w:t>
            </w:r>
          </w:p>
        </w:tc>
        <w:tc>
          <w:tcPr>
            <w:tcW w:w="1134" w:type="dxa"/>
            <w:tcBorders>
              <w:top w:val="nil"/>
              <w:left w:val="nil"/>
              <w:bottom w:val="single" w:sz="4" w:space="0" w:color="auto"/>
              <w:right w:val="single" w:sz="4" w:space="0" w:color="auto"/>
            </w:tcBorders>
            <w:vAlign w:val="center"/>
          </w:tcPr>
          <w:p w:rsidR="00344536" w:rsidRPr="00FB0140" w:rsidRDefault="00344536" w:rsidP="00344536">
            <w:pPr>
              <w:spacing w:after="0" w:line="240" w:lineRule="auto"/>
              <w:jc w:val="right"/>
              <w:rPr>
                <w:rFonts w:ascii="Times New Roman" w:hAnsi="Times New Roman" w:cs="Times New Roman"/>
                <w:bCs/>
                <w:i/>
                <w:color w:val="000000" w:themeColor="text1"/>
              </w:rPr>
            </w:pPr>
            <w:r w:rsidRPr="00FB0140">
              <w:rPr>
                <w:rFonts w:ascii="Times New Roman" w:hAnsi="Times New Roman" w:cs="Times New Roman"/>
                <w:bCs/>
                <w:i/>
                <w:color w:val="000000" w:themeColor="text1"/>
              </w:rPr>
              <w:t>1936,6%</w:t>
            </w:r>
          </w:p>
        </w:tc>
      </w:tr>
      <w:tr w:rsidR="00344536" w:rsidRPr="00FB0140" w:rsidTr="00E644FC">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344536" w:rsidRPr="00FB0140" w:rsidRDefault="00344536" w:rsidP="00344536">
            <w:pPr>
              <w:tabs>
                <w:tab w:val="left" w:pos="0"/>
              </w:tabs>
              <w:spacing w:after="0" w:line="240" w:lineRule="auto"/>
              <w:rPr>
                <w:rFonts w:ascii="Times New Roman" w:eastAsia="Times New Roman" w:hAnsi="Times New Roman" w:cs="Times New Roman"/>
                <w:b/>
                <w:bCs/>
                <w:sz w:val="24"/>
                <w:szCs w:val="24"/>
                <w:lang w:eastAsia="ru-RU"/>
              </w:rPr>
            </w:pPr>
            <w:r w:rsidRPr="00FB0140">
              <w:rPr>
                <w:rFonts w:ascii="Times New Roman" w:eastAsia="Times New Roman" w:hAnsi="Times New Roman" w:cs="Times New Roman"/>
                <w:b/>
                <w:bCs/>
                <w:sz w:val="24"/>
                <w:szCs w:val="24"/>
                <w:lang w:eastAsia="ru-RU"/>
              </w:rPr>
              <w:t>Сальдо-переток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-3 088,7</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-70,9</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3 017,8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344536" w:rsidRPr="00FB0140" w:rsidRDefault="00344536" w:rsidP="00344536">
            <w:pPr>
              <w:spacing w:after="0" w:line="240" w:lineRule="auto"/>
              <w:jc w:val="right"/>
              <w:rPr>
                <w:rFonts w:ascii="Times New Roman" w:hAnsi="Times New Roman" w:cs="Times New Roman"/>
                <w:b/>
                <w:bCs/>
                <w:color w:val="000000" w:themeColor="text1"/>
              </w:rPr>
            </w:pPr>
            <w:r w:rsidRPr="00FB0140">
              <w:rPr>
                <w:rFonts w:ascii="Times New Roman" w:hAnsi="Times New Roman" w:cs="Times New Roman"/>
                <w:b/>
                <w:bCs/>
                <w:color w:val="000000" w:themeColor="text1"/>
              </w:rPr>
              <w:t>-97,7%</w:t>
            </w:r>
          </w:p>
        </w:tc>
      </w:tr>
    </w:tbl>
    <w:p w:rsidR="00776138" w:rsidRPr="00FB0140" w:rsidRDefault="00776138" w:rsidP="00BE0F2B">
      <w:pPr>
        <w:tabs>
          <w:tab w:val="left" w:pos="0"/>
        </w:tabs>
        <w:spacing w:after="0" w:line="240" w:lineRule="auto"/>
        <w:ind w:left="283"/>
        <w:rPr>
          <w:rFonts w:ascii="Times New Roman" w:hAnsi="Times New Roman" w:cs="Times New Roman"/>
          <w:sz w:val="24"/>
        </w:rPr>
      </w:pPr>
    </w:p>
    <w:p w:rsidR="00882305" w:rsidRPr="00FB0140" w:rsidRDefault="00882305" w:rsidP="00BE0F2B">
      <w:pPr>
        <w:tabs>
          <w:tab w:val="left" w:pos="0"/>
        </w:tabs>
        <w:spacing w:after="0" w:line="240" w:lineRule="auto"/>
        <w:rPr>
          <w:rFonts w:ascii="Times New Roman" w:hAnsi="Times New Roman" w:cs="Times New Roman"/>
        </w:rPr>
      </w:pPr>
      <w:r w:rsidRPr="00FB0140">
        <w:rPr>
          <w:rFonts w:ascii="Times New Roman" w:hAnsi="Times New Roman" w:cs="Times New Roman"/>
        </w:rPr>
        <w:br w:type="page"/>
      </w:r>
    </w:p>
    <w:p w:rsidR="008647BB" w:rsidRPr="00FB0140" w:rsidRDefault="00B94F51" w:rsidP="00BE0F2B">
      <w:pPr>
        <w:pStyle w:val="1"/>
        <w:tabs>
          <w:tab w:val="left" w:pos="0"/>
          <w:tab w:val="left" w:pos="426"/>
        </w:tabs>
        <w:spacing w:before="0" w:line="240" w:lineRule="auto"/>
        <w:rPr>
          <w:rFonts w:ascii="Times New Roman" w:hAnsi="Times New Roman" w:cs="Times New Roman"/>
          <w:b/>
          <w:color w:val="auto"/>
        </w:rPr>
      </w:pPr>
      <w:bookmarkStart w:id="26" w:name="_Toc34079822"/>
      <w:r w:rsidRPr="00FB0140">
        <w:rPr>
          <w:rFonts w:ascii="Times New Roman" w:hAnsi="Times New Roman" w:cs="Times New Roman"/>
          <w:b/>
          <w:color w:val="auto"/>
        </w:rPr>
        <w:t>РАЗДЕЛ II</w:t>
      </w:r>
      <w:bookmarkEnd w:id="26"/>
    </w:p>
    <w:p w:rsidR="004550F2" w:rsidRPr="00FB0140" w:rsidRDefault="004550F2" w:rsidP="00BE0F2B">
      <w:pPr>
        <w:tabs>
          <w:tab w:val="left" w:pos="0"/>
        </w:tabs>
        <w:spacing w:after="0" w:line="240" w:lineRule="auto"/>
        <w:rPr>
          <w:rFonts w:ascii="Times New Roman" w:hAnsi="Times New Roman" w:cs="Times New Roman"/>
        </w:rPr>
      </w:pPr>
    </w:p>
    <w:p w:rsidR="00387115" w:rsidRPr="00FB0140" w:rsidRDefault="00387115" w:rsidP="00EF4AE4">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27" w:name="_Toc34079823"/>
      <w:r w:rsidRPr="00FB0140">
        <w:rPr>
          <w:rFonts w:ascii="Times New Roman" w:hAnsi="Times New Roman" w:cs="Times New Roman"/>
          <w:b/>
          <w:color w:val="auto"/>
        </w:rPr>
        <w:t>Статус формировани</w:t>
      </w:r>
      <w:r w:rsidR="005070DF" w:rsidRPr="00FB0140">
        <w:rPr>
          <w:rFonts w:ascii="Times New Roman" w:hAnsi="Times New Roman" w:cs="Times New Roman"/>
          <w:b/>
          <w:color w:val="auto"/>
        </w:rPr>
        <w:t>я</w:t>
      </w:r>
      <w:r w:rsidRPr="00FB0140">
        <w:rPr>
          <w:rFonts w:ascii="Times New Roman" w:hAnsi="Times New Roman" w:cs="Times New Roman"/>
          <w:b/>
          <w:color w:val="auto"/>
        </w:rPr>
        <w:t xml:space="preserve"> Общего электроэнергетического рынка Евразийского экономического союза</w:t>
      </w:r>
      <w:bookmarkEnd w:id="27"/>
    </w:p>
    <w:p w:rsidR="00C82DFF" w:rsidRPr="00FB0140" w:rsidRDefault="00C82DFF" w:rsidP="00BE0F2B">
      <w:pPr>
        <w:tabs>
          <w:tab w:val="left" w:pos="0"/>
        </w:tabs>
        <w:spacing w:after="0" w:line="240" w:lineRule="auto"/>
        <w:ind w:firstLine="567"/>
        <w:jc w:val="both"/>
        <w:rPr>
          <w:rFonts w:ascii="Times New Roman" w:hAnsi="Times New Roman" w:cs="Times New Roman"/>
          <w:sz w:val="28"/>
        </w:rPr>
      </w:pPr>
    </w:p>
    <w:p w:rsidR="004F55A3" w:rsidRPr="00FB0140" w:rsidRDefault="004F55A3" w:rsidP="00BE0F2B">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B0140">
        <w:rPr>
          <w:rFonts w:ascii="Times New Roman" w:eastAsia="Calibri" w:hAnsi="Times New Roman" w:cs="Times New Roman"/>
          <w:sz w:val="28"/>
          <w:szCs w:val="28"/>
          <w:lang w:eastAsia="ru-RU"/>
        </w:rPr>
        <w:t xml:space="preserve">Общий электроэнергетический рынок Евразийского экономического союза планируется сформировать путем интеграции национальных рынков электроэнергии </w:t>
      </w:r>
      <w:r w:rsidRPr="00FB0140">
        <w:rPr>
          <w:rFonts w:ascii="Times New Roman" w:eastAsia="Calibri" w:hAnsi="Times New Roman" w:cs="Times New Roman"/>
          <w:b/>
          <w:sz w:val="28"/>
          <w:szCs w:val="28"/>
          <w:lang w:eastAsia="ru-RU"/>
        </w:rPr>
        <w:t xml:space="preserve">Армении, Белоруссии, Казахстана, Кыргызстана и России. </w:t>
      </w:r>
      <w:r w:rsidRPr="00FB0140">
        <w:rPr>
          <w:rFonts w:ascii="Times New Roman" w:eastAsia="Calibri" w:hAnsi="Times New Roman" w:cs="Times New Roman"/>
          <w:sz w:val="28"/>
          <w:szCs w:val="28"/>
          <w:lang w:eastAsia="ru-RU"/>
        </w:rPr>
        <w:t>Государства-члены ЕАЭС проводят поэтапное формирование общего электроэнергетического рынка Союза на основе параллельно работающих электроэнергетических систем с учетом приоритетного обеспечения электрической энергией внутренних потребителей государств-членов.</w:t>
      </w:r>
    </w:p>
    <w:p w:rsidR="004F55A3" w:rsidRPr="00FB0140" w:rsidRDefault="004F55A3" w:rsidP="00BE0F2B">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B0140">
        <w:rPr>
          <w:rFonts w:ascii="Times New Roman" w:eastAsia="Calibri" w:hAnsi="Times New Roman" w:cs="Times New Roman"/>
          <w:sz w:val="28"/>
          <w:szCs w:val="28"/>
          <w:lang w:eastAsia="ru-RU"/>
        </w:rPr>
        <w:t>При этом будет соблюден баланс экономических интересов производителей и потребителей электрической энергии, а также других субъектов ОЭР ЕАЭС.</w:t>
      </w:r>
    </w:p>
    <w:p w:rsidR="004F55A3" w:rsidRPr="00FB0140" w:rsidRDefault="004F55A3" w:rsidP="00BE0F2B">
      <w:pPr>
        <w:tabs>
          <w:tab w:val="left" w:pos="0"/>
        </w:tabs>
        <w:spacing w:after="0" w:line="240" w:lineRule="auto"/>
        <w:ind w:firstLine="709"/>
        <w:jc w:val="both"/>
        <w:rPr>
          <w:rFonts w:ascii="Times New Roman" w:eastAsia="Calibri" w:hAnsi="Times New Roman" w:cs="Times New Roman"/>
          <w:sz w:val="28"/>
          <w:szCs w:val="28"/>
          <w:lang w:eastAsia="ru-RU"/>
        </w:rPr>
      </w:pPr>
      <w:r w:rsidRPr="00FB0140">
        <w:rPr>
          <w:rFonts w:ascii="Times New Roman" w:eastAsia="Calibri" w:hAnsi="Times New Roman" w:cs="Times New Roman"/>
          <w:sz w:val="28"/>
          <w:szCs w:val="28"/>
          <w:lang w:eastAsia="ru-RU"/>
        </w:rPr>
        <w:t>29 мая 2019 года в рамках празднования пятилетия подписания Договора</w:t>
      </w:r>
      <w:r w:rsidRPr="00FB0140">
        <w:rPr>
          <w:rFonts w:ascii="Times New Roman" w:hAnsi="Times New Roman" w:cs="Times New Roman"/>
        </w:rPr>
        <w:t xml:space="preserve"> </w:t>
      </w:r>
      <w:r w:rsidRPr="00FB0140">
        <w:rPr>
          <w:rFonts w:ascii="Times New Roman" w:eastAsia="Calibri" w:hAnsi="Times New Roman" w:cs="Times New Roman"/>
          <w:sz w:val="28"/>
          <w:szCs w:val="28"/>
          <w:lang w:eastAsia="ru-RU"/>
        </w:rPr>
        <w:t>о Евразийском экономическом союзе Высшим советом подписан международный договор о формировании общего электроэнергетического рынка Союза в форме Протокола о внесении изменений в Договор о Евразийском экономическом союзе от 29 мая 2014 года (в части формирования общего электроэнергетического рынка Евразийского экономического союза).</w:t>
      </w:r>
    </w:p>
    <w:p w:rsidR="004F55A3" w:rsidRPr="00FB0140" w:rsidRDefault="004F55A3" w:rsidP="00BE0F2B">
      <w:pPr>
        <w:tabs>
          <w:tab w:val="left" w:pos="0"/>
        </w:tabs>
        <w:spacing w:after="0" w:line="240" w:lineRule="auto"/>
        <w:ind w:firstLine="709"/>
        <w:jc w:val="both"/>
        <w:rPr>
          <w:rFonts w:ascii="Times New Roman" w:eastAsia="Calibri" w:hAnsi="Times New Roman" w:cs="Times New Roman"/>
          <w:sz w:val="28"/>
          <w:szCs w:val="28"/>
          <w:lang w:val="kk-KZ" w:eastAsia="ru-RU"/>
        </w:rPr>
      </w:pPr>
      <w:r w:rsidRPr="00FB0140">
        <w:rPr>
          <w:rFonts w:ascii="Times New Roman" w:eastAsia="Calibri" w:hAnsi="Times New Roman" w:cs="Times New Roman"/>
          <w:sz w:val="28"/>
          <w:szCs w:val="28"/>
          <w:lang w:eastAsia="ru-RU"/>
        </w:rPr>
        <w:t>20 декабря 2019 года Высшим советом принято Решение № 31 «О плане мероприятий, направленных на формирование общего электроэнергетического рынка Евразийского экономического союза», устанавливающего в том числе сроки утверждения и вступления в силу правил функционирования общего электроэнергетического рынка Союза, а также других актов, предусмотренных указанным Протоколом.</w:t>
      </w:r>
    </w:p>
    <w:p w:rsidR="004F55A3" w:rsidRPr="00FB0140" w:rsidRDefault="004F55A3" w:rsidP="00BE0F2B">
      <w:pPr>
        <w:tabs>
          <w:tab w:val="left" w:pos="0"/>
        </w:tabs>
        <w:spacing w:after="0" w:line="240" w:lineRule="auto"/>
        <w:ind w:firstLine="709"/>
        <w:jc w:val="both"/>
        <w:rPr>
          <w:rFonts w:ascii="Times New Roman" w:hAnsi="Times New Roman" w:cs="Times New Roman"/>
          <w:sz w:val="28"/>
        </w:rPr>
      </w:pPr>
      <w:r w:rsidRPr="00FB0140">
        <w:rPr>
          <w:rFonts w:ascii="Times New Roman" w:hAnsi="Times New Roman" w:cs="Times New Roman"/>
          <w:sz w:val="28"/>
        </w:rPr>
        <w:t>В настоящее время государствами-членами ЕАЭС проводится работа по разработке и согласованию правил функционирования ОЭР ЕАЭС.</w:t>
      </w:r>
    </w:p>
    <w:p w:rsidR="0047172D" w:rsidRPr="00FB0140" w:rsidRDefault="004F55A3" w:rsidP="00BE0F2B">
      <w:pPr>
        <w:spacing w:after="0" w:line="240" w:lineRule="auto"/>
        <w:ind w:firstLine="709"/>
        <w:jc w:val="both"/>
        <w:rPr>
          <w:rFonts w:ascii="Times New Roman" w:hAnsi="Times New Roman" w:cs="Times New Roman"/>
          <w:sz w:val="28"/>
        </w:rPr>
      </w:pPr>
      <w:r w:rsidRPr="00FB0140">
        <w:rPr>
          <w:rFonts w:ascii="Times New Roman" w:hAnsi="Times New Roman" w:cs="Times New Roman"/>
          <w:sz w:val="28"/>
        </w:rPr>
        <w:t xml:space="preserve">В 2020 году проведено 13-е заседание Консультативного комитета по электроэнергетике при Коллегии ЕЭК в заочном формате (26 мая 2020 год), </w:t>
      </w:r>
      <w:r w:rsidR="00344536" w:rsidRPr="00FB0140">
        <w:rPr>
          <w:rFonts w:ascii="Times New Roman" w:hAnsi="Times New Roman" w:cs="Times New Roman"/>
          <w:sz w:val="28"/>
        </w:rPr>
        <w:t>четыре</w:t>
      </w:r>
      <w:r w:rsidR="0047172D" w:rsidRPr="00FB0140">
        <w:rPr>
          <w:rFonts w:ascii="Times New Roman" w:hAnsi="Times New Roman" w:cs="Times New Roman"/>
          <w:sz w:val="28"/>
        </w:rPr>
        <w:t xml:space="preserve"> заседания Подкомитета по формированию ОЭР ЕАЭС Консультативного комитета по электроэнергетике при Коллегии ЕЭК (49-е заседание 23-24 января 2020 года, 50-е заседание 29 мая 2020 года, 51-е заседание 02 июля 2020 года) и одно совещание членов Подкомитета (20-21 февраля 2020 года). </w:t>
      </w:r>
    </w:p>
    <w:p w:rsidR="004F55A3" w:rsidRPr="00FB0140" w:rsidRDefault="004F55A3" w:rsidP="00BE0F2B">
      <w:pPr>
        <w:tabs>
          <w:tab w:val="left" w:pos="0"/>
        </w:tabs>
        <w:spacing w:after="0" w:line="240" w:lineRule="auto"/>
        <w:ind w:firstLine="709"/>
        <w:jc w:val="both"/>
        <w:rPr>
          <w:rFonts w:ascii="Times New Roman" w:hAnsi="Times New Roman" w:cs="Times New Roman"/>
          <w:sz w:val="28"/>
        </w:rPr>
      </w:pPr>
      <w:r w:rsidRPr="00FB0140">
        <w:rPr>
          <w:rFonts w:ascii="Times New Roman" w:hAnsi="Times New Roman" w:cs="Times New Roman"/>
          <w:sz w:val="28"/>
        </w:rPr>
        <w:t xml:space="preserve">Работа по формированию общего электроэнергетического рынка Евразийского экономического союза продолжается. </w:t>
      </w:r>
    </w:p>
    <w:p w:rsidR="00E37727" w:rsidRPr="00FB0140" w:rsidRDefault="00E37727" w:rsidP="00BE0F2B">
      <w:pPr>
        <w:tabs>
          <w:tab w:val="left" w:pos="0"/>
        </w:tabs>
        <w:spacing w:after="0" w:line="240" w:lineRule="auto"/>
        <w:ind w:firstLine="709"/>
        <w:jc w:val="both"/>
        <w:rPr>
          <w:rFonts w:ascii="Times New Roman" w:hAnsi="Times New Roman" w:cs="Times New Roman"/>
          <w:sz w:val="28"/>
        </w:rPr>
      </w:pPr>
    </w:p>
    <w:p w:rsidR="006432D5" w:rsidRPr="00FB0140" w:rsidRDefault="006432D5" w:rsidP="00BE0F2B">
      <w:pPr>
        <w:tabs>
          <w:tab w:val="left" w:pos="0"/>
        </w:tabs>
        <w:spacing w:after="0" w:line="240" w:lineRule="auto"/>
        <w:ind w:firstLine="567"/>
        <w:jc w:val="both"/>
        <w:rPr>
          <w:rFonts w:ascii="Times New Roman" w:hAnsi="Times New Roman" w:cs="Times New Roman"/>
          <w:sz w:val="28"/>
        </w:rPr>
      </w:pPr>
    </w:p>
    <w:p w:rsidR="00387115" w:rsidRPr="00FB0140" w:rsidRDefault="00387115" w:rsidP="00EF4AE4">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bookmarkStart w:id="28" w:name="_Toc34079824"/>
      <w:r w:rsidRPr="00FB0140">
        <w:rPr>
          <w:rFonts w:ascii="Times New Roman" w:hAnsi="Times New Roman" w:cs="Times New Roman"/>
          <w:b/>
          <w:color w:val="auto"/>
        </w:rPr>
        <w:t xml:space="preserve">Статус формирования </w:t>
      </w:r>
      <w:r w:rsidR="005070DF" w:rsidRPr="00FB0140">
        <w:rPr>
          <w:rFonts w:ascii="Times New Roman" w:hAnsi="Times New Roman" w:cs="Times New Roman"/>
          <w:b/>
          <w:color w:val="auto"/>
        </w:rPr>
        <w:t>Э</w:t>
      </w:r>
      <w:r w:rsidRPr="00FB0140">
        <w:rPr>
          <w:rFonts w:ascii="Times New Roman" w:hAnsi="Times New Roman" w:cs="Times New Roman"/>
          <w:b/>
          <w:color w:val="auto"/>
        </w:rPr>
        <w:t>лектроэнергетического рынка СНГ</w:t>
      </w:r>
      <w:bookmarkEnd w:id="28"/>
    </w:p>
    <w:p w:rsidR="00387115" w:rsidRPr="00FB0140" w:rsidRDefault="00387115" w:rsidP="00BE0F2B">
      <w:pPr>
        <w:tabs>
          <w:tab w:val="left" w:pos="0"/>
        </w:tabs>
        <w:spacing w:after="0" w:line="240" w:lineRule="auto"/>
        <w:jc w:val="both"/>
        <w:rPr>
          <w:rFonts w:ascii="Times New Roman" w:hAnsi="Times New Roman" w:cs="Times New Roman"/>
          <w:sz w:val="20"/>
        </w:rPr>
      </w:pPr>
    </w:p>
    <w:p w:rsidR="0007078E" w:rsidRPr="00FB0140" w:rsidRDefault="006B1F89" w:rsidP="00BE0F2B">
      <w:pPr>
        <w:tabs>
          <w:tab w:val="left" w:pos="0"/>
        </w:tabs>
        <w:spacing w:after="0" w:line="240" w:lineRule="auto"/>
        <w:ind w:firstLine="708"/>
        <w:jc w:val="both"/>
        <w:rPr>
          <w:rFonts w:ascii="Times New Roman" w:hAnsi="Times New Roman" w:cs="Times New Roman"/>
          <w:sz w:val="28"/>
        </w:rPr>
      </w:pPr>
      <w:r w:rsidRPr="00FB0140">
        <w:rPr>
          <w:rFonts w:ascii="Times New Roman" w:hAnsi="Times New Roman" w:cs="Times New Roman"/>
          <w:sz w:val="28"/>
        </w:rPr>
        <w:t>С 1992 года проведено 5</w:t>
      </w:r>
      <w:r w:rsidR="00CE4C8F" w:rsidRPr="00FB0140">
        <w:rPr>
          <w:rFonts w:ascii="Times New Roman" w:hAnsi="Times New Roman" w:cs="Times New Roman"/>
          <w:sz w:val="28"/>
        </w:rPr>
        <w:t>5</w:t>
      </w:r>
      <w:r w:rsidRPr="00FB0140">
        <w:rPr>
          <w:rFonts w:ascii="Times New Roman" w:hAnsi="Times New Roman" w:cs="Times New Roman"/>
          <w:sz w:val="28"/>
        </w:rPr>
        <w:t xml:space="preserve"> заседани</w:t>
      </w:r>
      <w:r w:rsidR="00CE4C8F" w:rsidRPr="00FB0140">
        <w:rPr>
          <w:rFonts w:ascii="Times New Roman" w:hAnsi="Times New Roman" w:cs="Times New Roman"/>
          <w:sz w:val="28"/>
        </w:rPr>
        <w:t>й</w:t>
      </w:r>
      <w:r w:rsidR="0007078E" w:rsidRPr="00FB0140">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FB0140" w:rsidRDefault="0007078E" w:rsidP="00BE0F2B">
      <w:pPr>
        <w:tabs>
          <w:tab w:val="left" w:pos="0"/>
        </w:tabs>
        <w:spacing w:after="0" w:line="240" w:lineRule="auto"/>
        <w:ind w:firstLine="708"/>
        <w:jc w:val="both"/>
        <w:rPr>
          <w:rFonts w:ascii="Times New Roman" w:hAnsi="Times New Roman" w:cs="Times New Roman"/>
          <w:sz w:val="28"/>
        </w:rPr>
      </w:pPr>
      <w:r w:rsidRPr="00FB0140">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FB0140">
        <w:rPr>
          <w:rFonts w:ascii="Times New Roman" w:hAnsi="Times New Roman" w:cs="Times New Roman"/>
          <w:sz w:val="28"/>
        </w:rPr>
        <w:t>.</w:t>
      </w:r>
    </w:p>
    <w:p w:rsidR="006C3EF7" w:rsidRPr="00FB0140" w:rsidRDefault="006C3EF7" w:rsidP="00BE0F2B">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FB0140" w:rsidTr="006C3EF7">
        <w:trPr>
          <w:trHeight w:val="845"/>
        </w:trPr>
        <w:tc>
          <w:tcPr>
            <w:tcW w:w="217" w:type="pct"/>
            <w:vAlign w:val="center"/>
          </w:tcPr>
          <w:p w:rsidR="006C3EF7" w:rsidRPr="00FB0140" w:rsidRDefault="006C3EF7" w:rsidP="00BE0F2B">
            <w:pPr>
              <w:tabs>
                <w:tab w:val="left" w:pos="0"/>
              </w:tabs>
              <w:spacing w:after="0" w:line="240" w:lineRule="auto"/>
              <w:jc w:val="center"/>
              <w:rPr>
                <w:rFonts w:ascii="Times New Roman" w:hAnsi="Times New Roman" w:cs="Times New Roman"/>
                <w:b/>
                <w:sz w:val="24"/>
                <w:szCs w:val="24"/>
              </w:rPr>
            </w:pPr>
            <w:r w:rsidRPr="00FB0140">
              <w:rPr>
                <w:rFonts w:ascii="Times New Roman" w:hAnsi="Times New Roman" w:cs="Times New Roman"/>
                <w:b/>
                <w:sz w:val="24"/>
                <w:szCs w:val="24"/>
              </w:rPr>
              <w:t>№</w:t>
            </w:r>
          </w:p>
        </w:tc>
        <w:tc>
          <w:tcPr>
            <w:tcW w:w="1531" w:type="pct"/>
            <w:vAlign w:val="center"/>
          </w:tcPr>
          <w:p w:rsidR="006C3EF7" w:rsidRPr="00FB0140" w:rsidRDefault="006C3EF7" w:rsidP="00BE0F2B">
            <w:pPr>
              <w:tabs>
                <w:tab w:val="left" w:pos="0"/>
              </w:tabs>
              <w:spacing w:after="0" w:line="240" w:lineRule="auto"/>
              <w:jc w:val="center"/>
              <w:rPr>
                <w:rFonts w:ascii="Times New Roman" w:hAnsi="Times New Roman" w:cs="Times New Roman"/>
                <w:b/>
                <w:sz w:val="24"/>
                <w:szCs w:val="24"/>
              </w:rPr>
            </w:pPr>
            <w:r w:rsidRPr="00FB0140">
              <w:rPr>
                <w:rFonts w:ascii="Times New Roman" w:hAnsi="Times New Roman" w:cs="Times New Roman"/>
                <w:b/>
                <w:sz w:val="24"/>
                <w:szCs w:val="24"/>
              </w:rPr>
              <w:t>Мероприятия</w:t>
            </w:r>
          </w:p>
        </w:tc>
        <w:tc>
          <w:tcPr>
            <w:tcW w:w="806" w:type="pct"/>
          </w:tcPr>
          <w:p w:rsidR="006C3EF7" w:rsidRPr="00FB0140" w:rsidRDefault="006C3EF7" w:rsidP="00BE0F2B">
            <w:pPr>
              <w:tabs>
                <w:tab w:val="left" w:pos="0"/>
              </w:tabs>
              <w:spacing w:after="0" w:line="240" w:lineRule="auto"/>
              <w:jc w:val="center"/>
              <w:rPr>
                <w:rFonts w:ascii="Times New Roman" w:hAnsi="Times New Roman" w:cs="Times New Roman"/>
                <w:b/>
                <w:sz w:val="24"/>
                <w:szCs w:val="24"/>
              </w:rPr>
            </w:pPr>
            <w:r w:rsidRPr="00FB0140">
              <w:rPr>
                <w:rFonts w:ascii="Times New Roman" w:hAnsi="Times New Roman" w:cs="Times New Roman"/>
                <w:b/>
                <w:sz w:val="24"/>
                <w:szCs w:val="24"/>
              </w:rPr>
              <w:t>Срок исполнения</w:t>
            </w:r>
          </w:p>
        </w:tc>
        <w:tc>
          <w:tcPr>
            <w:tcW w:w="2446" w:type="pct"/>
            <w:vAlign w:val="center"/>
          </w:tcPr>
          <w:p w:rsidR="006C3EF7" w:rsidRPr="00FB0140" w:rsidRDefault="006C3EF7" w:rsidP="00BE0F2B">
            <w:pPr>
              <w:tabs>
                <w:tab w:val="left" w:pos="0"/>
              </w:tabs>
              <w:spacing w:after="0" w:line="240" w:lineRule="auto"/>
              <w:jc w:val="center"/>
              <w:rPr>
                <w:rFonts w:ascii="Times New Roman" w:hAnsi="Times New Roman" w:cs="Times New Roman"/>
                <w:b/>
                <w:sz w:val="24"/>
                <w:szCs w:val="24"/>
              </w:rPr>
            </w:pPr>
            <w:r w:rsidRPr="00FB0140">
              <w:rPr>
                <w:rFonts w:ascii="Times New Roman" w:hAnsi="Times New Roman" w:cs="Times New Roman"/>
                <w:b/>
                <w:sz w:val="24"/>
                <w:szCs w:val="24"/>
              </w:rPr>
              <w:t>Текущий статус</w:t>
            </w:r>
          </w:p>
        </w:tc>
      </w:tr>
      <w:tr w:rsidR="006C3EF7" w:rsidRPr="00FB0140" w:rsidTr="006C3EF7">
        <w:trPr>
          <w:trHeight w:val="1560"/>
        </w:trPr>
        <w:tc>
          <w:tcPr>
            <w:tcW w:w="217"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1</w:t>
            </w:r>
          </w:p>
        </w:tc>
        <w:tc>
          <w:tcPr>
            <w:tcW w:w="1531" w:type="pct"/>
          </w:tcPr>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 xml:space="preserve">Реализация мероприятий согласно разделу </w:t>
            </w:r>
            <w:r w:rsidRPr="00FB0140">
              <w:rPr>
                <w:rFonts w:ascii="Times New Roman" w:hAnsi="Times New Roman" w:cs="Times New Roman"/>
                <w:sz w:val="24"/>
                <w:szCs w:val="24"/>
                <w:lang w:val="en-US"/>
              </w:rPr>
              <w:t>II</w:t>
            </w:r>
            <w:r w:rsidRPr="00FB0140">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2016-2020 гг.</w:t>
            </w:r>
          </w:p>
        </w:tc>
        <w:tc>
          <w:tcPr>
            <w:tcW w:w="2446" w:type="pct"/>
          </w:tcPr>
          <w:p w:rsidR="006C3EF7" w:rsidRPr="00FB0140" w:rsidRDefault="006C3EF7" w:rsidP="00BE0F2B">
            <w:pPr>
              <w:pStyle w:val="ae"/>
              <w:tabs>
                <w:tab w:val="left" w:pos="0"/>
              </w:tabs>
              <w:jc w:val="both"/>
              <w:rPr>
                <w:sz w:val="24"/>
                <w:szCs w:val="24"/>
              </w:rPr>
            </w:pPr>
            <w:r w:rsidRPr="00FB0140">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FB0140" w:rsidRDefault="006C3EF7" w:rsidP="00BE0F2B">
            <w:pPr>
              <w:pStyle w:val="ae"/>
              <w:tabs>
                <w:tab w:val="left" w:pos="0"/>
              </w:tabs>
              <w:jc w:val="both"/>
              <w:rPr>
                <w:sz w:val="24"/>
                <w:szCs w:val="24"/>
                <w:lang w:val="en-US"/>
              </w:rPr>
            </w:pPr>
          </w:p>
        </w:tc>
      </w:tr>
      <w:tr w:rsidR="006C3EF7" w:rsidRPr="00FB0140" w:rsidTr="006C3EF7">
        <w:trPr>
          <w:trHeight w:val="560"/>
        </w:trPr>
        <w:tc>
          <w:tcPr>
            <w:tcW w:w="217"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2</w:t>
            </w:r>
          </w:p>
        </w:tc>
        <w:tc>
          <w:tcPr>
            <w:tcW w:w="1531" w:type="pct"/>
          </w:tcPr>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Подготовка проекта Порядка урегулирования отклонений от согласованных значений межгосударственных перетоков электрической энергии.</w:t>
            </w:r>
          </w:p>
        </w:tc>
        <w:tc>
          <w:tcPr>
            <w:tcW w:w="806"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2016-2017 гг.</w:t>
            </w:r>
          </w:p>
        </w:tc>
        <w:tc>
          <w:tcPr>
            <w:tcW w:w="2446" w:type="pct"/>
          </w:tcPr>
          <w:p w:rsidR="006C3EF7" w:rsidRPr="00FB0140" w:rsidRDefault="006C3EF7" w:rsidP="00BE0F2B">
            <w:pPr>
              <w:tabs>
                <w:tab w:val="left" w:pos="0"/>
              </w:tabs>
              <w:spacing w:after="0" w:line="240" w:lineRule="auto"/>
              <w:jc w:val="both"/>
              <w:rPr>
                <w:rFonts w:ascii="Times New Roman" w:hAnsi="Times New Roman" w:cs="Times New Roman"/>
                <w:sz w:val="24"/>
                <w:szCs w:val="24"/>
                <w:lang w:val="en-US"/>
              </w:rPr>
            </w:pPr>
            <w:r w:rsidRPr="00FB0140">
              <w:rPr>
                <w:rFonts w:ascii="Times New Roman" w:hAnsi="Times New Roman" w:cs="Times New Roman"/>
                <w:sz w:val="24"/>
                <w:szCs w:val="24"/>
              </w:rPr>
              <w:t>Решение о разработке Порядка урегулирования отклонений от согласованных значений межгосударственных перетоков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 Работа продолжается.</w:t>
            </w:r>
          </w:p>
        </w:tc>
      </w:tr>
      <w:tr w:rsidR="006C3EF7" w:rsidRPr="00FB0140" w:rsidTr="006C3EF7">
        <w:trPr>
          <w:trHeight w:val="2088"/>
        </w:trPr>
        <w:tc>
          <w:tcPr>
            <w:tcW w:w="217"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3</w:t>
            </w:r>
          </w:p>
        </w:tc>
        <w:tc>
          <w:tcPr>
            <w:tcW w:w="1531" w:type="pct"/>
          </w:tcPr>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2018-2020 гг.</w:t>
            </w:r>
          </w:p>
        </w:tc>
        <w:tc>
          <w:tcPr>
            <w:tcW w:w="2446" w:type="pct"/>
          </w:tcPr>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линиях электропередачи.</w:t>
            </w:r>
          </w:p>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FB0140" w:rsidTr="006C3EF7">
        <w:trPr>
          <w:trHeight w:val="1410"/>
        </w:trPr>
        <w:tc>
          <w:tcPr>
            <w:tcW w:w="217"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4</w:t>
            </w:r>
          </w:p>
        </w:tc>
        <w:tc>
          <w:tcPr>
            <w:tcW w:w="1531" w:type="pct"/>
          </w:tcPr>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FB0140" w:rsidRDefault="006C3EF7" w:rsidP="00BE0F2B">
            <w:pPr>
              <w:tabs>
                <w:tab w:val="left" w:pos="0"/>
              </w:tabs>
              <w:spacing w:after="0" w:line="240" w:lineRule="auto"/>
              <w:jc w:val="both"/>
              <w:rPr>
                <w:rFonts w:ascii="Times New Roman" w:hAnsi="Times New Roman" w:cs="Times New Roman"/>
                <w:sz w:val="24"/>
                <w:szCs w:val="24"/>
              </w:rPr>
            </w:pPr>
          </w:p>
          <w:p w:rsidR="006C3EF7" w:rsidRPr="00FB0140" w:rsidRDefault="006C3EF7" w:rsidP="00BE0F2B">
            <w:pPr>
              <w:tabs>
                <w:tab w:val="left" w:pos="0"/>
              </w:tabs>
              <w:spacing w:after="0" w:line="240" w:lineRule="auto"/>
              <w:jc w:val="both"/>
              <w:rPr>
                <w:rFonts w:ascii="Times New Roman" w:hAnsi="Times New Roman" w:cs="Times New Roman"/>
                <w:sz w:val="24"/>
                <w:szCs w:val="24"/>
              </w:rPr>
            </w:pPr>
          </w:p>
        </w:tc>
        <w:tc>
          <w:tcPr>
            <w:tcW w:w="806"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2018-2020 гг.</w:t>
            </w:r>
          </w:p>
        </w:tc>
        <w:tc>
          <w:tcPr>
            <w:tcW w:w="2446" w:type="pct"/>
          </w:tcPr>
          <w:p w:rsidR="006C3EF7" w:rsidRPr="00FB0140" w:rsidRDefault="006C3EF7" w:rsidP="00BE0F2B">
            <w:pPr>
              <w:tabs>
                <w:tab w:val="left" w:pos="0"/>
              </w:tabs>
              <w:autoSpaceDE w:val="0"/>
              <w:autoSpaceDN w:val="0"/>
              <w:adjustRightInd w:val="0"/>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Унифицированный формат макета обмена данными по учёту межгосударственных перетоков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w:t>
            </w:r>
          </w:p>
        </w:tc>
      </w:tr>
      <w:tr w:rsidR="006C3EF7" w:rsidRPr="00FB0140" w:rsidTr="006C3EF7">
        <w:trPr>
          <w:trHeight w:val="2404"/>
        </w:trPr>
        <w:tc>
          <w:tcPr>
            <w:tcW w:w="217"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5</w:t>
            </w:r>
          </w:p>
        </w:tc>
        <w:tc>
          <w:tcPr>
            <w:tcW w:w="1531" w:type="pct"/>
          </w:tcPr>
          <w:p w:rsidR="006C3EF7" w:rsidRPr="00FB0140" w:rsidRDefault="006C3EF7" w:rsidP="00BE0F2B">
            <w:pPr>
              <w:tabs>
                <w:tab w:val="left" w:pos="0"/>
              </w:tabs>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FB0140" w:rsidRDefault="006C3EF7" w:rsidP="00BE0F2B">
            <w:pPr>
              <w:tabs>
                <w:tab w:val="left" w:pos="0"/>
              </w:tabs>
              <w:spacing w:after="0" w:line="240" w:lineRule="auto"/>
              <w:jc w:val="center"/>
              <w:rPr>
                <w:rFonts w:ascii="Times New Roman" w:hAnsi="Times New Roman" w:cs="Times New Roman"/>
                <w:sz w:val="24"/>
                <w:szCs w:val="24"/>
              </w:rPr>
            </w:pPr>
            <w:r w:rsidRPr="00FB0140">
              <w:rPr>
                <w:rFonts w:ascii="Times New Roman" w:hAnsi="Times New Roman" w:cs="Times New Roman"/>
                <w:sz w:val="24"/>
                <w:szCs w:val="24"/>
              </w:rPr>
              <w:t>2020-2025 гг.</w:t>
            </w:r>
          </w:p>
        </w:tc>
        <w:tc>
          <w:tcPr>
            <w:tcW w:w="2446" w:type="pct"/>
          </w:tcPr>
          <w:p w:rsidR="006C3EF7" w:rsidRPr="00FB0140" w:rsidRDefault="006C3EF7" w:rsidP="00BE0F2B">
            <w:pPr>
              <w:tabs>
                <w:tab w:val="left" w:pos="0"/>
              </w:tabs>
              <w:autoSpaceDE w:val="0"/>
              <w:autoSpaceDN w:val="0"/>
              <w:adjustRightInd w:val="0"/>
              <w:spacing w:after="0" w:line="240" w:lineRule="auto"/>
              <w:jc w:val="both"/>
              <w:rPr>
                <w:rFonts w:ascii="Times New Roman" w:hAnsi="Times New Roman" w:cs="Times New Roman"/>
                <w:sz w:val="24"/>
                <w:szCs w:val="24"/>
              </w:rPr>
            </w:pPr>
            <w:r w:rsidRPr="00FB0140">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FB0140" w:rsidRDefault="008928B2" w:rsidP="00BE0F2B">
      <w:pPr>
        <w:pStyle w:val="ad"/>
        <w:tabs>
          <w:tab w:val="left" w:pos="0"/>
        </w:tabs>
        <w:spacing w:before="0" w:beforeAutospacing="0" w:after="0" w:afterAutospacing="0"/>
        <w:ind w:firstLine="709"/>
        <w:jc w:val="both"/>
        <w:rPr>
          <w:rStyle w:val="body-c-c0"/>
          <w:sz w:val="28"/>
        </w:rPr>
      </w:pPr>
    </w:p>
    <w:p w:rsidR="003B36BC" w:rsidRPr="00FB0140" w:rsidRDefault="001D295E" w:rsidP="00EF4AE4">
      <w:pPr>
        <w:pStyle w:val="1"/>
        <w:numPr>
          <w:ilvl w:val="0"/>
          <w:numId w:val="1"/>
        </w:numPr>
        <w:tabs>
          <w:tab w:val="left" w:pos="0"/>
          <w:tab w:val="left" w:pos="426"/>
        </w:tabs>
        <w:spacing w:before="0" w:line="240" w:lineRule="auto"/>
        <w:ind w:left="0" w:firstLine="0"/>
        <w:jc w:val="center"/>
        <w:rPr>
          <w:rFonts w:ascii="Times New Roman" w:hAnsi="Times New Roman" w:cs="Times New Roman"/>
          <w:b/>
          <w:color w:val="auto"/>
        </w:rPr>
      </w:pPr>
      <w:r w:rsidRPr="00FB0140">
        <w:rPr>
          <w:rFonts w:ascii="Times New Roman" w:hAnsi="Times New Roman" w:cs="Times New Roman"/>
          <w:b/>
          <w:color w:val="auto"/>
        </w:rPr>
        <w:t xml:space="preserve"> </w:t>
      </w:r>
      <w:bookmarkStart w:id="29" w:name="_Toc34079825"/>
      <w:r w:rsidR="00A32670" w:rsidRPr="00FB0140">
        <w:rPr>
          <w:rFonts w:ascii="Times New Roman" w:hAnsi="Times New Roman" w:cs="Times New Roman"/>
          <w:b/>
          <w:color w:val="auto"/>
        </w:rPr>
        <w:t xml:space="preserve">Статус реализации проекта </w:t>
      </w:r>
      <w:r w:rsidR="00A11C70" w:rsidRPr="00FB0140">
        <w:rPr>
          <w:rFonts w:ascii="Times New Roman" w:hAnsi="Times New Roman" w:cs="Times New Roman"/>
          <w:b/>
          <w:color w:val="auto"/>
        </w:rPr>
        <w:t>CASA-1000</w:t>
      </w:r>
      <w:bookmarkEnd w:id="29"/>
    </w:p>
    <w:p w:rsidR="00C82DFF" w:rsidRPr="00FB0140" w:rsidRDefault="00C82DFF" w:rsidP="00BE0F2B">
      <w:pPr>
        <w:pStyle w:val="ad"/>
        <w:tabs>
          <w:tab w:val="left" w:pos="0"/>
        </w:tabs>
        <w:spacing w:before="0" w:beforeAutospacing="0" w:after="0" w:afterAutospacing="0"/>
        <w:ind w:firstLine="709"/>
        <w:jc w:val="both"/>
        <w:rPr>
          <w:rStyle w:val="body-c-c0"/>
          <w:i/>
          <w:sz w:val="28"/>
          <w:lang w:val="en-US"/>
        </w:rPr>
      </w:pPr>
    </w:p>
    <w:p w:rsidR="006C42DB" w:rsidRPr="00FB0140" w:rsidRDefault="006C42DB" w:rsidP="00BE0F2B">
      <w:pPr>
        <w:pStyle w:val="ad"/>
        <w:tabs>
          <w:tab w:val="left" w:pos="0"/>
        </w:tabs>
        <w:spacing w:before="0" w:beforeAutospacing="0" w:after="0" w:afterAutospacing="0"/>
        <w:ind w:firstLine="709"/>
        <w:jc w:val="both"/>
        <w:rPr>
          <w:rStyle w:val="body-c-c0"/>
          <w:i/>
          <w:sz w:val="28"/>
        </w:rPr>
      </w:pPr>
      <w:r w:rsidRPr="00FB0140">
        <w:rPr>
          <w:rStyle w:val="body-c-c0"/>
          <w:i/>
          <w:sz w:val="28"/>
        </w:rPr>
        <w:t>Описание проекта</w:t>
      </w:r>
    </w:p>
    <w:p w:rsidR="006C42DB" w:rsidRPr="00FB0140" w:rsidRDefault="006C42DB" w:rsidP="00BE0F2B">
      <w:pPr>
        <w:pStyle w:val="ad"/>
        <w:tabs>
          <w:tab w:val="left" w:pos="0"/>
        </w:tabs>
        <w:spacing w:before="0" w:beforeAutospacing="0" w:after="0" w:afterAutospacing="0"/>
        <w:ind w:firstLine="709"/>
        <w:jc w:val="both"/>
        <w:rPr>
          <w:rStyle w:val="body-c-c0"/>
          <w:sz w:val="28"/>
        </w:rPr>
      </w:pPr>
      <w:r w:rsidRPr="00FB0140">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FB0140" w:rsidRDefault="006C42DB" w:rsidP="00BE0F2B">
      <w:pPr>
        <w:pStyle w:val="ad"/>
        <w:tabs>
          <w:tab w:val="left" w:pos="0"/>
        </w:tabs>
        <w:spacing w:before="0" w:beforeAutospacing="0" w:after="0" w:afterAutospacing="0"/>
        <w:ind w:firstLine="709"/>
        <w:jc w:val="both"/>
        <w:rPr>
          <w:rStyle w:val="body-c-c0"/>
          <w:sz w:val="28"/>
        </w:rPr>
      </w:pPr>
      <w:r w:rsidRPr="00FB0140">
        <w:rPr>
          <w:rStyle w:val="body-c-c0"/>
          <w:sz w:val="28"/>
        </w:rPr>
        <w:t>Начать поставки электроэнергии по проекту CASA-1000 планируется в 2021 году. Предполагается, что пропускная способность ЛЭП составит порядка 6 млрд. кВтч в год.</w:t>
      </w:r>
    </w:p>
    <w:p w:rsidR="006C42DB" w:rsidRPr="00FB0140" w:rsidRDefault="006C42DB" w:rsidP="00BE0F2B">
      <w:pPr>
        <w:pStyle w:val="ad"/>
        <w:tabs>
          <w:tab w:val="left" w:pos="0"/>
        </w:tabs>
        <w:spacing w:before="0" w:beforeAutospacing="0" w:after="0" w:afterAutospacing="0"/>
        <w:ind w:firstLine="709"/>
        <w:jc w:val="both"/>
        <w:rPr>
          <w:rStyle w:val="body-c-c0"/>
          <w:sz w:val="28"/>
        </w:rPr>
      </w:pPr>
      <w:r w:rsidRPr="00FB0140">
        <w:rPr>
          <w:bCs/>
          <w:sz w:val="28"/>
        </w:rPr>
        <w:t>Процесс финансирования проекта управляется Всемирным банком.</w:t>
      </w:r>
    </w:p>
    <w:p w:rsidR="006C42DB" w:rsidRPr="00FB0140" w:rsidRDefault="006C42DB" w:rsidP="00BE0F2B">
      <w:pPr>
        <w:pStyle w:val="ad"/>
        <w:tabs>
          <w:tab w:val="left" w:pos="0"/>
        </w:tabs>
        <w:spacing w:before="0" w:beforeAutospacing="0" w:after="0" w:afterAutospacing="0"/>
        <w:ind w:firstLine="709"/>
        <w:jc w:val="both"/>
        <w:rPr>
          <w:rStyle w:val="body-c-c0"/>
          <w:sz w:val="28"/>
        </w:rPr>
      </w:pPr>
      <w:r w:rsidRPr="00FB0140">
        <w:rPr>
          <w:rStyle w:val="body-c-c0"/>
          <w:sz w:val="28"/>
        </w:rPr>
        <w:t xml:space="preserve">Проект разделен на два основных пакета: </w:t>
      </w:r>
    </w:p>
    <w:p w:rsidR="006C42DB" w:rsidRPr="00FB0140" w:rsidRDefault="006C42DB" w:rsidP="00EF4AE4">
      <w:pPr>
        <w:pStyle w:val="ad"/>
        <w:numPr>
          <w:ilvl w:val="0"/>
          <w:numId w:val="2"/>
        </w:numPr>
        <w:tabs>
          <w:tab w:val="left" w:pos="0"/>
        </w:tabs>
        <w:spacing w:before="0" w:beforeAutospacing="0" w:after="0" w:afterAutospacing="0"/>
        <w:ind w:left="426" w:hanging="426"/>
        <w:jc w:val="both"/>
        <w:rPr>
          <w:rStyle w:val="body-c-c0"/>
          <w:sz w:val="28"/>
          <w:szCs w:val="28"/>
        </w:rPr>
      </w:pPr>
      <w:r w:rsidRPr="00FB0140">
        <w:rPr>
          <w:rStyle w:val="body-c-c0"/>
          <w:sz w:val="28"/>
          <w:szCs w:val="28"/>
        </w:rPr>
        <w:t>строительство линий электропередачи в Кыргызстане, Таджикистане, Афганистане</w:t>
      </w:r>
      <w:r w:rsidRPr="00FB0140" w:rsidDel="00473F4C">
        <w:rPr>
          <w:rStyle w:val="body-c-c0"/>
          <w:sz w:val="28"/>
          <w:szCs w:val="28"/>
        </w:rPr>
        <w:t xml:space="preserve"> </w:t>
      </w:r>
      <w:r w:rsidRPr="00FB0140">
        <w:rPr>
          <w:rStyle w:val="body-c-c0"/>
          <w:sz w:val="28"/>
          <w:szCs w:val="28"/>
        </w:rPr>
        <w:t>и Пакистане;</w:t>
      </w:r>
    </w:p>
    <w:p w:rsidR="006C42DB" w:rsidRPr="00FB0140" w:rsidRDefault="006C42DB" w:rsidP="00EF4AE4">
      <w:pPr>
        <w:pStyle w:val="ad"/>
        <w:numPr>
          <w:ilvl w:val="0"/>
          <w:numId w:val="2"/>
        </w:numPr>
        <w:tabs>
          <w:tab w:val="left" w:pos="0"/>
        </w:tabs>
        <w:spacing w:before="0" w:beforeAutospacing="0" w:after="0" w:afterAutospacing="0"/>
        <w:ind w:left="426" w:hanging="426"/>
        <w:jc w:val="both"/>
        <w:rPr>
          <w:rStyle w:val="body-c-c0"/>
          <w:sz w:val="28"/>
          <w:szCs w:val="28"/>
        </w:rPr>
      </w:pPr>
      <w:r w:rsidRPr="00FB0140">
        <w:rPr>
          <w:rStyle w:val="body-c-c0"/>
          <w:sz w:val="28"/>
          <w:szCs w:val="28"/>
        </w:rPr>
        <w:t>строительство двух-терминальных преобразовательных подстанций постоянного тока высокого напряжения (ПТВН) в Пакистане и Таджикистане.</w:t>
      </w:r>
    </w:p>
    <w:p w:rsidR="00410BC9" w:rsidRPr="00FB0140" w:rsidRDefault="006C42DB" w:rsidP="00BE0F2B">
      <w:pPr>
        <w:pStyle w:val="ad"/>
        <w:tabs>
          <w:tab w:val="left" w:pos="0"/>
        </w:tabs>
        <w:spacing w:before="0" w:beforeAutospacing="0" w:after="0" w:afterAutospacing="0"/>
        <w:ind w:firstLine="709"/>
        <w:jc w:val="both"/>
        <w:rPr>
          <w:sz w:val="28"/>
          <w:szCs w:val="28"/>
        </w:rPr>
      </w:pPr>
      <w:r w:rsidRPr="00FB0140">
        <w:rPr>
          <w:rStyle w:val="body-c-c0"/>
          <w:sz w:val="28"/>
          <w:szCs w:val="28"/>
        </w:rPr>
        <w:t>Срок строительства после подписания контракта – 4</w:t>
      </w:r>
      <w:r w:rsidR="006C3EF7" w:rsidRPr="00FB0140">
        <w:rPr>
          <w:rStyle w:val="body-c-c0"/>
          <w:sz w:val="28"/>
          <w:szCs w:val="28"/>
        </w:rPr>
        <w:t>2 месяца (2021г).</w:t>
      </w:r>
    </w:p>
    <w:p w:rsidR="00435F25" w:rsidRPr="00FB0140" w:rsidRDefault="00435F25" w:rsidP="00BE0F2B">
      <w:pPr>
        <w:pStyle w:val="a3"/>
        <w:tabs>
          <w:tab w:val="left" w:pos="0"/>
        </w:tabs>
        <w:spacing w:after="0" w:line="240" w:lineRule="auto"/>
        <w:ind w:left="0" w:firstLine="720"/>
        <w:contextualSpacing w:val="0"/>
        <w:jc w:val="both"/>
        <w:rPr>
          <w:rFonts w:ascii="Times New Roman" w:hAnsi="Times New Roman" w:cs="Times New Roman"/>
          <w:sz w:val="28"/>
        </w:rPr>
      </w:pPr>
    </w:p>
    <w:p w:rsidR="000A3B02" w:rsidRPr="00FB0140" w:rsidRDefault="000A3B02" w:rsidP="00EF4AE4">
      <w:pPr>
        <w:pStyle w:val="1"/>
        <w:numPr>
          <w:ilvl w:val="0"/>
          <w:numId w:val="1"/>
        </w:numPr>
        <w:tabs>
          <w:tab w:val="left" w:pos="0"/>
          <w:tab w:val="left" w:pos="426"/>
        </w:tabs>
        <w:spacing w:before="0" w:line="240" w:lineRule="auto"/>
        <w:jc w:val="center"/>
        <w:rPr>
          <w:rFonts w:ascii="Times New Roman" w:hAnsi="Times New Roman" w:cs="Times New Roman"/>
          <w:b/>
          <w:color w:val="auto"/>
        </w:rPr>
      </w:pPr>
      <w:bookmarkStart w:id="30" w:name="_Toc525902070"/>
      <w:bookmarkStart w:id="31" w:name="_Toc34079826"/>
      <w:bookmarkStart w:id="32" w:name="_Hlk10046153"/>
      <w:r w:rsidRPr="00FB0140">
        <w:rPr>
          <w:rFonts w:ascii="Times New Roman" w:hAnsi="Times New Roman" w:cs="Times New Roman"/>
          <w:b/>
          <w:color w:val="auto"/>
        </w:rPr>
        <w:t>Обзор СМИ в странах СНГ</w:t>
      </w:r>
      <w:bookmarkEnd w:id="30"/>
      <w:bookmarkEnd w:id="31"/>
    </w:p>
    <w:p w:rsidR="00620733" w:rsidRPr="00FB0140" w:rsidRDefault="000A3B02" w:rsidP="00BE0F2B">
      <w:pPr>
        <w:pStyle w:val="a3"/>
        <w:tabs>
          <w:tab w:val="left" w:pos="0"/>
        </w:tabs>
        <w:spacing w:after="0" w:line="240" w:lineRule="auto"/>
        <w:jc w:val="center"/>
        <w:rPr>
          <w:rFonts w:ascii="Times New Roman" w:hAnsi="Times New Roman" w:cs="Times New Roman"/>
          <w:i/>
          <w:sz w:val="24"/>
          <w:szCs w:val="24"/>
        </w:rPr>
      </w:pPr>
      <w:r w:rsidRPr="00FB0140">
        <w:rPr>
          <w:rFonts w:ascii="Times New Roman" w:hAnsi="Times New Roman" w:cs="Times New Roman"/>
          <w:i/>
          <w:sz w:val="24"/>
          <w:szCs w:val="24"/>
        </w:rPr>
        <w:t>(по информации с сайта Ис</w:t>
      </w:r>
      <w:r w:rsidR="00DF2006" w:rsidRPr="00FB0140">
        <w:rPr>
          <w:rFonts w:ascii="Times New Roman" w:hAnsi="Times New Roman" w:cs="Times New Roman"/>
          <w:i/>
          <w:sz w:val="24"/>
          <w:szCs w:val="24"/>
        </w:rPr>
        <w:t>полнительного комитета ЭЭС СНГ)</w:t>
      </w:r>
    </w:p>
    <w:bookmarkEnd w:id="32"/>
    <w:p w:rsidR="007E21EB" w:rsidRPr="00FB0140" w:rsidRDefault="007E21EB" w:rsidP="00BE0F2B">
      <w:pPr>
        <w:tabs>
          <w:tab w:val="left" w:pos="0"/>
        </w:tabs>
        <w:spacing w:after="0" w:line="240" w:lineRule="auto"/>
        <w:ind w:firstLine="709"/>
        <w:jc w:val="both"/>
        <w:rPr>
          <w:rFonts w:ascii="Times New Roman" w:eastAsia="Times New Roman" w:hAnsi="Times New Roman" w:cs="Times New Roman"/>
          <w:b/>
          <w:sz w:val="24"/>
          <w:szCs w:val="24"/>
        </w:rPr>
      </w:pPr>
    </w:p>
    <w:p w:rsidR="00344536" w:rsidRPr="00FB0140" w:rsidRDefault="00344536" w:rsidP="00344536">
      <w:pPr>
        <w:spacing w:after="0" w:line="240" w:lineRule="auto"/>
        <w:ind w:firstLine="709"/>
        <w:jc w:val="both"/>
        <w:rPr>
          <w:rFonts w:ascii="Times New Roman" w:eastAsia="Times New Roman" w:hAnsi="Times New Roman" w:cs="Times New Roman"/>
          <w:b/>
          <w:color w:val="000000"/>
          <w:sz w:val="20"/>
          <w:szCs w:val="20"/>
        </w:rPr>
      </w:pPr>
      <w:r w:rsidRPr="00FB0140">
        <w:rPr>
          <w:rFonts w:ascii="Times New Roman" w:eastAsia="Times New Roman" w:hAnsi="Times New Roman" w:cs="Times New Roman"/>
          <w:b/>
          <w:color w:val="000000"/>
          <w:sz w:val="20"/>
          <w:szCs w:val="20"/>
        </w:rPr>
        <w:t>Кыргызская Республика</w:t>
      </w:r>
    </w:p>
    <w:p w:rsidR="00344536" w:rsidRPr="00FB0140" w:rsidRDefault="00344536" w:rsidP="00344536">
      <w:pPr>
        <w:spacing w:after="0" w:line="240" w:lineRule="auto"/>
        <w:ind w:firstLine="709"/>
        <w:jc w:val="both"/>
        <w:outlineLvl w:val="0"/>
        <w:rPr>
          <w:rFonts w:ascii="Times New Roman" w:eastAsia="Times New Roman" w:hAnsi="Times New Roman" w:cs="Times New Roman"/>
          <w:b/>
          <w:kern w:val="36"/>
          <w:sz w:val="20"/>
          <w:szCs w:val="20"/>
          <w:lang w:eastAsia="ru-RU"/>
        </w:rPr>
      </w:pPr>
      <w:r w:rsidRPr="00FB0140">
        <w:rPr>
          <w:rFonts w:ascii="Times New Roman" w:eastAsia="Times New Roman" w:hAnsi="Times New Roman" w:cs="Times New Roman"/>
          <w:b/>
          <w:kern w:val="36"/>
          <w:sz w:val="20"/>
          <w:szCs w:val="20"/>
          <w:lang w:eastAsia="ru-RU"/>
        </w:rPr>
        <w:t xml:space="preserve">На 2020 год запланирован капитальный ремонт воздушных линий общей протяженностью 25 км </w:t>
      </w:r>
      <w:r w:rsidRPr="00FB0140">
        <w:rPr>
          <w:rFonts w:ascii="Times New Roman" w:eastAsia="Times New Roman" w:hAnsi="Times New Roman" w:cs="Times New Roman"/>
          <w:b/>
          <w:i/>
          <w:kern w:val="36"/>
          <w:sz w:val="20"/>
          <w:szCs w:val="20"/>
          <w:lang w:eastAsia="ru-RU"/>
        </w:rPr>
        <w:t>(</w:t>
      </w:r>
      <w:r w:rsidRPr="00FB0140">
        <w:rPr>
          <w:rFonts w:ascii="Times New Roman" w:eastAsia="Times New Roman" w:hAnsi="Times New Roman" w:cs="Times New Roman"/>
          <w:i/>
          <w:sz w:val="20"/>
          <w:szCs w:val="20"/>
          <w:lang w:eastAsia="ru-RU"/>
        </w:rPr>
        <w:t>09.07.2020 г.)</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2020 году по плану на 25 км воздушных линиях и 12 вспомогательных станциях должны провести капитальный ремонт. Об этом 9 июля сообщил директор Нарынского филиала Национальной электрической сети Кыргызстана Жолдош Ибраев во время эфира на сайте НЭСК.</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 его словам, на 12 вспомогательных станциях и 1 тыс. 55 км воздушных линиях должны сделать текущие ремонтные работы. На данный момент также ведутся строительные работы, установлены 6 ограничителей перенапряжения нового типа с напряженностью 110 кВ.</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Как он рассказал, начиная с 2017 года до 2021 года на плановой основе проводятся работы по замене фарфоровых изоляторов на стеклянные. В 2020 году по плану должны заменить 7,5 тыс. фарфоровых изоляторов, из них за 6 месяцев заменено — 3,7 тыс.</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 данный момент началось строительство служебного здания в вспомогательной станции Угут. В 2020 году на основе автомобильной базы </w:t>
      </w:r>
      <w:hyperlink r:id="rId12" w:history="1">
        <w:r w:rsidRPr="00FB0140">
          <w:rPr>
            <w:rFonts w:ascii="Times New Roman" w:eastAsia="Times New Roman" w:hAnsi="Times New Roman" w:cs="Times New Roman"/>
            <w:sz w:val="20"/>
            <w:szCs w:val="20"/>
            <w:u w:val="single"/>
            <w:lang w:eastAsia="ru-RU"/>
          </w:rPr>
          <w:t>Урал</w:t>
        </w:r>
      </w:hyperlink>
      <w:r w:rsidRPr="00FB0140">
        <w:rPr>
          <w:rFonts w:ascii="Times New Roman" w:eastAsia="Times New Roman" w:hAnsi="Times New Roman" w:cs="Times New Roman"/>
          <w:sz w:val="20"/>
          <w:szCs w:val="20"/>
          <w:lang w:eastAsia="ru-RU"/>
        </w:rPr>
        <w:t> были обеспечены автогидроподъемником. В электросетях изоляторы и воздушные линии с высокой напряженностью считаются самыми важными элементами, сказал он.</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«Сейчас ведутся активные работы по подготовке к осенне-зимнему периоду, не наблюдается отставаний от плана», — заключил он.</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pacing w:after="0" w:line="240" w:lineRule="auto"/>
        <w:ind w:firstLine="709"/>
        <w:jc w:val="both"/>
        <w:rPr>
          <w:rFonts w:ascii="Times New Roman" w:eastAsia="Times New Roman" w:hAnsi="Times New Roman" w:cs="Times New Roman"/>
          <w:i/>
          <w:sz w:val="20"/>
          <w:szCs w:val="20"/>
          <w:lang w:eastAsia="ru-RU"/>
        </w:rPr>
      </w:pPr>
      <w:r w:rsidRPr="00FB0140">
        <w:rPr>
          <w:rFonts w:ascii="Times New Roman" w:eastAsia="Times New Roman" w:hAnsi="Times New Roman" w:cs="Times New Roman"/>
          <w:b/>
          <w:sz w:val="20"/>
          <w:szCs w:val="20"/>
          <w:lang w:eastAsia="ru-RU"/>
        </w:rPr>
        <w:t xml:space="preserve">За июнь потери электроэнергии по энергосистеме КР составили свыше 96 млн кВт.ч, — КЭРЦ  </w:t>
      </w:r>
      <w:r w:rsidRPr="00FB0140">
        <w:rPr>
          <w:rFonts w:ascii="Times New Roman" w:eastAsia="Times New Roman" w:hAnsi="Times New Roman" w:cs="Times New Roman"/>
          <w:i/>
          <w:sz w:val="20"/>
          <w:szCs w:val="20"/>
          <w:lang w:eastAsia="ru-RU"/>
        </w:rPr>
        <w:t>(25.07.2020 г.)</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За июнь потери электроэнергии по энергосистеме КР составили 96 млн 590,179 тыс. кВт.ч, сообщает Кыргызский энергетический расчетный центр (КЭРЦ).</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Всего за июнь по энергосистеме Кыргызстана выработано 884 млн 710,604 тыс. кВт.ч электроэнергии.</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Из этого ОАО «Электрические станции» выработало 871 млн 726,102 тыс. кВт.ч, прочие поставщики (Малые ГЭС) – 12 млн 984,502 тыс. кВт.ч.</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сети Кыргызстана поступило 876 млн 161,309 тыс. кВт.ч электроэнергии.</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Президент С. Жээнбеков одобрил поправки, предусматривающие включение Кыргызстана в систему межгосударственной передачи электроэнергии ЕАЭС</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06 августа 2020 г.</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Президент Сооронбай Жээнбеков подписал закон «О ратификации Протокола о внесении изменений в Договор о Евразийском экономическом союзе от 29 мая 2014 года в связи с присоединением к нему Кыргызской Республики, подписанного 29 мая 2019 года в городе Нур-Султан». Об этом 5 августа сообщила пресс-служба аппарата президента.</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Закон принят Жогорку Кенешем Кыргызской Республики 25 июня 2020 года.</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Протокол вносит изменения в Методологию осуществления межгосударственной передачи электрической энергии (мощности) между государствами-членами ЕАЭС (приложение к Протоколу об обеспечении доступа к услугам субъектов естественных монополий в сфере электроэнергетики, включая основы ценообразования и тарифной политики), являющемуся приложением №21 к Договору о ЕАЭС от 29 мая 2014 года).</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Протоколом вносятся соответствующие изменения, предусматривающие включение Кыргызской Республики в систему межгосударственной передачи электроэнергии в рамках Союза и дополнения, определяющие порядок, принципы и правила доступа к услугам отечественных субъектов естественных монополий в сфере электроэнергетики, включая основы ценообразования и тарифной политики.</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Изменения направлены на формирование нормативной базы общего электроэнергетического рынка ЕАЭС, который, согласно плану, утвержденного решением Высшего Евразийского экономического совета от 20 декабря 2019 года, начнет функционировать в 2025 году.</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Закон вступает в силу со дня официального опубликования.</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sz w:val="20"/>
          <w:szCs w:val="20"/>
          <w:lang w:eastAsia="ru-RU"/>
        </w:rPr>
        <w:t xml:space="preserve">За полгода по Кыргызстану были введены эксплуатацию 39 трансформаторных подстанций напряжением 10/4 кВ </w:t>
      </w:r>
      <w:r w:rsidRPr="00FB0140">
        <w:rPr>
          <w:rFonts w:ascii="Times New Roman" w:eastAsia="Times New Roman" w:hAnsi="Times New Roman" w:cs="Times New Roman"/>
          <w:i/>
          <w:sz w:val="20"/>
          <w:szCs w:val="20"/>
          <w:lang w:eastAsia="ru-RU"/>
        </w:rPr>
        <w:t>(07.08.2020 г.)</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За 6 месяцев 2020 года по Кыргызстану в эксплуатацию были введены 39 комплектных трансформаторных подстанций напряжением 10/4 кВ, линии электропередачи напряжением 0,4 кВ — 23,18 километра, 6-20 кВ — 16,67 километра. Об этом говорится в материалах Национального статистического комитета.</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За данный период объем освоенных средств, направленных на строительство и реконструкцию объектов по обеспечению электроэнергией, газом, паром и кондиционированным воздухом, по сравнению с январем-июнем 2019 года увеличился на 1,6%, составив 1,8 млн сомов.</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При этом, строительство осуществлялось, в основном, за счет прямых иностранных инвестиций, средств предприятий и организаций, иностранных кредитов, а также иностранных грантов и гуманитарной помощи — 99,6%.</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pacing w:after="0" w:line="240" w:lineRule="auto"/>
        <w:ind w:firstLine="709"/>
        <w:jc w:val="both"/>
        <w:rPr>
          <w:rFonts w:ascii="Times New Roman" w:eastAsia="Times New Roman" w:hAnsi="Times New Roman" w:cs="Times New Roman"/>
          <w:i/>
          <w:sz w:val="20"/>
          <w:szCs w:val="20"/>
          <w:lang w:eastAsia="ru-RU"/>
        </w:rPr>
      </w:pPr>
      <w:r w:rsidRPr="00FB0140">
        <w:rPr>
          <w:rFonts w:ascii="Times New Roman" w:eastAsia="Times New Roman" w:hAnsi="Times New Roman" w:cs="Times New Roman"/>
          <w:b/>
          <w:sz w:val="20"/>
          <w:szCs w:val="20"/>
          <w:lang w:eastAsia="ru-RU"/>
        </w:rPr>
        <w:t xml:space="preserve">Осталось выбрать торговые площадки и протестировать техоснову общего энергорынка, — ЕЭК </w:t>
      </w:r>
      <w:r w:rsidRPr="00FB0140">
        <w:rPr>
          <w:rFonts w:ascii="Times New Roman" w:eastAsia="Times New Roman" w:hAnsi="Times New Roman" w:cs="Times New Roman"/>
          <w:i/>
          <w:sz w:val="20"/>
          <w:szCs w:val="20"/>
          <w:lang w:eastAsia="ru-RU"/>
        </w:rPr>
        <w:t>(09.08.2020 г.)</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Полноценный запуск ОЭР Союза может привести к увеличению объемов взаимной торговли электроэнергией, создаст предпосылки для укрепления экономик стран ЕАЭС. Об этом заявил член коллегии (министр) по энергетике и инфраструктуре ЕЭК Эмиль Кайкиев.</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Общий план реализуемых мероприятий утвержден главами стран-участниц ЕАЭС еще 20 декабря 2019 года. Он считается одним из главных в части формирования общего электроэнергетического рынка. Этим документом установлены сроки принятия различных правил и регламентов, а также проведения организационных мероприятий. Осталось выбрать торговые площадки и протестировать технологическую основу общего рынка.</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Однако в процессе интеграции электроэнергетики важно максимально оптимизировать последовательность процессов. С этой целью и определили промежуточные этапы разработки и согласования проектов документов. Последний предложенный проект «дорожной карты» и представляет собой документ с обозначенными сроками одобрения консультативным комитетом и проведением оценки регулирующего воздействия.</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Значительно страны продвинулись в разработке проекта правил определения и распределения пропускной способности межгосударственных линий электропередачи.</w:t>
      </w:r>
    </w:p>
    <w:p w:rsidR="00344536" w:rsidRPr="00FB0140" w:rsidRDefault="00344536" w:rsidP="00344536">
      <w:pPr>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
          <w:bCs/>
          <w:kern w:val="36"/>
          <w:sz w:val="20"/>
          <w:szCs w:val="20"/>
          <w:lang w:eastAsia="ru-RU"/>
        </w:rPr>
        <w:t xml:space="preserve">Кыргызстан с 20 сентября по 10 января заберет обратно электроэнергию из Казахстана в рамках товарообмена между странами, — ГПКЭН </w:t>
      </w:r>
      <w:r w:rsidRPr="00FB0140">
        <w:rPr>
          <w:rFonts w:ascii="Times New Roman" w:eastAsia="Times New Roman" w:hAnsi="Times New Roman" w:cs="Times New Roman"/>
          <w:bCs/>
          <w:i/>
          <w:kern w:val="36"/>
          <w:sz w:val="20"/>
          <w:szCs w:val="20"/>
          <w:lang w:eastAsia="ru-RU"/>
        </w:rPr>
        <w:t>(23.08.2020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Tazabek — Кыргызстан с 20 сентября по 10 января заберет обратно электроэнергию из Казахстана в рамках товарообмена между странами. Об этом в ходе прямого эфира «Биринчи радио» сказал председатель Государственного комитета промышленности и недропользования Эмиль Осмонбетов.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его словам, товарообмен с Казахстаном на сегодняшний день осуществляется в рамках распоряжения, был начат 24 июня и должен завершиться 21 августа.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На сегодня поставлено 292 млн кВт.ч, доведем до 300. Мы этот объем будем забирать обратно в удобное для нас время, то есть в осенний период – с 20 сентября по 10 ноября.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r w:rsidRPr="00FB0140">
        <w:rPr>
          <w:rFonts w:ascii="Times New Roman" w:eastAsia="Times New Roman" w:hAnsi="Times New Roman" w:cs="Times New Roman"/>
          <w:b/>
          <w:bCs/>
          <w:kern w:val="36"/>
          <w:sz w:val="20"/>
          <w:szCs w:val="20"/>
          <w:lang w:eastAsia="ru-RU"/>
        </w:rPr>
        <w:t>ГКПЭН проинформировал о ходе реализации 4 энергопроектов: 2 фазы реабилитации Токтогульской ГЭС, реконструкция Ат-Башинской ГЭС и «СASA-1000»</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Cs/>
          <w:i/>
          <w:kern w:val="36"/>
          <w:sz w:val="20"/>
          <w:szCs w:val="20"/>
          <w:lang w:eastAsia="ru-RU"/>
        </w:rPr>
        <w:t>(24.08.2020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энергетической отрасли продолжается реализация 4 проектов в топливно-энергетической сфере, сообщили в Госкомитете промышленности, энергетики и недропользования.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1. Проект «Реабилитация Токтогульской ГЭС Фаза 2». В марте 2020 года прибыло оборудование – Краны для верхнего бьефа. Груз находится на Токтогульской ГЭС. В связи с пандемией коронавируса приезд шеф-инженера по монтажу крана для верхнего бьефа в данное время отложен до смягчения ситуации, связанной с пандемией и открытия границ для передвижения людей.</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2. Проект «Реабилитация Токтогульской ГЭС Фаза 3». 10 марта 2020 года был объявлен тендер на оказание консультационных услуг по надзору за проектом. К 8 апреля 2020 года поступили выражения в заинтересованности от 19 компаний. 22 мая была завершена оценка поступивших предложений, по итогам подготовлен протокол тендерной комиссии с составлением короткого списка. 28 мая было получено условное одобрение от АБР.</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3. По проекту «Реконструкция Ат-Башинской ГЭС» к настоящему времени выполнены монтажные работы генератора ГА №3 по системе водоснабжения, шкаф управления, система пожаротушения, торможения, возбуждения, контрольным кабелям, верхним перекрытиям, ремонт дискового затвора. Также начаты работы по ремонту затвора отсасывающей трубы генератора ГА №4, системе осушения, трансформатора Т-1 и системе пожаротушения Т-1.</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4. По проекту «СASA-1000» утвержден маршрут трассы прохождения ВЛ 125 и 325 км на карте местности. Кроме того, согласован с местными администрациями маршрут ЛЭП 125 с координатами опор. В данный момент компания-подрядчик проектирует дизайн и тип опор в соответствии с техническими спецификациями тендерной документации. Проведено испытание двух типов опор и ведет работу по подготовке остальных типовых испытаний опор, провода, оптоволоконного кабеля, изоляторов и другого оборудования.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Кроме этого, в настоящее время готовится к утверждению проект Положения «Об условиях и порядке осуществления деятельности по выработке и поставке электрической энергии с использованием возобновляемых источников энергии». На финальном этапе находится проект по внесению изменений в некоторые решения ПКР в сфере предоставления земельных участков для строительства энергетических установок с использованием возобновляемых источников энергии»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Кроме этого, решен вопрос по приемке законченных строительством объектов ВИЭ и их дальнейшее подключение к национальным электрическим сетям энергетических компаний, т.е. выбран единый подход и одинаковая процедура приемки, в соответствии с Положением «О порядке выдачи документов на проектирование, строительство и иные изменения объектов недвижимости и оценки соответствия вводимых в эксплуатацию завершенных строительством объектов в Кыргызской Республике».</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r w:rsidRPr="00FB0140">
        <w:rPr>
          <w:rFonts w:ascii="Times New Roman" w:eastAsia="Times New Roman" w:hAnsi="Times New Roman" w:cs="Times New Roman"/>
          <w:b/>
          <w:bCs/>
          <w:kern w:val="36"/>
          <w:sz w:val="20"/>
          <w:szCs w:val="20"/>
          <w:lang w:eastAsia="ru-RU"/>
        </w:rPr>
        <w:t>Республика Таджикистан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
          <w:bCs/>
          <w:kern w:val="36"/>
          <w:sz w:val="20"/>
          <w:szCs w:val="20"/>
          <w:lang w:eastAsia="ru-RU"/>
        </w:rPr>
        <w:t xml:space="preserve">Таджикистан экспортировал электроэнергию на сумму 40 миллионов долларов </w:t>
      </w:r>
      <w:r w:rsidRPr="00FB0140">
        <w:rPr>
          <w:rFonts w:ascii="Times New Roman" w:eastAsia="Times New Roman" w:hAnsi="Times New Roman" w:cs="Times New Roman"/>
          <w:bCs/>
          <w:i/>
          <w:kern w:val="36"/>
          <w:sz w:val="20"/>
          <w:szCs w:val="20"/>
          <w:lang w:eastAsia="ru-RU"/>
        </w:rPr>
        <w:t>(14.07.2020г.)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C начала текущего года в Афганистан было экспортировано электроэнергии на сумму свыше 23 миллионов долларов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Таджикистан за шесть месяцев текущего года экспортировал в соседние страны порядка 912,4 миллиона кВт/ч электроэнергии, сообщил первый заместитель министра энергетики и водных ресурсов республики Джамшед Шоимзода.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Замминистра отметил, что это на 345 миллионов кВт/ч меньше показателя аналогичного периода 2019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его словам, большая часть из указанного объема электроэнергии была экспортирована в Афганистан.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Всего за первое полугодие в республике произведено 10,3 миллиарда кВт/ч электроэнергии, что на 112 миллионов кВт/ч больше, чем за аналогичный период прошлого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Общая сумма, вырученная за экспорт электроэнергии в отчетный период, составила 40 миллионов долларов. В Афганистан экспортирована электроэнергия на сумму свыше 23 миллионов долларов, в Узбекистан - на сумму 7,2 миллиона долларов.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Ранее сообщалось, что Таджикистан за первые пять месяцев текущего года снизил экспорт электроэнергии в соседние страны на 40%.</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Между тем ранее сообщалось, что Таджикистан планирует увеличить производство электроэнергии. Так, в 2020 году Таджикистан намерен довести производство электричества до 21 миллиарда кВт/ч.</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 xml:space="preserve">Таджикистан сократил объемы экспорта электроэнергии в Афганистан и Узбекистан </w:t>
      </w:r>
      <w:r w:rsidRPr="00FB0140">
        <w:rPr>
          <w:rFonts w:ascii="Times New Roman" w:eastAsia="Times New Roman" w:hAnsi="Times New Roman" w:cs="Times New Roman"/>
          <w:bCs/>
          <w:i/>
          <w:kern w:val="36"/>
          <w:sz w:val="20"/>
          <w:szCs w:val="20"/>
          <w:lang w:eastAsia="ru-RU"/>
        </w:rPr>
        <w:t>(27.07.2020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Экспорт таджикской электроэнергии в Афганистан сократился до 40 МВт. Об этом на встрече с журналистами, в понедельник в Душанбе сообщил глава ОАХК «Барки точик» Мирзо Исмоилзода. По его словам, экспорт электроэнергии также сократился и в Узбекистан. Это связано с уменьшением притока воды на реке Вахш и перераспределением сетей в Афганистане.</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 xml:space="preserve">По данным ведомства приток воды сократился почти на 30%. Если в Афганистан ежедневно экспортировалось 320 МВт, то сегодня этот показатель сократился до 40 МВт. Последнее два дня уровень воды на реке Вахш увеличился, что послужит увеличению объема экспорта электроэнергии. Сокращение подачи электроэнергии в Узбекистан началось 16 </w:t>
      </w:r>
      <w:bookmarkStart w:id="33" w:name="_GoBack"/>
      <w:r w:rsidRPr="00FB0140">
        <w:rPr>
          <w:rFonts w:ascii="Times New Roman" w:eastAsia="Times New Roman" w:hAnsi="Times New Roman" w:cs="Times New Roman"/>
          <w:bCs/>
          <w:kern w:val="36"/>
          <w:sz w:val="20"/>
          <w:szCs w:val="20"/>
          <w:lang w:eastAsia="ru-RU"/>
        </w:rPr>
        <w:t>июл</w:t>
      </w:r>
      <w:bookmarkEnd w:id="33"/>
      <w:r w:rsidRPr="00FB0140">
        <w:rPr>
          <w:rFonts w:ascii="Times New Roman" w:eastAsia="Times New Roman" w:hAnsi="Times New Roman" w:cs="Times New Roman"/>
          <w:bCs/>
          <w:kern w:val="36"/>
          <w:sz w:val="20"/>
          <w:szCs w:val="20"/>
          <w:lang w:eastAsia="ru-RU"/>
        </w:rPr>
        <w:t>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Афганистан за шесть месяцев экспортировано 546,6 млн. кВт/ч электроэнергии.  Этот показатель в Узбекистан составил 358,3 млн. кВт/ч.</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Таджикистан получит на строительство ГЭС «Себзор» еще 18,6 млн. евро</w:t>
      </w:r>
      <w:r w:rsidRPr="00FB0140">
        <w:rPr>
          <w:rFonts w:ascii="Times New Roman" w:eastAsia="Times New Roman" w:hAnsi="Times New Roman" w:cs="Times New Roman"/>
          <w:bCs/>
          <w:kern w:val="36"/>
          <w:sz w:val="20"/>
          <w:szCs w:val="20"/>
          <w:lang w:eastAsia="ru-RU"/>
        </w:rPr>
        <w:t xml:space="preserve"> </w:t>
      </w:r>
      <w:r w:rsidRPr="00FB0140">
        <w:rPr>
          <w:rFonts w:ascii="Times New Roman" w:eastAsia="Times New Roman" w:hAnsi="Times New Roman" w:cs="Times New Roman"/>
          <w:bCs/>
          <w:i/>
          <w:kern w:val="36"/>
          <w:sz w:val="20"/>
          <w:szCs w:val="20"/>
          <w:lang w:eastAsia="ru-RU"/>
        </w:rPr>
        <w:t>(23.07.2020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Министерство экономического развития и торговли Таджикистана в качестве сопредседателя Межправительственной комиссии Таджикистана с Европейским союзом, Германией и Швейцарией, привлекло $55,2 млн. для строительства Себзорской ГЭС и ее энергетической инфраструктуры в Роштальском районе ГБАО, мощностью 11 МВт.</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22 июля текущего года министр экономического развития и торговли РТ Завки Завкизода подписал трехстороннее грантовое Соглашение с Германским банком развития для строительства Себзорской ГЭС на сумму 18,6 млн.евро, который является грантом предоставленным Европейским союзом.</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Как напоминает пресс-служба Минэкономразвития, 2 августа 2019 года между правительствами Таджикистана и Германии было подписано Соглашение о финансовом сотрудничестве, согласно которому Германия предоставила грант в размере 17 млн.евро на строительство Себзорской ГЭС.</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Также 2 декабря 2019 года между правительствами Таджикистана и Щвейцарии для финансировании строительства линии электропередачи 110 кВ «Себзор-Хорог», открытого распределительного устройства 110 кВ, мер по смягчению последствий изменения климата, было подписано грантовое Соглошение на сумму $9,55 млн.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то же время Всемирный банк выделил грант в размере $1,9 млн. на подготовку технико-экономического обоснования линии электропередачи 110 кВ Хорог-Ишкашим и $3 млн. выделило Агентство США по международному развитию (USAID) для проведения необходимых исследований и повышения  мощности ОАО «Памир Энерджи».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Также было подписано Соглашение о выделении Германией Таджикистану средств в размере 1 миллиона евро на покрытие нужд республики в борьбе с коронавирусом. Средства будут выделены Германским Банка Развития – KfW.</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рамках данной церемонии также был подписан Договор о предоставлении гранта в размере 1 млн. евро в медицинских целях, в том числе для обучения медицинского персонала в предотвращении распространения COVID-19.</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
          <w:bCs/>
          <w:kern w:val="36"/>
          <w:sz w:val="20"/>
          <w:szCs w:val="20"/>
          <w:lang w:eastAsia="ru-RU"/>
        </w:rPr>
        <w:t xml:space="preserve">За шесть месяцев текущего года на Рогунскую ГЭС потрачено свыше 1,3 млрд. сомони </w:t>
      </w:r>
      <w:r w:rsidRPr="00FB0140">
        <w:rPr>
          <w:rFonts w:ascii="Times New Roman" w:eastAsia="Times New Roman" w:hAnsi="Times New Roman" w:cs="Times New Roman"/>
          <w:bCs/>
          <w:i/>
          <w:kern w:val="36"/>
          <w:sz w:val="20"/>
          <w:szCs w:val="20"/>
          <w:lang w:eastAsia="ru-RU"/>
        </w:rPr>
        <w:t>(29.07.2020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Свыше 1,3 млрд. сомони ($127,7 млн.) потрачено на реализацию проекта Рогунской гидроэлектростанции за шесть месяцев этого года. Об этом на встрече с журналистами сообщил министр финансов Таджикистана Файзиддин Каххорзода.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его словам, порядка 1 млрд. 297,3 млн. сомони было направлено из государственного бюджета и 19,7 млн. сомони из оставшихся средств, вырученных за счет реализации государственных облигаций (Евробондов).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Файзиддин Каххорзода также сообщил, что финансирование проекта будет осуществлено в рамках средств, предусмотренных госбюджетом на текущий год. На эти цели в этом году предусмотрено выделить 2,1 млрд. сомони.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«Сокращение второстепенных расходов в сфере строительства из государственного бюджета в текущем году составит 789 млн. сомони. Эти средства будут консолидированы и направлены на другие расходы. В случае необходимости эти средства пойдут на продолжение строительства Рогунской ГЭС», – сообщил министр.</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Глава Минфина также прокомментировал обслуживание государственных облигаций (Евробондов), общий размер которых составляет $500 млн. Оплата по евробондам осуществляется ежегодно в марте и сентябре. На текущий год на обслуживание Евробондов будет потрачено $34 млн., половина из которых уже оплачена.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«Вопрос о реструктуризации оплаты по Евробондам не стоит. К тому же этот процесс займет много времени», – отметил Файзиддин Каххорзода.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Напомним, что в 2017 году Таджикистан выставил на продажу ценные бумаги на сумму $500 млн. для привлечения средств на достройку Рогунской ГЭС наравне с госфинансированием объекта.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Государственные облигации Республики Таджикистан по типу инвесторов были проданы управляющим фондам (85%), хедж фондам (9%), банкам и другим финансовым организациям (6%).</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Географически облигации были приобретены инвесторами из США (38%), Великобритании (24%), стран Европейского союза (35) и Азии (3%). Таджикистан выпустил 10-летние облигации на сумму $500 млн. и график погашения данных бумаг, предположительно начинается с 2025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данным Минфина, сумма средств, вырученных за счет продажи акций Рогунской ГЭС внутри страны, составила 980 млн. сомони, которая потрачена на приобретение оборудования для ГЭС.</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В Таджикистане вводится энерголимит</w:t>
      </w:r>
      <w:r w:rsidRPr="00FB0140">
        <w:rPr>
          <w:rFonts w:ascii="Times New Roman" w:eastAsia="Times New Roman" w:hAnsi="Times New Roman" w:cs="Times New Roman"/>
          <w:bCs/>
          <w:i/>
          <w:kern w:val="36"/>
          <w:sz w:val="20"/>
          <w:szCs w:val="20"/>
          <w:lang w:eastAsia="ru-RU"/>
        </w:rPr>
        <w:t xml:space="preserve"> (29.07.2020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Таджикистане введено ограничение на подачу электроэнергии. Об этом говорится в обращении правительства к народу, опубликованному на официальном сайте президента страны.</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Обращение начинается с указанием достижений за последние годы в сфере энергетики, а затем уже говорится о том, почему вводятся ограничения.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«Осенью и зимой 2019-2020 года в зоне формирования русла рек Вахш и Пяндж выпало слишком мало снега, что составило 50 процентов объёма прошлых лет. Такая ситуация в Таджикистане возникла впервые. Сегодня вода в русле реки Пяндж по сравнению с прошлыми годами меньше на 2 тысячи кубометров, в том числе в реке Вахш меньше на 800 кубометров, то есть на 50 процентов. Такой объём является ярким признаком того, что в горах слишком мало запасов снега», – говорится в обращении.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Далее подчеркивается, что «сегодня в Нурекском водохранилище запасов воды меньше на 17 метров по сравнению с прошлым годом. Если такая ситуация продолжится, то запасы воды в водохранилище уменьшатся, в зимний период возникнут серьёзные проблемы по обеспечению электроэнергией населения и отраслей национальной экономики».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Правительство просит население рациональной использовать электроэнергию, во избежание трудностей зимой.</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связи с этим, правительство Республики Таджикистан обращается к населению страны и просит правильно воспринять ограничение, вводимое компанией «Барки точик» с единственной целью – резервирования воды в Нурекском водохранилище», – отмечается в обращении.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Далее говорится, что «сегодня мы даже были вынуждены раньше установленного международными договорами срока прекратить подачу электроэнергии в Республику Узбекистан и Исламскую Республику Афганистан».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Правительство Республики Таджикистан обращается ко всем жителям страны с просьбой с пониманием относиться к данному решению. В сложившейся сегодня ситуации – это единственный путь, который может нам избежать проблем в зимний период.</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Правительство при этом утверждает, что принимает все необходимые меры, чтобы население страны не столкнулось с проблемами в осенне-зимний период.</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обращении не уточняется, в какое время суток планируются отключения электроэнергии.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«Барки точик» досрочно расторгнул договор экспорта электроэнергии в Узбекистан и Афганистан</w:t>
      </w:r>
      <w:r w:rsidRPr="00FB0140">
        <w:rPr>
          <w:rFonts w:ascii="Times New Roman" w:eastAsia="Times New Roman" w:hAnsi="Times New Roman" w:cs="Times New Roman"/>
          <w:bCs/>
          <w:kern w:val="36"/>
          <w:sz w:val="20"/>
          <w:szCs w:val="20"/>
          <w:lang w:eastAsia="ru-RU"/>
        </w:rPr>
        <w:t xml:space="preserve"> (04.082020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Ограничений на потребление электроэнергии в Таджикистане не введены заявляет «Барки точик» и надеется, что водохранилище Нурекской ГЭС наполнится достаточным объемом воды, чтобы избежать введение энерголимита.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Как сообщает НИАТ «Ховар» со ссылкой на пресс-секретаря госэнергохолдинга «Барки точик» Нозирджона Едгори «в Республике Таджикистан до сегодняшнего дня не введено никаких ограничений на подачу электроэнергии».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Он отметил, что действительно по среднегодовым показателям в Таджикистане наблюдается маловодие, особенно в реке Вахш, которая является основным источником воды для производства электроэнергии в стране. Это связано с малыми запасами снега у истоков рек страны. В целях обеспечения населения и отраслей национальной экономики страны электроэнергией по поручению правительства Таджикистана ОАХК «Барки точик» досрочно расторгнул договор экспорта электроэнергии в Узбекистан и Афганистан.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 счастью, русло реки Вахш сегодня способствует ежедневному притоку воды и её резервированию в необходимых объёмах в водохранилище Нурекской ГЭС к предстоящей зиме. Специалисты ОАХК «Барки точик» уверены, что резервуар до середины сентября будет наполнен водой до необходимого уровня и необходимость в введении ограничения на подачу электроэнергии жителям страны отпадёт», — сказал Нозирджон Ёдгори.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Наряду с этим очень важно, чтобы население Республики Таджикистан в ответ на обращение правительства Республики Таджикистан к народу страны рационально использовало электроэнергию.</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«Каждый киловатт/час сэкономленной электроэнергии позволит обеспечить население электроэнергией в предстоящий зимний период», — сказал в завершение официальный представитель ОАХК «Барки точик».</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Водохранилище Нурекской ГЭС. До нужной отметки осталось 15 метров</w:t>
      </w:r>
      <w:r w:rsidRPr="00FB0140">
        <w:rPr>
          <w:rFonts w:ascii="Times New Roman" w:eastAsia="Times New Roman" w:hAnsi="Times New Roman" w:cs="Times New Roman"/>
          <w:bCs/>
          <w:kern w:val="36"/>
          <w:sz w:val="20"/>
          <w:szCs w:val="20"/>
          <w:lang w:eastAsia="ru-RU"/>
        </w:rPr>
        <w:t xml:space="preserve"> </w:t>
      </w:r>
      <w:r w:rsidRPr="00FB0140">
        <w:rPr>
          <w:rFonts w:ascii="Times New Roman" w:eastAsia="Times New Roman" w:hAnsi="Times New Roman" w:cs="Times New Roman"/>
          <w:bCs/>
          <w:i/>
          <w:kern w:val="36"/>
          <w:sz w:val="20"/>
          <w:szCs w:val="20"/>
          <w:lang w:eastAsia="ru-RU"/>
        </w:rPr>
        <w:t>(11.08.2020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Таджикистане в первой декаде августа 2020 года уровень воды в водохранилище Нурекской ГЭС составил чуть более 895 метр над уровнем моря, что на 13,5 м ниже по сравнению с аналогичным периодом 2019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Для полного заполнения водохранилища Нурекской ГЭС уровень воды должен достигаться отметки 910 метр. Таким образом, до нужной отметки осталось 15 метров. Однако, энергетики отмечают, что к началу октября водохранилище будет заполнено.</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Как сообщили «Авеста» в энергосекторе республики, проточность воды на реке Вахш в районе Нурекского водохранилища накануне составила 1 тыс. 384 кубометров в секунду, что также на 545 кубометров меньше показатели аналогичного периода прошлого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словам источника, ежесуточно в стране, в среднем вырабатывается более 47,7 млн. кВт/ч электроэнергии.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Ранее ОАХК «Барки точик» сообщил, что из-за маловодья прекращен экспорт электроэнергии в Афганистан и Узбекистан. Это связано с уменьшением притока воды на реке Вахш и перераспределением сетей в Афганистане.</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данным ведомства, в Афганистан за шесть месяцев экспортировано 546,6 млн. кВт/ч электроэнергии. Этот показатель в Узбекистан составил 358,3 млн. кВт/ч.</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r w:rsidRPr="00FB0140">
        <w:rPr>
          <w:rFonts w:ascii="Times New Roman" w:eastAsia="Times New Roman" w:hAnsi="Times New Roman" w:cs="Times New Roman"/>
          <w:b/>
          <w:bCs/>
          <w:kern w:val="36"/>
          <w:sz w:val="20"/>
          <w:szCs w:val="20"/>
          <w:lang w:eastAsia="ru-RU"/>
        </w:rPr>
        <w:t xml:space="preserve">В Таджикистане ежесуточно, в среднем производится 47 млн. кВт/ч электроэнергии </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Cs/>
          <w:i/>
          <w:kern w:val="36"/>
          <w:sz w:val="20"/>
          <w:szCs w:val="20"/>
          <w:lang w:eastAsia="ru-RU"/>
        </w:rPr>
        <w:t>(14.08.2020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Таджикистане в первой декаде августа 2020 года уровень воды в водохранилище Нурекской ГЭС составил чуть более 895 м над уровнем моря, что на 13,5 м ниже по сравнению с аналогичным периодом 2019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Для полного заполнения водохранилища Нурекской ГЭС уровень воды должен достичь отметки 910 м. Таким образом, до нужной отметки осталось 15 м. Однако, энергетики отмечают, что к началу октября водохранилище будет заполнено.</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Проточность воды на реке Вахш в районе Нурекского водохранилища 11 августа составила 1 тыс. 241 кубометров в секунду, что также на 707 кубометров меньше показателя аналогичного периода прошлого года.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Ежесуточно в стране, в среднем вырабатывается более 46,5 млн. кВт/ч электроэнергии.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Из-за маловодья прекращен экспорт электроэнергии в соседние государства – Афганистан и Узбекистан. Это связано с уменьшением притока воды на реке Вахш и перераспределением сетей в Афганистане.</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Афганистан за шесть месяцев экспортировано 546,6 млн. кВт/ч электроэнергии. Показатель экспорта электроэнергии в Узбекистан составил 358,3 млн. кВт/ч.</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r w:rsidRPr="00FB0140">
        <w:rPr>
          <w:rFonts w:ascii="Times New Roman" w:eastAsia="Times New Roman" w:hAnsi="Times New Roman" w:cs="Times New Roman"/>
          <w:b/>
          <w:bCs/>
          <w:kern w:val="36"/>
          <w:sz w:val="20"/>
          <w:szCs w:val="20"/>
          <w:lang w:eastAsia="ru-RU"/>
        </w:rPr>
        <w:t xml:space="preserve">Объем производства электроэнергии в Таджикистане сократился на 1,5% </w:t>
      </w:r>
      <w:r w:rsidRPr="00FB0140">
        <w:rPr>
          <w:rFonts w:ascii="Times New Roman" w:eastAsia="Times New Roman" w:hAnsi="Times New Roman" w:cs="Times New Roman"/>
          <w:b/>
          <w:bCs/>
          <w:i/>
          <w:kern w:val="36"/>
          <w:sz w:val="20"/>
          <w:szCs w:val="20"/>
          <w:lang w:eastAsia="ru-RU"/>
        </w:rPr>
        <w:t>(</w:t>
      </w:r>
      <w:r w:rsidRPr="00FB0140">
        <w:rPr>
          <w:rFonts w:ascii="Times New Roman" w:eastAsia="Times New Roman" w:hAnsi="Times New Roman" w:cs="Times New Roman"/>
          <w:bCs/>
          <w:i/>
          <w:kern w:val="36"/>
          <w:sz w:val="20"/>
          <w:szCs w:val="20"/>
          <w:lang w:eastAsia="ru-RU"/>
        </w:rPr>
        <w:t>21.08.2020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Таджикистан сократил производство и экспорт электроэнергии. Как сообщили «Авеста» в энергетическом секторе республики, за семь месяцев 2020 года в стране произведено 12 млрд. 49,8 млн. кВт/ч электроэнергии, что меньше по сравнению с этим же периодом прошлого года на 189,3 млн. кВт/ч, или на 1,5%.</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данным источника за указанный период также сократился экспорт электроэнергии. По сравнению с январем-июлем 2019 года сумма продажи электроэнергии в соседние страны сократилась более чем на $13,5 млн. или на 23,4% и составила свыше $44,4 млн. При этом не сообщается об объемах экспорта электроэнергии за семь месяцев.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Ранее глава энергохолдинга «Барки точик» Мирзо Исмоилзода подтвердил, что с 27 июля сократились объемы экспорта таджикской электроэнергии в соседний Афганистан. Причина – в уменьшении притока воды в реке Вахш, заявил тогда он.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Однако в начале августа, в целях обеспечения населения и отраслей национальной экономики страны электроэнергией по поручению правительства Таджикистана ОАХК «Барки точик» досрочно расторгнул договора экспорта электроэнергии в Узбекистан и Афганистан.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данным источника, действительно по среднегодовым показателям в Таджикистане наблюдается маловодье, особенно на реке Вахш, которая является основным источником воды для производства электроэнергии в стране. Это связано с малыми запасами снега у истоков рек страны.</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данным «Барки точик» в первом полугодии этого года в Афганистан было экспортировано 546 млн. кВт/ч электроэнергии, а в Узбекистан – 358 млн. кВт/ч.</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Афганистан и Узбекистан договорились подписать соглашение о поставках электроэнергии</w:t>
      </w:r>
      <w:r w:rsidRPr="00FB0140">
        <w:rPr>
          <w:rFonts w:ascii="Times New Roman" w:eastAsia="Times New Roman" w:hAnsi="Times New Roman" w:cs="Times New Roman"/>
          <w:bCs/>
          <w:i/>
          <w:kern w:val="36"/>
          <w:sz w:val="20"/>
          <w:szCs w:val="20"/>
          <w:lang w:eastAsia="ru-RU"/>
        </w:rPr>
        <w:t xml:space="preserve"> (28.08.2020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Исполняющий обязанности министра иностранных дел Афганистана Мухаммад Ханиф Атмар в Ташкенте провел переговоры с узбекским коллегой Абдулазизом Камиловым, сообщает пресс-служба афганского внешнеполитического ведомства.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«Стороны договорились подписать соглашение о поставках электроэнергии между афганской энергетической компанией «Брешна» и министерством энергетики Узбекистана», – говорится в сообщении. Отмечается, что стороны обсуждали также вопросы расширения сотрудничество в области торговли и транспорта.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Отмечается, что Камилов рассказал о важной роли Афганистана во внешней политике Узбекистана, подчеркнув поддержку Узбекистаном мирного процесса под руководством самих афганцев, а также позицию правительства Исламской Республики Афганистан. Камилов выразил надежду на немедленное начало переговоров между Исламской Республикой Афганистан и «Талибан».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свою очередь Атмар поблагодарил Узбекистан за поддержку мирного процесса и позицию Исламской Республики, а также заявил о необходимости скорейшего начала мирных переговоров и сохранении республиканской системы, и достижениях последних 19 лет.</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Он заверил, что руководство Исламской Республики Афганистан твердо намерено укреплять отношения с Узбекистаном.</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
          <w:bCs/>
          <w:kern w:val="36"/>
          <w:sz w:val="20"/>
          <w:szCs w:val="20"/>
          <w:lang w:eastAsia="ru-RU"/>
        </w:rPr>
        <w:t xml:space="preserve">Узбекистан намерен запустить полноценную работу энергокольца в ЦА за счет подключения Таджикистана </w:t>
      </w:r>
      <w:r w:rsidRPr="00FB0140">
        <w:rPr>
          <w:rFonts w:ascii="Times New Roman" w:eastAsia="Times New Roman" w:hAnsi="Times New Roman" w:cs="Times New Roman"/>
          <w:bCs/>
          <w:i/>
          <w:kern w:val="36"/>
          <w:sz w:val="20"/>
          <w:szCs w:val="20"/>
          <w:lang w:eastAsia="ru-RU"/>
        </w:rPr>
        <w:t>(28.08.2020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Узбекистан намерен возобновить полноценную работу единого энергетического кольца в Центральной Азии за счет подключения к нему Таджикистана и, в дальнейшем, Туркменистана, сообщает Podrobno.uz со ссылкой на заместителя министра энергетики Шерзода Ходжаева.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последнее время мы активизировали региональную интеграцию в сфере электроэнергии. В летнее время мы традиционно работаем с соседями по закупке и продаже электричества, но в последние год-полтора стали сотрудничать круглогодично. Это произошло, потому что энергетические структуры стран региона пришли к пониманию – что, кому и когда нужно. В этом плане Узбекистан выгодно пользуется своим положением, находясь в сердце Центральной Азии”, – рассказал замминистра корреспонденту Podrobno.uz.</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По его словам, экспортно-импортные операции в рамках так называемого единого энергокольца в Центральной Азии будут из года в год увеличиваться.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 2030 году мы планируем, что эти цифры как минимум удвоятся, и сейчас я не вижу причин, чтобы этого не произошло, так как работа кольца позволит получить большую выгоду всем участникам проекта», – заметил собеседник.</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Сейчас Казахстан, Узбекистан и Кыргызстан полноценно работают в рамках энергокольца. Сейчас, добавил Ходжаев, идет работа по подключению Таджикистана, которую планируется завершить в 2021 году.</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«Еще один важный момент – полноценное включение в работу таджикской энергосистемы. Сейчас мы не работаем с ними в параллельном режиме, то есть импортируем электроэнергию только сезонно – с мая по август. Как только кольцо будет полностью восстановлено, мы сможем работать с Таджикистаном круглогодично», – подчеркнул Ходжаев.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Он также добавил, что в ближайших планах – возведение новой линии электропередач до границы с Таджикистаном.</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«Сейчас идет изучение предложений, которые были поданы в рамках тендера по этому проекту. В этом году рассчитываем начать строительство линии, там предстоит серьезная работа, так как территория, по которой она будет проходить, достаточно сложная в плане ландшафта, есть много возвышенностей. В планах тестовый запуск весной и полноценный – до конца будущего года», – подчеркнул он.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r w:rsidRPr="00FB0140">
        <w:rPr>
          <w:rFonts w:ascii="Times New Roman" w:eastAsia="Times New Roman" w:hAnsi="Times New Roman" w:cs="Times New Roman"/>
          <w:b/>
          <w:bCs/>
          <w:kern w:val="36"/>
          <w:sz w:val="20"/>
          <w:szCs w:val="20"/>
          <w:lang w:eastAsia="ru-RU"/>
        </w:rPr>
        <w:t>Республика Армения</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
          <w:bCs/>
          <w:kern w:val="36"/>
          <w:sz w:val="20"/>
          <w:szCs w:val="20"/>
          <w:lang w:eastAsia="ru-RU"/>
        </w:rPr>
        <w:t>IFC, EBRD и ЕС подписали соглашение о поддержке первой в Армении солнечной электростанции промышленного масштаба «Масрик»</w:t>
      </w:r>
      <w:r w:rsidRPr="00FB0140">
        <w:rPr>
          <w:rFonts w:ascii="Times New Roman" w:eastAsia="Times New Roman" w:hAnsi="Times New Roman" w:cs="Times New Roman"/>
          <w:bCs/>
          <w:kern w:val="36"/>
          <w:sz w:val="20"/>
          <w:szCs w:val="20"/>
          <w:lang w:eastAsia="ru-RU"/>
        </w:rPr>
        <w:t xml:space="preserve"> </w:t>
      </w:r>
      <w:r w:rsidRPr="00FB0140">
        <w:rPr>
          <w:rFonts w:ascii="Times New Roman" w:eastAsia="Times New Roman" w:hAnsi="Times New Roman" w:cs="Times New Roman"/>
          <w:bCs/>
          <w:i/>
          <w:kern w:val="36"/>
          <w:sz w:val="20"/>
          <w:szCs w:val="20"/>
          <w:lang w:eastAsia="ru-RU"/>
        </w:rPr>
        <w:t>(15.07.2020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 xml:space="preserve">АрмИнфо.Международная финансовая корпорация (IFC), Еропейский банк реконструкции и развития (EBRD) и партнерская программа Европейского союза (EU Partner) подписали соглашение о поддержке первой в Армении солнечной электростанции промышленного масштаба «Масрик». </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Электростанция мощностью 55 мегаватт, расположенная в муниципалитете Мец Масрик Гегаркуникской области, будет стимулировать поставки возобновляемой энергии и поможет стране снизить зависимость от импортируемого топлива. Предприятие строит Fotowatio Renewable Ventures (FRV), являющейся частью Abdul Latif Jameel Energy - мирового лидера в реализации проектов по созданию возобновляемых источников энергии в промышленных масштабах.</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 xml:space="preserve">Согласно соглашению, компания получит пакет долгового финансирования на сумму 35,4 млн. долларов США, состоящий из двух долгосрочных кредитов на сумму </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17,7 млн. долларов по одному от IFC и EBRD. Проект также получит инвестиционный грант в размере 3 млн. евро от Европейского Союза.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Пакет финансирования IFC включает предоставление кредита в размере 8,9 млн. долларов США за счет собственных средств и еще кредит в размере 8,9 млн. от Программы смешанного финансирования программы сохранения климата IFC и Финляндии.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Как отмечается в сообщении, ожидается, что солнечная электростанция «Масрик» (Masrik) будет вырабатывать более 128 гигаватт-часов электроэнергии в год по конкурентоспособному тарифу в размере 4,19 евро за киловатт-час. Электричество будет продаваться в соответствии с соглашением о покупке электроэнергии Электрическими сетями Армении. Проект нейтрализует выпуск 40 000 тонн выбросов углерода в год.</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настоящее время почти 70 процентов производства электроэнергии в Армении зависит от импортируемого ископаемого топлива. Поскольку спрос страны на электроэнергию растет, ожидается, что возобновляемые источники энергии обеспечат устойчивый и недорогой альтернативный источник энергии, а предприятие «Масрик» призвано послужить примером для остального Кавказа, - отмечается в сообщении.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«Армения имеет большой потенциал, когда дело доходит до развития возобновляемых источников энергии, в частности солнечной энергии, и эта страна является стратегическим приоритетом для FRV», - сказал Микель де Ирала, управляющий директор по Ближнему Востоку и Африке корпорациии FRV. «Финансовое завершение нашего первого солнечного проекта в Кавказском регионе является важной вехой для FRV, и это позволяет нам расширять наши возможности и продолжать лидировать в отрасли солнечной энергетики общего пользования во всем мире. В связи с этим проектом мы чрезвычайно гордимся тем, что способствуем устойчивому экономическому росту страны, созданию рабочих мест, помогая тем самым строить более устойчивое будущее».</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Аида Ситдикова, директор ЕБРР по энергетическим вопросам Евразии, Группы устойчивой инфраструктуры, в свою очередь подчеркнула, что «ЕБРР рад поддержать этот знаменательный проект, который основывается на нашей активной политической деятельности и инвестициях в энергетический сектор Армении с 1993 года. После финансирования ЕБРР электрических сетей, частные генерирующие компании, мы рады предоставить финансирование для этого первого солнечного проекта промышленного масштаба. Мы работаем с властями Армении и над разработкой дальнейших проектов по возобновляемым источникам энергии- ветровой и солнечной. Мы глубоко благодарны нашему партнеру, Европейскому Союзу, за совместное финансирование этого замечательного проекта».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«Масрикский проект солнечной энергии будет играть фундаментальную роль в достижении Арменией своих энергетических и климатических целей в соответствии с Соглашением о всеобъемлющем и расширенном партнерстве между ЕС и Арменией (CEPA) и целями в области устойчивого развития. У страны есть потенциал для создания ряда новых рабочих мест, создания новых промышленных возможностей в регионе и содействия экономическому росту», - сказала Андреа Викторин, посол ЕС в Армении.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Отметим, что в настоящее время в Армении продолжается строительство солнечной электростанции промышленного масштаба «Масрик-1», которую возводит победивший в тендере консорциум из нидерландской компании с испанскими корнями Photowatio Renewable Ventures B.V и испанской FSL Solar S.L. (FSL Solar SL). В целях реализации проекта консорциум основал в Армении компанию «Эфарви Масрик». Ориентировочная стоимость инвестиционной программы превысит $55 млн.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В армянском Ноемберяне устанавливаются солнечные электростанции</w:t>
      </w:r>
      <w:r w:rsidRPr="00FB0140">
        <w:rPr>
          <w:rFonts w:ascii="Times New Roman" w:eastAsia="Times New Roman" w:hAnsi="Times New Roman" w:cs="Times New Roman"/>
          <w:bCs/>
          <w:kern w:val="36"/>
          <w:sz w:val="20"/>
          <w:szCs w:val="20"/>
          <w:lang w:eastAsia="ru-RU"/>
        </w:rPr>
        <w:t xml:space="preserve"> (</w:t>
      </w:r>
      <w:r w:rsidRPr="00FB0140">
        <w:rPr>
          <w:rFonts w:ascii="Times New Roman" w:eastAsia="Times New Roman" w:hAnsi="Times New Roman" w:cs="Times New Roman"/>
          <w:bCs/>
          <w:i/>
          <w:kern w:val="36"/>
          <w:sz w:val="20"/>
          <w:szCs w:val="20"/>
          <w:lang w:eastAsia="ru-RU"/>
        </w:rPr>
        <w:t>29.07.2020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 xml:space="preserve"> Фонд территориального развития Министерства территориального управления и инфраструктур Армении при содействии Агентства США по международному развитию (USAID) осуществляет программу реформирования местного самоуправления, которая, помимо многих других инвестиций, предусматривает внедрение 30 млн драмов для установки солнечных станций в укрупненной общине Ноемберян.</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Как передает пресс-служба Министерства территориального управления и инфраструктур РА, первая солнечная электростанция уже установлена на крыше дома культуры Ноемберяна. Ее мощность составляет 20 киловатт. Станция будет ежегодно производить около 25 тыс киловатт / часов электроэнергии.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 сентябрю планируется ввести в эксплуатацию еще четырех станций с общей установленной мощностью в 80 кВт, две из которых будут установлены на насосных станциях, подающих питьевую воду в пограничный поселок Барекамаван. После успешного завершения проекта укрупненная община Ноембкрян будет экономить около пяти миллионов драмов в год.</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Отметим, что помимо USAID, идею развития в Армении альтернативной энергетики активно поддерживает и Европейский Союз, выделивший на эти цели 80 млн евро. Еще 300 млн евро будут направлены ЕС и европейскими финансовыми учреждениями на повышение безопасности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энергетического комплекса страны и диверсификацию источников энергии. Большая часть средств поступит в виде кредитов, другая - в виде грантов. При этом, приоритетными будут считаться проекты в сфере энергетической эффективности, которые должны быть направлены на снижение зависимости от импорта энергии, сглаживание растущего спроса на нее и предоставление более доступных по цене, экономичных, а также экологических энергетических решений.  В настоящее время жилые здания представляют собой крупнейший энергопотребляющий сектор Армении - порядка 40% электроэнергии и газа. Задача ЕС и властей Армении заключается в снижении этого показателя в ближайшей перспективе до 20%, а в долгосрочной - до 2030 года - выйти почти на нулевой показатель потребления энергии (NZEB) с использованием возобновляемых источников энергии. Разрабатывается и долгосрочная дорожная карта, цель которой - 100%-е соответствие NZEB всех новых общественных зданий в Армении к середине века.  Также разрабатывается порядок сертификации эко-маркировки для "зеленых зданий".</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i/>
          <w:kern w:val="36"/>
          <w:sz w:val="20"/>
          <w:szCs w:val="20"/>
          <w:lang w:eastAsia="ru-RU"/>
        </w:rPr>
      </w:pPr>
      <w:r w:rsidRPr="00FB0140">
        <w:rPr>
          <w:rFonts w:ascii="Times New Roman" w:eastAsia="Times New Roman" w:hAnsi="Times New Roman" w:cs="Times New Roman"/>
          <w:b/>
          <w:bCs/>
          <w:kern w:val="36"/>
          <w:sz w:val="20"/>
          <w:szCs w:val="20"/>
          <w:lang w:eastAsia="ru-RU"/>
        </w:rPr>
        <w:t>IFC, ЕБРР и Евросоюз станут институциональными инвесторами проекта строительства в Армении солнечной электростанции «Масрик -1»</w:t>
      </w:r>
      <w:r w:rsidRPr="00FB0140">
        <w:rPr>
          <w:rFonts w:ascii="Times New Roman" w:eastAsia="Times New Roman" w:hAnsi="Times New Roman" w:cs="Times New Roman"/>
          <w:bCs/>
          <w:i/>
          <w:kern w:val="36"/>
          <w:sz w:val="20"/>
          <w:szCs w:val="20"/>
          <w:lang w:eastAsia="ru-RU"/>
        </w:rPr>
        <w:t xml:space="preserve"> (13.08.2020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Международная финансовая корпорация(IFC), Европейский банк реконструкции и развития (ЕБРР) и Евросоюз станут институциональными инвесторами проекта строительства в Армении солнечной электростанции промышленного значения «Масрик -1».  Правительство РА на заседании 13 августа одобрило к подписанию письма к прямому контракту   между ЕБРР и IFC.</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Как отмечается в справке - обосновании проекта решения, министру территориального управления и инфраструктур РА поручается внести изменения в сопроводительное письмо, и подписать его от имени правительства РА.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 xml:space="preserve">Член группы ВБ Международная финансовая корпорация (IFC), Европейский банк реконструкции и развития (ЕБРР) и Евросоюз объявили о поддержке строительства в Армении солнечной электростанции промышленного значения.  Станция с пиковой мощностью в 55 МВт, которая будет находиться в селе Мец Масрик Гегаркуникской области, увеличит возможности Армении в сфере возобновляемой энергетики и поможет стране уменьшить зависимость от импортируемых энергоносителей. Станция будет строиться нидерландско-испанским консорциумом Fotowatio Renewable Ventures (FRV), ставшим победителем международного тендера. Компания получит пакет займов в $35,4 млн., из которого $17,1 является долгосрочным финансированием IFC и ЕБРР посредством разовых кредитов. Программа получит также инвестиционный грант в </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3 млн.  евро от ЕС, который будет мобилизирован ЕБРР. Пакет финансирования IFC включает кредит в $8,9 млн. из собственных средств корпорации и $8.9 млн. из совместного финансирования Финляндии и Климатической программы IFC.  В свою очередь, Америабанк предоставит финансирование для дополнительных расходов по оплате налогов.</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 xml:space="preserve">Планируется, что солнечная электростанция «Масрик» будет вырабатывать электроэнергию с конкурентным тарифом 4.19 центов за 1 кВт.ч. Электроэнергия будет закупаться со стороны ЗАО «Электросети Армении». Реализация программы позволит сократить годовые выбросы углекислого газа на 40 тыс тонн.  Ожидаемая сумма инвестиций составит около $50 млн.  Мощность станции позволит ежегодно производить до 120 млн. кВт.ч электроэнергии.  Победителю тендера предоставлено шесть месяцев на оформление договоров по финансированию проекта, после чего два года на строительство электростанции «Личк» и линии электропередач. </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
          <w:bCs/>
          <w:kern w:val="36"/>
          <w:sz w:val="20"/>
          <w:szCs w:val="20"/>
          <w:lang w:eastAsia="ru-RU"/>
        </w:rPr>
        <w:t>Армянская АЭС подключена к энергосистеме Армении</w:t>
      </w:r>
      <w:r w:rsidRPr="00FB0140">
        <w:rPr>
          <w:rFonts w:ascii="Times New Roman" w:eastAsia="Times New Roman" w:hAnsi="Times New Roman" w:cs="Times New Roman"/>
          <w:bCs/>
          <w:kern w:val="36"/>
          <w:sz w:val="20"/>
          <w:szCs w:val="20"/>
          <w:lang w:eastAsia="ru-RU"/>
        </w:rPr>
        <w:t xml:space="preserve"> </w:t>
      </w:r>
      <w:r w:rsidRPr="00FB0140">
        <w:rPr>
          <w:rFonts w:ascii="Times New Roman" w:eastAsia="Times New Roman" w:hAnsi="Times New Roman" w:cs="Times New Roman"/>
          <w:bCs/>
          <w:i/>
          <w:kern w:val="36"/>
          <w:sz w:val="20"/>
          <w:szCs w:val="20"/>
          <w:lang w:eastAsia="ru-RU"/>
        </w:rPr>
        <w:t>(25.08.2020 г.)</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Турбогенераторы №3 и 4 второго энергоблока Армянской АЭС после планово-предупредительного ремонта (ППР-2020) вышли на энергетический уровень и подключены к единой энергосистеме Армении.</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В рамках программы завершены работы в реакторном и турбинном цехах, а также в цехе централизованного ремонта. Проведено инструментальное обследование приводов систем управления и защиты реактора, а также проверка приборов для неразрушающего контроля металла. Выполненные работы позволили существенно повысить уровень безопасности и надежности эксплуатации энергоблока.</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ППР на Армянской АЭС завершен с опережением графика - на 12 дней раньше предусмотренного срока. Это стало возможным благодаря четкой организации процесса, нацеленности персонала Армянской АЭС на результат, а также взаимопониманию и эффективным деловым отношениям с привлеченными организациями, сложившимися за время плодотворной совместной работы. Генподрядчиком по выполнению работ в рамках ППР и модернизации оборудования Армянской АЭС выступает АО «Русатом Сервис» - специализированная сервисная компания, входящая в электроэнергетический дивизион Госкорпорации «Росатом».</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Уже пятый год Армянская АЭС совмещает планово-предупредительный ремонт с реализацией Программы продления срока эксплуатации станции, поскольку большая часть мероприятий в этом направлении технологически доступна только на остановленном энергоблоке. После завершения планово-предупредительного ремонта будут продолжены работы по продлению срока эксплуатации энергоблока №2 Армянской АЭС.</w:t>
      </w:r>
    </w:p>
    <w:p w:rsidR="00344536" w:rsidRPr="00FB0140" w:rsidRDefault="00344536" w:rsidP="00344536">
      <w:pPr>
        <w:shd w:val="clear" w:color="auto" w:fill="FFFFFF"/>
        <w:spacing w:after="0" w:line="240" w:lineRule="auto"/>
        <w:ind w:right="75" w:firstLine="709"/>
        <w:jc w:val="both"/>
        <w:outlineLvl w:val="0"/>
        <w:rPr>
          <w:rFonts w:ascii="Times New Roman" w:eastAsia="Times New Roman" w:hAnsi="Times New Roman" w:cs="Times New Roman"/>
          <w:bCs/>
          <w:kern w:val="36"/>
          <w:sz w:val="20"/>
          <w:szCs w:val="20"/>
          <w:lang w:eastAsia="ru-RU"/>
        </w:rPr>
      </w:pPr>
      <w:r w:rsidRPr="00FB0140">
        <w:rPr>
          <w:rFonts w:ascii="Times New Roman" w:eastAsia="Times New Roman" w:hAnsi="Times New Roman" w:cs="Times New Roman"/>
          <w:bCs/>
          <w:kern w:val="36"/>
          <w:sz w:val="20"/>
          <w:szCs w:val="20"/>
          <w:lang w:eastAsia="ru-RU"/>
        </w:rPr>
        <w:t>Напомним, что Армянская АЭС была остановлена на очередной планово-предупредительный ремонт с 1 июля. Предусматривалось, что работы на втором энергоблоке Армянской атомной электростанции продлятся 65 дней. Мероприятия на АЭС проводятся в рамках модернизации и продления срока эксплуатации второго энергоблока АЭС с целью повышения эффективности и надежности станции.  На завершение программы по продлению  Армянской атомной электростанции будет предоставлен бюджетный кредит в размере 63,2 млрд драмов (около $130 млн). Средства государственного бюджета будут предоставлены на завершение программы по продлению срока эксплуатации второго энергоблока ААЭС. На реализацию программы ранее Армения привлекла от Российской Федерации кредит в $270 млн и грант в $30 млн, и по положению на сегодняшний день остаточный ресурс этих средств составлял  $107 млн. По объективным и субъективным причинам с российскими партнерами не удалось договориться по данному остаточному ресурсу. По этой причине принято решение о привлечении бюджетного кредита в 63 млрд драмов.  В 2020 году  Армянская АЭС с этих средств получит получит 18,7 млрд драмов, в 2021 году -  31,5 млрд драмов и в 2022 году - 13 млрд драмов. Срок погашения  каждого транша  - 12 лет, из которых первые 2 года станут льготными. Процентная ставка будет эквивалентна процентной ставке заемных средств Российской Федерации, привлеченных ранее.  Погашение займа будет осуществляться два раза в год  равными пропорциями 25 июня и 25 декабря каждого года, а выплата процентов будет  производиться с 25 декабря 2020 года с полугодовыми  выплатами - 25 июня и 25 декабря каждого года. Кредит предоставляется без залога. Министерство финансов страны в рамках программы осуществит выпуск государственных казначейских облигаций. В рамках проекта предусмотрено также сформировать межведомственную тендерную комиссию, которая будет осуществлять все конкурсные процедуры, и контролировать процесс реализации программы.</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Республика Беларусь</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Новые стимулы для развития конкуренции на рынке электроэнергии появятся в Беларуси (</w:t>
      </w:r>
      <w:r w:rsidRPr="00FB0140">
        <w:rPr>
          <w:rFonts w:ascii="Times New Roman" w:eastAsia="Times New Roman" w:hAnsi="Times New Roman" w:cs="Times New Roman"/>
          <w:i/>
          <w:sz w:val="20"/>
          <w:szCs w:val="20"/>
          <w:lang w:eastAsia="ru-RU"/>
        </w:rPr>
        <w:t>02.07.2020г.)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Это предусмотрено проектом Указа Президента Республики Беларусь «О развитии конкуренции в сфере электроэнергетики».</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Как пояснила заместитель Министра энергетики Республики Беларусь Ольга Прудникова, проект Указа затрагивает отношения энергоснабжающих организаций ГПО «Белэнерго», юридических лиц-потребителей электроэнергии и независимых производителей — владельцев блок-станций, которые в свое время создавались для обеспечения собственных потребностей в электроэнергии, но с течением времени у них появилась необходимость в реализации ее излишков.</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«Действующим законодательством предусмотрена реализация излишков либо для продажи в сети энергосистемы, и мы ее выкупаем, либо эта электроэнергия транспортируется по нашим сетям обособленным подразделениям юридических лиц», — пояснила Ольга Прудникова.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Проект указа дает возможность владельцам блок-станций продавать электроэнергию через сети энергосистемы, при этом как в своем регионе, так и за его пределами.</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«Предлагаемые меры создают условия для реализации электроэнергии для потребителей по свободно формируемым ценам. Соответственно, это и возможное выравнивание ценового диапазона на будущем электроэнергетическом рынке, — отметила замминистра. — Данные меры формируют основу для новых конкурентных отношений, и, соответственно, новых стимулов для развития электроэнергетического рынка».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 итогам общественного обсуждения проекта указа, а также рассмотрения документа в госорганах и облисполкомах, в Минэнерго поступили предложения и рекомендации. Все они будут внимательно изучены для последующей выработки согласованных подходов по реализации обозначенных мер.</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 xml:space="preserve">Самая мощная электроподстанция готова к запуску БелАЭС </w:t>
      </w:r>
      <w:r w:rsidRPr="00FB0140">
        <w:rPr>
          <w:rFonts w:ascii="Times New Roman" w:eastAsia="Times New Roman" w:hAnsi="Times New Roman" w:cs="Times New Roman"/>
          <w:i/>
          <w:sz w:val="20"/>
          <w:szCs w:val="20"/>
          <w:lang w:eastAsia="ru-RU"/>
        </w:rPr>
        <w:t>(08.07.2020г.)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Самая мощная распределительная электроподстанция страны готова к запуску Белорусской АЭС. Здесь завершилась масштабная реконструкция.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Подстанция «Белорусская» передает электричество в регионы, а также связывает энергосистему нашей страны с Россией и Прибалтикой.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Модернизация позволила перейти на современные технологии и заменить оборудование распрeделительного устройства.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Это самая высоковольтная ЛЭП в Беларуси с напряжением 750 киловольт. Она позволит передавать электроэнергию с наименьшими потерями.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Павел Дрозд, генеральный директор ГПО «Белэнерго»: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Мы реконструировали полностью ОРУ-750 киловольт, установили новое современное европейское оборудование, таким образом, повысили надёжность работы оборудования. И это связано в первую очередь сегодня, что у нас подстанция «Белорусская», на неё завязана вся противоаварийная автоматика белорусской энергосистемы. Реконструкция подстанции «Белорусская» связана с программой интеграции АЭС, поэтому мы линию сегодня имеем связи 750 киловольт со Смоленской АЭС, чтобы была возможность передачи мощности при необходимости с Россией или со Смоленской атомной станции сюда, в нашу страну, и от нас, если нужно, им.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Живорад Смилькович, руководитель представительства компании – генерального подрядчика проекта (Словения): Здесь применена современная европейская технология, которая совместно с белорусскими предприятиями. Технология одна из самых передовых и новейших, которая даёт возможность пользоваться минимально 35-50 лет, не делать никакую реконструкцию.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Реконструкция электроузла – часть масштабной программы по интеграции БелАЭС в энергосистему страны. Подобные подстанции появились во многих регионах Беларуси. Все они необходимы для поддержания энергобаланса и эффективного распределения электричества, которое будет давать мирный атом.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На Гомельщине запустили первую в регионе ГЭС.</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 месте первой белорусской ГЭС возвели новую современную гидроэлектростанцию с онлайн-управлением. Инвестпроект реализовало ООО «Добгидроинвест» на реке Ипуть в Добруше. Рабочий максимум новой гидроэлектростанции – 450 кВт.ч. Однако это не самая маленькая ГЭС по белорусским меркам. Для 20-тысячного Добруша запуск станции стал значимым событием. На этом же месте еще при князе Паскевиче 120 лет назад была запущена первая в Беларуси гидростанция, благодаря которой начала работать местная бумажная фабрика.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Электрические перспективы.</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Перспективные инфраструктурные проекты по использованию электрической энергии в различных сферах экономики Беларуси обсудили энергетики, ученые и иные эксперты на пресс-конференции, прошедшей 23 июля в Минске в рамках конкурса «Лидер энергоэффективности – 2020». «Ввод в эксплуатацию Белорусской АЭС – это шаг вперед, который позволит Беларуси увеличить ВВП, снизить его энергоемкость, привлечь и внедрить в страну новые технологии, материалы и оборудование», – отметил во вступительной речи Михаил МАЛАШЕНКО, заместитель председателя Госстандарта – директор Департамента по энергоэффективности. Михаил Петрович напомнил, что в Беларуси сейчас реализуется специальный план, предусматривающий повышение потребления электрической энергии в различных областях народного хозяйства – промышленности, жилищно-коммунальном хозяйстве, строительстве, транспорте… «Всего по этому плану будет реализовано ориентировочно 178 мероприятий, которые увеличат ежегодное электропотребление на 2 млрд 800 млн кВт•ч», – подчеркнул Михаил Малашенко.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«Энергетики уже предприняли ряд мер по интеграции Белорусской АЭС в энергосистему, – продолжил тему первый заместитель генерального директора – главный инженер ГПО «Белэнерго» Владимир БОБРОВ. – Одно из основных мероприятий – строительство электрокотлов – направлено на повышение надежности работы оборудования и выравнивание суточного графика нагрузки». В целом в Беларуси планируют ввести в эксплуатацию электрокотлы установленной мощностью до 1116 МВт, из них 916 МВт приходится на объекты энергосистемы – 760 МВт на электрических станциях и 156 МВт на котельных. «Кроме мягкого прохождения ночных провалов электрической нагрузки, строительство электрокотлов резко повысит техническую маневренность нашего оборудования, – подчеркнул Владимир Владимирович. – Расчеты специалистов по режимам показывают, что наличие электрокотлов резко снизит количество пусков и остановов оборудования, сократив расход топливно-энергетических ресурсов на пусковые операции. Кроме того, электрокотлы помогут организовать дополнительное резервирование по видам топлива: все наши ТЭЦ имеют возможность работать на двух видах топлива (газе и мазуте), к ним добавится еще и третий – электрическая энергия. К тому же появление электрокотлов на крупных энергоисточниках улучшит экологическую обстановку в городах». Сегодня в республике уже введены в эксплуатацию электрокотлы суммарной мощностью 170 МВт на ТЭЦ и 26 МВт на котельных. Определенные задержки, связанные с пандемией коронавируса и невозможностью въезда в Беларусь шеф-инженеров заводов-изготовителей оборудования, были преодолены (наладка иногда проводилась удаленно – с помощью ноутбука и веб-камеры), и до конца текущего года энергетики планируют реализовать все проекты.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 технической точки зрения строительства электрокотельные – это не сложные проекты, – рассказал Александр СИВАК, помощник директора РУП «БЕЛТЭИ» по перспективному развитию. – Специалисты нашего предприятия проектировали шесть таких объектов – на пяти котельных и одной мини-ТЭЦ в Пинске. Установленная мощность электрических котлов составляла от 10 до 40 МВт. Особенностью проектов стало наличие баков-аккумуляторов от 500 до 1000 м3: не скажу, что это новое техническое решение, однако в нашей стране широко оно не использовалось. На этапе проектирования мы выявили неожиданно большие объемы дополнительного сетевого строительства, что потребовало сооружения новых электрических подстанций, а от одного объекта даже пришлось отказаться из-за слишком высокой стоимости строительства сетей». Александр Владимирович также рассказал, что определенные вопросы были связаны с совместной работой существующего и нового оборудования. Однако все проблемы были решены в рабочем порядке и вовремя. «Ввод электрокотлов – это не просто инфраструктурный проект, направленный на экономию топлива и повышение экологичности энергетического производства. Электрокотлы – это еще и надежный компонент в деле повышения маневренности и безопасности эксплуатации Белорусской энергосистемы», – подытожил Владимир Бобров, напомнив, что в следующем году перед энергетиками стоит еще одна важная задача – строительство и ввод в эксплуатацию пиково-резервных источников.</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На заседании Президиума Совета ГПО «Белэнерго» обсудили итоги работы организаций объединения за первое полугодие 2020 года.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14 августа в Минске состоялось заседание Президиума Совета ГПО «Белэнерго». Коллегиальное управление объединением осуществляет постоянно действующий орган – Совет. Президиум Совета является его коллегиальным, оперативным рабочим органом. В состав Президиума Совета входят генеральный директор ГПО «Белэнерго» и его заместители, генеральные директора РУП-облэнерго, генеральные директора ряда государственных предприятий.</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О выполнении доведенных ГПО «Белэнерго» на 2020 год ключевых показателей эффективности работы в рамках обеспечения реализации задач социально-экономического развития, требований Директивы Президента Республики Беларусь № 3, технико-экономических показателей работы энергосистемы, заданий по энергосбережению доложила начальник производственно-технического управления ГПО «Белэнерго» Тамара Антропова.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Выработка электроэнергии источниками ГПО «Белэнерго» за первое полугодие 2020 года составила 16,73 млрд кВтч. Потребление электроэнергии составило 18,54 млрд кВтч.</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 докладами об итогах деятельности за первое полугодие выступили заместители генерального директора ГПО «Белэнерго» по курируемым направлениям и руководители энергоснабжающих организаций.</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 заседании присутствовали – Министр энергетики Виктор Каранкевич, заместитель председателя Республиканского комитета Белорусского профессионального союза работников энергетики, газовой и топливной промышленности Александр Жилко, председатель Республиканского общественного объединения ветеранов-энергетиков Николай Булыга.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Открыл заседание генеральный директор ГПО «Белэнерго» Павел Дрозд. В своём докладе особое внимание он уделил вопросам выполнения требований Директивы Президента Республики Беларусь №1 от 11 марта 2004 г. «О мерах по укреплению общественной безопасности и дисциплины», состоянию охраны труда и техники безопасности.</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Ремонты, строительство, замена теплотехнического и электротехнического оборудования, тепло и электросетей выполняются согласно графикам. Выполнены ремонты 6 энергетических котлов, 4 турбин, 11 водогрейных котлов и 9 паровых котлов. Выполнена замена и строительство тепловых сетей в объеме 100,073 км в однотрубном исчислении. Выполнены капитальные ремонты 5 генераторов, 1 выключателя класса напряжения 220-330 кВ, комплексный капитальный ремонт 23 ПС 35-110 кВ. Введено в эксплуатацию 796,85 км линий электропередачи 0,4-330 кВ.</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Продолжается реализация проектов:</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w:t>
      </w:r>
      <w:r w:rsidRPr="00FB0140">
        <w:rPr>
          <w:rFonts w:ascii="Times New Roman" w:eastAsia="Times New Roman" w:hAnsi="Times New Roman" w:cs="Times New Roman"/>
          <w:sz w:val="20"/>
          <w:szCs w:val="20"/>
          <w:lang w:eastAsia="ru-RU"/>
        </w:rPr>
        <w:tab/>
        <w:t>Реконструкция ПС 330 кВ «Могилев-330»;</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w:t>
      </w:r>
      <w:r w:rsidRPr="00FB0140">
        <w:rPr>
          <w:rFonts w:ascii="Times New Roman" w:eastAsia="Times New Roman" w:hAnsi="Times New Roman" w:cs="Times New Roman"/>
          <w:sz w:val="20"/>
          <w:szCs w:val="20"/>
          <w:lang w:eastAsia="ru-RU"/>
        </w:rPr>
        <w:tab/>
        <w:t>Минская ТЭЦ-3. Реконструкция очереди 14 Мпа;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w:t>
      </w:r>
      <w:r w:rsidRPr="00FB0140">
        <w:rPr>
          <w:rFonts w:ascii="Times New Roman" w:eastAsia="Times New Roman" w:hAnsi="Times New Roman" w:cs="Times New Roman"/>
          <w:sz w:val="20"/>
          <w:szCs w:val="20"/>
          <w:lang w:eastAsia="ru-RU"/>
        </w:rPr>
        <w:tab/>
        <w:t>Реконструкция ПС-220 кВ «Столбцы» с переводом на напряжение 330 кВ и строительством ВЛ 330 кВ «Столбцы-Барановичи» (3-я и 4-я очереди строительства).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Организациями ГПО «Белэнерго» за 1 квартал 2020 года освоено инвестиций в основной капитал в объеме 865,927 тыс. руб.</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Также на заседании рассматривались вопросы организации работы по осуществлению административных процедур по заявлениям граждан, юридических лиц и индивидуальных предпринимателей в области электро-теплоснабжения и сбытовой деятельности.</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Участники заседания обсудили ход подготовки энергоснабжающих организаций к работе в осенне-зимний период 2020/2021 г.г.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Подводя итоги, Министр энергетики Виктор Каранкевич отметил необходимость своевременного и качественного выполнения мероприятий по интеграции Белорусской АЭС в энергосистему Республики Беларусь, реализации комплексных мер по увеличению электропотребления. Он отметил, что на каждом новом этапе появляются различные трудности и вызовы, но энергетики готовы с ними справиться.</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Беларусь возобновила импорт электроэнергии из Украины.</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Беларусь возобновила импорт электроэнергии из Украины, сообщили БЕЛТА в Министерстве энергетики.</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"Речь идет о взаимовыгодном сотрудничестве на паритетной основе, когда при технической возможности и экономической целесообразности осуществляются взаимовыгодные поставки электроэнергии в рамках энергосистем наших стран", - отметили в пресс-службе.</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Как сообщила Национальная атомная энергогенерирующая компания Украины "Энергоатом", экспорт произведенной на украинских АЭС электроэнергии в Беларусь начался в полночь 22 июля.</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Беларусь направлен реализованный на Украинской энергетической бирже объем - 12 тыс. МВт.ч электроэнергии базовой нагрузки поставкой в период с 22 по 31 июля по средневзвешенной цене 948 грн/МВт.ч.</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sz w:val="20"/>
          <w:szCs w:val="20"/>
          <w:lang w:eastAsia="ru-RU"/>
        </w:rPr>
        <w:t>С вводом БелАЭС для реального сектора экономики планируют установить более низкие тарифы на электроэнергию</w:t>
      </w:r>
      <w:r w:rsidRPr="00FB0140">
        <w:rPr>
          <w:rFonts w:ascii="Times New Roman" w:eastAsia="Times New Roman" w:hAnsi="Times New Roman" w:cs="Times New Roman"/>
          <w:sz w:val="20"/>
          <w:szCs w:val="20"/>
          <w:lang w:eastAsia="ru-RU"/>
        </w:rPr>
        <w:t xml:space="preserve"> </w:t>
      </w:r>
      <w:r w:rsidRPr="00FB0140">
        <w:rPr>
          <w:rFonts w:ascii="Times New Roman" w:eastAsia="Times New Roman" w:hAnsi="Times New Roman" w:cs="Times New Roman"/>
          <w:i/>
          <w:sz w:val="20"/>
          <w:szCs w:val="20"/>
          <w:lang w:eastAsia="ru-RU"/>
        </w:rPr>
        <w:t>(13.08.2020г.)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 вводом БелАЭС и ростом потребления электрической энергии для реального сектора экономики планируют установить более низкие тарифы на электроэнергию. Об этом заявил сегодня журналистам министр энергетики Виктор Каранкевич по итогам совещания у главы государства, передает корреспондент БЕЛТА.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Для реального сектора экономики планируется установить более низкие тарифы с учетом роста электропотребления в стране.</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7 августа в реактор первого энергоблока на БелАЭС началась загрузка ядерного топлива. Эту работу планируется завершить 13 августа - все 163 тепловыделяющие сборки должны быть загружены. Далее - это сборка реактора, его уплотнение и выход на минимальную мощность работы. Включение оборудования в сеть и выдача электрической энергии для потребителей страны планируются в четвертом квартале.</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Параллельно ведется работа по увеличению электропотребления. Реализуется межотраслевой комплекс мер, благодаря чему потребление электроэнергии в реальном секторе экономики к 2026 году увеличится на 2,7 млрд кВт.ч. Сейчас Министерство энергетики и Министерство антимонопольного регулирования и торговли прорабатывают систему стимулирующих тарифов от объемов потребления: чем выше объемы потребления, тем меньше тарифы.</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 xml:space="preserve">В Беларуси растет использование «зеленой» электроэнергии </w:t>
      </w:r>
      <w:r w:rsidRPr="00FB0140">
        <w:rPr>
          <w:rFonts w:ascii="Times New Roman" w:eastAsia="Times New Roman" w:hAnsi="Times New Roman" w:cs="Times New Roman"/>
          <w:i/>
          <w:sz w:val="20"/>
          <w:szCs w:val="20"/>
          <w:lang w:eastAsia="ru-RU"/>
        </w:rPr>
        <w:t>(14.08.2020г.)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Беларуси растет использование "зеленой" электроэнергии, сообщили БЕЛТА в пресс-службе Департамента по энергоэффективности Госстандарта.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 госпрограмме "Энергосбережение" на 2016-2020 годы в Беларуси к началу III квартала текущего года введено в эксплуатацию 280,5 МВт установок возобновляемых источников энергии (ВИЭ), производящих "зеленую" электроэнергию.</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 1 июля суммарная установленная электрическая мощность установок ВИЭ составляла 418 МВт, что почти в пять раз превышает показатель шестилетней давности - 88 МВт на 1 января 2014 года.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Наибольшую долю в структуре ВИЭ по установленной мощности занимают солнечные электростанции суммарной мощностью 159 МВт (38%), ветроэлектростанции - 109,1 МВт (26%), гидроэлектростанции (ГЭС) - 96,1 МВт (23%). Доля биогазовых установок составила 9,2% (38,6 МВт), мини-ТЭЦ на биомассе - 3,7% (15,5 МВт).</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структуре выработки электроэнергии от установок ВИЭ с учетом разных коэффициентов использования установленной мощности по видам ВИЭ ситуация иная. "Здесь первенство, начиная с 2016 года, уверенно держат ГЭС, на втором месте - ветроэнергетические установки, за которыми идут солнечные электростанции (в 2018 году они опережали ветроэнергетические установки). Если в 2016 году из ВИЭ вырабатывали 0,3 млрд кВт.ч, то в 2019-м - уже 0,9 млрд кВт.ч", - отметили специалисты.</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Департаменте по энергоэффективности также представили данные о развитии ВИЭ в разрезе регионов. Так, в Гомельской области больше всего освоен потенциал энергии солнца, однако регион не богат на водные ресурсы (единственная гидроэлектростанция на 0,45 МВт построена на реке Ипуть в 2020 году) и не имеет ветроэнергетических установок. Здесь суммарная установленная мощность ВИЭ самая большая по стране - 102 МВт. В Гродненской области с равномерно развитым использованием энергии ветра, солнца и воды - 97,5 МВт.</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После планируемого ввода в 2020 году Чериковской солнечной электростанции установленной мощностью 109 МВт лидером на пути к углеродно-нейтральному будущему долго будет оставаться Могилевская область (сегодня 89 МВт). В Минской (29 МВт) и Брестской (16 МВт) областях больше всего освоен потенциал использования энергии биогаза, Витебской (76 МВт) - энергии воды. Организации Минска, где есть установки суммарной мощностью 8,8 МВт, эксплуатируют все виды ВИЭ, кроме ветра.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Республика Молдова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 xml:space="preserve">В Молдове построят три фотоэлектрических солнечных парка </w:t>
      </w:r>
      <w:r w:rsidRPr="00FB0140">
        <w:rPr>
          <w:rFonts w:ascii="Times New Roman" w:eastAsia="Times New Roman" w:hAnsi="Times New Roman" w:cs="Times New Roman"/>
          <w:i/>
          <w:sz w:val="20"/>
          <w:szCs w:val="20"/>
          <w:lang w:eastAsia="ru-RU"/>
        </w:rPr>
        <w:t>(26.08.2020г.)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26 августа 2020 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В Республике Молдова будут построены три фотоэлектрических солнечных парка общей мощностью 28 МВт. Проект этого инвестиционного плана был представлен во время рабочего визита министра экономики и инфраструктуры Сергея Райляна в крупнейший фотоэлектрический солнечный парк в Республике Молдова – Fly Ren. В ходе своего визита Сергей Райлян обсудил с администрацией компании производственные мощности фотоэлектрического парка, а также проблемы и препятствия, с которыми они сталкиваются в настоящее время.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 словам представителей Fly Ren, солнечный парк имеет мощность 1 МВт и расположен на площади около 2 га. На данный момент на его территории расположено около 3700 солнечных батарей. В течение календарного года вырабатывается 1,2 млн кВтч. В будущем компания намерена построить еще три фотоэлектрических парка: в Бульбоаке, Карпиненах и Ниспоренах. В Молдове будет построен самый большой парк солнечных панелей «Республика Молдова должна развивать альтернативные источники энергии, чтобы использовать свой потенциал в секторе возобновляемых источников энергии. Эта цель может быть достигнута за счет активного вовлечения бизнес-среды в новые проекты в области возобновляемых источников энергии. Строительство еще трех фотоэлектрических парков общей мощностью около 28 МВт увеличит мощность производства возобновляемой энергии на национальном рынке», – заявил Сергей Райлян. Министр также посетил call-центр Службы экстренной помощи 112 в коммуне Бачой, который расположен недалеко от солнечного парка. Это первый call-центр в Европе, который на 100% обеспечен зеленой энергией от фотоэлектрического парка. Около 85% возобновляемой энергии, производимой фотоэлектрическим парком, поставляется центральному поставщику электроэнергии S.A. «Энергоком».</w:t>
      </w:r>
    </w:p>
    <w:p w:rsidR="00344536" w:rsidRPr="00FB0140" w:rsidRDefault="00344536" w:rsidP="00344536">
      <w:pPr>
        <w:shd w:val="clear" w:color="auto" w:fill="FFFFFF"/>
        <w:spacing w:after="0" w:line="240" w:lineRule="auto"/>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textAlignment w:val="top"/>
        <w:outlineLvl w:val="2"/>
        <w:rPr>
          <w:rFonts w:ascii="Times New Roman" w:eastAsia="Times New Roman" w:hAnsi="Times New Roman" w:cs="Times New Roman"/>
          <w:b/>
          <w:bCs/>
          <w:sz w:val="20"/>
          <w:szCs w:val="20"/>
          <w:lang w:eastAsia="ru-RU"/>
        </w:rPr>
      </w:pPr>
      <w:r w:rsidRPr="00FB0140">
        <w:rPr>
          <w:rFonts w:ascii="Times New Roman" w:eastAsia="Times New Roman" w:hAnsi="Times New Roman" w:cs="Times New Roman"/>
          <w:b/>
          <w:bCs/>
          <w:sz w:val="20"/>
          <w:szCs w:val="20"/>
          <w:lang w:eastAsia="ru-RU"/>
        </w:rPr>
        <w:t>НАРЭ снизило тариф на электроэнергию для бытовых потребителей, обслуживаемых Premier Energy, на 11,1% - до 168 банов за 1 кВт/ч.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Соответствующее решение было принято на заседании Админсовета Национального агентства по регулированию в энергетике 31 июля. Для потребителей, обслуживаемых компанией Premier Energy и подключенных к сетям среднего напряжения (6;10 кВт), тариф снижен на 13,8% - до 132 банов за 1 кВт/ч; а для подключенных к сетям высокого напряжения (35-110 кВт) - на 14,9% -до 117 банов за 1 кВт/ч.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Снижение тарифов стало возможным, благодаря: сокращению на 10% средней цены покупки электроэнергии у центрального поставщика (со 163 до 146 банов за 1 кВт/ч); положительным тарифным отклонениям, накопленным до 1 июля 2020 г.; изменению среднегодового курса национальной валюты с 17,58 лея за $1 (включенного в действующий тариф) до 17,9 лея за $1 за 2020 г. В то же время, НАРЭ понизило тариф на электроэнергию для бытовых потребителей северных регионов, обслуживаемых Furnizarea Energiei Electrice Nord, на 3,8% - до 214 банов за 1 кВт/ч. Для потребителей, обслуживаемых компанией Premier Energy и подключенных к сетям среднего напряжения (6;10 кВт), тариф снижен на 3,9% - до 157 банов за 1 кВт/ч. Тарифы вступят в силу с момента публикации в Monitorul Oficial. //31.07.2020 — InfoMarket.</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 xml:space="preserve">Импорт в Молдову энергоресурсов в январе-апреле 2020 г. в денежном выражении составил $234,88 млн, снизившись на 28,5%, в сравнении с тем же периодом 2019 г.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первые 4 мес. 2020 г., в сравнении с аналогичным периодом предыдущего года, импорт нефти и нефтепродуктов в стоимостном выражении уменьшился на 24,6% - до $126,56 млн, а природного газа – снизился на 30% - до $96,91 млн. Импорт электроэнергии сократился на 49,6%, составив $8,11 млн. Поставки угля, кокса и брикетов за тот же период сократились на 43,7% - до $3,29 млн. Доля минерального топлива в общем объеме молдавского импорта в январе-апреле 2020 г. составила 14,23% против 17,45% за тот же период годом ранее. Импорт энергоресурсов занял 4-е место в общей структуре поставок продукции в Молдову за 4 мес. 2020 г. При этом импорт нефтепродуктов в структуре общего импорта составил 7,67%, природного газа - 5,87%, электроэнергии – 0,49%, угля – 0,2%.</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i/>
          <w:sz w:val="20"/>
          <w:szCs w:val="20"/>
          <w:lang w:eastAsia="ru-RU"/>
        </w:rPr>
      </w:pPr>
      <w:r w:rsidRPr="00FB0140">
        <w:rPr>
          <w:rFonts w:ascii="Times New Roman" w:eastAsia="Times New Roman" w:hAnsi="Times New Roman" w:cs="Times New Roman"/>
          <w:b/>
          <w:sz w:val="20"/>
          <w:szCs w:val="20"/>
          <w:lang w:eastAsia="ru-RU"/>
        </w:rPr>
        <w:t>В Молдове с 7 августа вступили в силу сниженные тарифы на электроэнергию для конечных потребителей страны</w:t>
      </w:r>
      <w:r w:rsidRPr="00FB0140">
        <w:rPr>
          <w:rFonts w:ascii="Times New Roman" w:eastAsia="Times New Roman" w:hAnsi="Times New Roman" w:cs="Times New Roman"/>
          <w:sz w:val="20"/>
          <w:szCs w:val="20"/>
          <w:lang w:eastAsia="ru-RU"/>
        </w:rPr>
        <w:t xml:space="preserve">. </w:t>
      </w:r>
      <w:r w:rsidRPr="00FB0140">
        <w:rPr>
          <w:rFonts w:ascii="Times New Roman" w:eastAsia="Times New Roman" w:hAnsi="Times New Roman" w:cs="Times New Roman"/>
          <w:i/>
          <w:sz w:val="20"/>
          <w:szCs w:val="20"/>
          <w:lang w:eastAsia="ru-RU"/>
        </w:rPr>
        <w:t>(07.08.2020г.)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Соответствующее постановление, которое принял 31 июля Админсовет Национального агентства по регулированию в энергетике, вступило в силу после его опубликования в Monitorul oficial.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Согласно решению НАРЭ, в частности, для конечных потребителей компании Premier Energy, чьи электроустановки подключены к распределительным электросетям низкого напряжения (0,4 кВ), тариф был уменьшен на 21 бан (-11,1%) - до 168 банов за 1 кВт/ч (без учета НДС). Для потребителей Premier Energy, подключенных к сетям среднего напряжения (6;10 кВ), тариф сокращен на 21 бан (-13,8%) - до 132 банов за 1 кВт/ч, а для подключенных к сетям высокого напряжения (35; 110 кВ), тариф снижен на 20,6 бана (-14,9%) - до 117 банов за 1 кВт/ч. В то же время, для потребителей компании Furnizarea Energiei Electrice Nord, чьи электроустановки подключены к распределительным электросетям низкого напряжения (0,4 кВ), тариф уменьшен на 8,5 бана (-3,8%) - до 214 банов за 1 кВт/ч, а для потребителей Furnizarea Energiei Electrice Nord, подключенных к сетям среднего напряжения (6;10 кВ), тариф сокращен на 6,4 бана (-3,9%) - до 157 банов за 1 кВт/ч. Как сообщили ранее в НАРЭ, снижение тарифов на электричество для конечных потребителей стало возможным благодаря следующим объективным факторам: уменьшению средней цены покупки электроэнергии у центрального поставщика электроэнергии со 163 до 146 банов за 1 кВт/ч (-10%), снижению закупочной цены электроэнергии на 7%, положительным тарифным отклонениям, накопленным до 1 июля 2020 г., новому прогнозу среднегодового курса национальной валюты по отношению к доллару США за 2020 г. на уровне 17,9 лея, по сравнению с прежним среднегодовым обменным курсом валюты 17,58 лея за доллар США, включенным в действующие тарифы/цены (+1,8%).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sz w:val="20"/>
          <w:szCs w:val="20"/>
          <w:lang w:eastAsia="ru-RU"/>
        </w:rPr>
        <w:t>Выручка от продаж Молдавской ГРЭС в I полугодии 2020 г. в российских рублях составила 5 млрд 491 млн ($75,3 млн по нынешнему курсу ЦБ РФ), увеличившись на 16,8%, в сравнении с тем же периодом 2019 г.</w:t>
      </w:r>
      <w:r w:rsidRPr="00FB0140">
        <w:rPr>
          <w:rFonts w:ascii="Times New Roman" w:eastAsia="Times New Roman" w:hAnsi="Times New Roman" w:cs="Times New Roman"/>
          <w:sz w:val="20"/>
          <w:szCs w:val="20"/>
          <w:lang w:eastAsia="ru-RU"/>
        </w:rPr>
        <w:t xml:space="preserve"> </w:t>
      </w:r>
      <w:r w:rsidRPr="00FB0140">
        <w:rPr>
          <w:rFonts w:ascii="Times New Roman" w:eastAsia="Times New Roman" w:hAnsi="Times New Roman" w:cs="Times New Roman"/>
          <w:i/>
          <w:sz w:val="20"/>
          <w:szCs w:val="20"/>
          <w:lang w:eastAsia="ru-RU"/>
        </w:rPr>
        <w:t>(18.08.2020г.)</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 xml:space="preserve">Такие данные содержатся в финансовой отчетности за указанный период группы «Интер РАО», в состав которой входит Молдавская ГРЭС, расположенная в Приднестровском регионе (Днестровск). В январе-июне прошлого года выручка от продаж МолдГРЭС составила 4 млрд 702 млн руб. Согласно отчетности Интер РАО, показатель EBITDA (earnings before interest, taxes, depreciation and amortization/прибыль до вычета расходов по выплате процентов, налогов и начисленной амортизации) Молдавской ГРЭС вырос на 13,4% - с 1 млрд 392 млн руб. в январе-июне 2019 г. до 1 млрд 579 млн руб. за тот же период 2020 г. </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Как отмечают в «Интер РАО», Молдавская ГРЭС показала положительную динамику в I полугодии 2020 г. за счет увеличения объемов и цен поставок электроэнергии. Как сообщало ранее агентство InfoMarket, Молдавская ГРЭС в I полугодии 2020 г., в сравнении с тем же периодом 2019 г., увеличила производство электроэнергии на 9,1% - до 2 млрд 105,3 кВт/ч. Выручка от продаж Молдавской ГРЭС в 2019 г. составила 10 млрд 391 млн российский рублей, и выросла на 22,4%, в сравнении с предыдущим годом, а показатель EBITDA увеличился за год на 11,8% - с 2 млрд 804 млн руб. в 2018 г. до 3 млрд 136 млн руб. в 2019 г. Молдавская ГРЭС расположена в Приднестровье на западном берегу Кучурганского лимана. Установленная мощность электростанции составляет 2520 МВт. Молдавской ГРЭС состоит из 12 энергоблоков и работает на трех видах топлива: угле, газе и мазуте. ЗАО «Молдавская ГРЭС» на 100% принадлежит Группе «Интер РАО» - диверсифицированному энергохолдингу, присутствующему в различных сегментах электроэнергетической отрасли в России и за рубежом. Компания занимает лидирующие позиции в России в области экспорта-импорта электроэнергии, активно наращивает присутствие в сегментах генерации и сбыта, а также развивает новые направления бизнеса.</w:t>
      </w:r>
    </w:p>
    <w:p w:rsidR="00344536" w:rsidRPr="00FB0140" w:rsidRDefault="00344536" w:rsidP="00344536">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344536" w:rsidRPr="00FB0140" w:rsidRDefault="00344536" w:rsidP="00344536">
      <w:pPr>
        <w:shd w:val="clear" w:color="auto" w:fill="FFFFFF"/>
        <w:spacing w:after="0" w:line="240" w:lineRule="auto"/>
        <w:jc w:val="both"/>
        <w:rPr>
          <w:rFonts w:ascii="Times New Roman" w:eastAsia="Times New Roman" w:hAnsi="Times New Roman" w:cs="Times New Roman"/>
          <w:b/>
          <w:sz w:val="20"/>
          <w:szCs w:val="20"/>
          <w:lang w:eastAsia="ru-RU"/>
        </w:rPr>
      </w:pPr>
      <w:r w:rsidRPr="00FB0140">
        <w:rPr>
          <w:rFonts w:ascii="Times New Roman" w:eastAsia="Times New Roman" w:hAnsi="Times New Roman" w:cs="Times New Roman"/>
          <w:b/>
          <w:sz w:val="20"/>
          <w:szCs w:val="20"/>
          <w:lang w:eastAsia="ru-RU"/>
        </w:rPr>
        <w:tab/>
        <w:t>Республика Казахстан</w:t>
      </w:r>
    </w:p>
    <w:p w:rsidR="00344536" w:rsidRPr="00FB0140" w:rsidRDefault="00344536" w:rsidP="00344536">
      <w:pPr>
        <w:shd w:val="clear" w:color="auto" w:fill="FFFFFF"/>
        <w:spacing w:after="0" w:line="240" w:lineRule="auto"/>
        <w:jc w:val="both"/>
        <w:rPr>
          <w:rFonts w:ascii="Times New Roman" w:eastAsia="Times New Roman" w:hAnsi="Times New Roman" w:cs="Times New Roman"/>
          <w:b/>
          <w:sz w:val="20"/>
          <w:szCs w:val="20"/>
          <w:lang w:eastAsia="ru-RU"/>
        </w:rPr>
      </w:pPr>
    </w:p>
    <w:p w:rsidR="00344536" w:rsidRPr="00FB0140" w:rsidRDefault="00344536" w:rsidP="00344536">
      <w:pPr>
        <w:shd w:val="clear" w:color="auto" w:fill="FFFFFF"/>
        <w:spacing w:after="0" w:line="240" w:lineRule="auto"/>
        <w:ind w:firstLine="709"/>
        <w:jc w:val="both"/>
        <w:textAlignment w:val="center"/>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bCs/>
          <w:sz w:val="20"/>
          <w:szCs w:val="20"/>
          <w:lang w:eastAsia="ru-RU"/>
        </w:rPr>
        <w:t>Большое будущее малых ГЭС (источник АО «КОРЭМ)</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bCs/>
          <w:sz w:val="20"/>
          <w:szCs w:val="20"/>
          <w:lang w:eastAsia="ru-RU"/>
        </w:rPr>
      </w:pPr>
      <w:r w:rsidRPr="00FB0140">
        <w:rPr>
          <w:rFonts w:ascii="Times New Roman" w:eastAsia="Times New Roman" w:hAnsi="Times New Roman" w:cs="Times New Roman"/>
          <w:bCs/>
          <w:sz w:val="20"/>
          <w:szCs w:val="20"/>
          <w:lang w:eastAsia="ru-RU"/>
        </w:rPr>
        <w:t>Обеспечение энергетической безопасности является одним из ключевых приоритетов Казахстана.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bCs/>
          <w:sz w:val="20"/>
          <w:szCs w:val="20"/>
          <w:lang w:eastAsia="ru-RU"/>
        </w:rPr>
        <w:t>В стране существует сильный политический импульс для продвижения к «зеленой» экономике. Так, в Стратегии «Казахстан-2050» и других стратегических программных документах заявлены амбициозные цели по достижению 50-процентной доли альтернативной и возобновляемой энергии к 2050 году в ее секторе производства электроэнергии, а также по снижению энергоемкости ВВП на 25 процентов к 2020 году по сравнению с исходным уровнем 2008 года. О том, насколько реализуемы эти задачи, мы попросили рассказать эксперта Института мировой экономики и политики при Фонде Нурсултана Назарбаева Лидию Пархомчик.</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Суммарный потенциал возобновляемых источников энергии (ВИЭ) в Казахстане весьма значителен и оценивается более чем в 1 трлн кВт*ч в год. Наиболее перспективными для развития являются ветроэнергетика (технический потенциал – 929 млрд кВт*ч). Общий гидроэнергетический потенциал Казахстана составляет 170 млрд кВт*ч в год, при этом 62 млрд кВт*ч составляет его технический потенциал, из которых 30 млрд кВт*ч в год экономически целесообразны для использования. Тем не менее Казахстан вырабатывает в среднем порядка 8-9 млрд кВт*ч в год, что говорит о недостаточном использовании гидроэнергоресурсов страны.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bCs/>
          <w:i/>
          <w:iCs/>
          <w:sz w:val="20"/>
          <w:szCs w:val="20"/>
          <w:lang w:eastAsia="ru-RU"/>
        </w:rPr>
        <w:t>Генерация электроэнергии на ГЭС</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 сегодняшний день именно гидроэнергетический сегмент является наиболее развитым возобновляемым и альтернативным источником энергии в Казахстане. Гидроэлектростанции, установленные как в советский, так и в постсоветский периоды, играют важную роль в энергетическом балансе страны. Валовое производство электроэнергии на гидроэлектростанциях в Казахстане увеличилось с 7,3 млрд. кВт*ч в 1990 году до 9,9 млрд. кВт*ч в 2019 году.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Однако здесь нужно учесть ряд нюансов. Так, за последние три года доля электроэнергии, произведенной крупными ГЭС, имеет тенденцию к снижению. В 2017 году на долю гидросооружений приходилось 11,1 млрд. кВт*ч произведенной электроэнергии, тогда как в 2018 году данный показатель снизился до 10,3 млрд. кВт*ч. Соответственно идет планомерное снижение доли ГЭС в общем производстве электроэнергии с 10,9 процентов в 2017 году до 9,7 процентов в 2018 году и 9,4 процента в 2019 году. Если брать в расчет 1 квартал 2020 года, то данный показатель и вовсе составил 7,1 процент.</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Вообще нужно отметить, что, по данным Международного агентства по возобновляемой энергии (IRENA), в 2019 году установленная мощность гидроэлектростанций в Казахстане составила 2779 МВт. Фактически наша страна занимает третье место среди стран Центральной Азии после Таджикистана (5631 МВт) и Кыргызстана (3673 МВт) по установленной гидроэнергетической мощности.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Режим работы ГЭС Казахстана определялся водохозяйственным балансом и гидрологической обстановкой. Снижение генерации за 2019 год в сравнении с прошлым годом на гидроэлектростанциях Казахстан (-358.1млн. кВт*ч или -3.5%) обусловлено пониженным расходом воды на ГЭС, включая Иртышский каскад ГЭС и гидроэлектростанции Алматинской области.</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Нужно отметить, что, несмотря на уменьшение производительности крупных ГЭС, общий тренд на устойчивый рост отмечается в сфере потребления электроэнергии, которое по стране составило 105,1 млрд кВт*ч (рост 1,9 процентов к 2018 году). При этом Казахстан пока в состоянии самостоятельно покрывать потребности страны за счет собственной генерации электроэнергии – в 2019 году производство электроэнергии составило 106 млрд. кВт*ч (снижение на 0,7 процентов к 2018 году).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bCs/>
          <w:i/>
          <w:iCs/>
          <w:sz w:val="20"/>
          <w:szCs w:val="20"/>
          <w:lang w:eastAsia="ru-RU"/>
        </w:rPr>
        <w:t>Гидропотенциал Казахстана</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Казахстане есть три богатых гидроэнергетическими регионами региона: бассейн реки Иртыш с крупными гидроэлектростанциями (Бухтарма, Шульбинск, Усть-Каменогорск), бассейн реки Или (Капшагай, Мойнак) и бассейны рек Сырдарья, Талас и Чу (Шардаринск).</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 оценкам, более 66 процентов общего забора воды в Казахстане (в основном из рек Сырдарья, Или, Чу, Талас и Иртыш) используется для сельского хозяйства, включая орошение и животноводство, а 30 процентов - для промышленности. Остальные 4 процента используются для потребления человеком. Фактически в настоящее время Казахстан сталкивается с необходимостью совершенствования региональной водной стратегии и усиления мер по сохранению ресурсного потенциала речной системы и ее экологической безопасности.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Стоит отметить, что водные ресурсы крайне непропорционально распределены внутри страны и характеризуются значительной сезонной динамикой. Например, бассейны рек Балхаш-Алакольского и Иртышского бассейнов в восточных и северо-восточных регионах составляют почти 75 процентов поверхностных водных ресурсов, генерируемых внутри страны. В то время как в западных и юго-западных регионах наблюдается значительный дефицит воды.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Нужно отметить, что порядка 90 процентов всех рек страны являются малыми, что делает строительство малых ГЭС экономически целесообразным. Систематически реализуются проекты, связанные с их вводом в эксплуатацию. Всего в Казахстане насчитывается 2174 реки. Число рек длиной от 10 до 50 км составляет 1889 (86,9 процентов), от 50 до 100 км – 130 (6 процентов), более 100 км – 155 (7,1 процент).</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Недавно созданные малые гидроэлектростанции классифицируются казахстанскими властями как возобновляемые источники энергии. В то же время крупные и средние гидроэлектростанции классифицируются отдельно. Однако подобная градация вполне понятна и коррелируется с национальным подходом по переходу к «зеленой» экономике.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 итогам 2019 года в Казахстане функционировали 90 объектов ВИЭ установленной мощностью 1050 МВ. При этом доля альтернативных источников энергии в общем энергобалансе страны выросла с 1,26 процентов в 2018 году до 2,3 процента в 2019 году. 12 компаний подписали соглашения с Единым закупщиком электроэнергии ВИЭ сроком на 15 лет. К 2020 году доля ВИЭ в Казахстане должна возрасти до трех процентов, к 2030 году - до 10 процентов и до 50 процентов к 2050 году.</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Согласно статистическим данным, Казахстану удается постепенно налаживать ввод в строй новых малых ГЭС. Выработка электроэнергии малыми гидроэлектростанциями в республике увеличилась с 649,1 млн кВт*ч в 2017 году до 807,4 млн кВт*ч в 2018 году. В 2019 году данный показатель составил 1105,3млн кВт*ч. При этом установленная мощность малых ГЭС выросла до 222,2 МВт. Фактически среди всех источников ВИЭ малые ГЭС лидируют по объемам производства электроэнергии.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Начиная с 2018 года, в стране был внедрен аукционный механизм при выборе проектов, позволивший снизить тарифы на поддержку ВИЭ. Переход к аукционам можно считать «прорывным» решением для всего сектора. По результатам аукционов по отбору проектов ВИЭ за 2019 год на долю малых ГЭС пришлось два проекта мощностью 7 МВт. Всего же было отобрано 13 проектов ВИЭ общей установленной мощностью 212,89 МВт. При этом именно малые ГЭС продолжают сохранять самую малую предельную стартовую цену для аукционов – 15,48 тг/кВт*ч. Важно отметить, что на 2020 год из 250 МВт общей выставленной на аукцион установленной мощности 120 МВт будут приходиться именно на малые гидроэлектростанции.</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b/>
          <w:bCs/>
          <w:i/>
          <w:iCs/>
          <w:sz w:val="20"/>
          <w:szCs w:val="20"/>
          <w:lang w:eastAsia="ru-RU"/>
        </w:rPr>
        <w:t>Внедрение малых ГЭС</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Достаточно низкая себестоимость, надежность и экологичность является сильными аргументами в пользу строительства гидроэнергетических проектов малой мощности. Лидерами по реализации соответствующих инициатив являются Туркестанская, Жамбылская и Алматинская области.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Для решения вопроса энергодефицита в Туркестанской области планируется построить 10 малых ГЭС мощностью 25 МВт. На сегодняшний день в регионе реализовано 6 проектов в области ВИЭ общей мощностью 29 МВт, 4 из которых являются малыми ГЭС. В области действуют Рышжанская ГЭС мощностью 2 МВт в Сарыагашском районе, ГЭС в селе Манкент Сайрамского района мощностью 2,5 МВт, ГЭС мощностью 1 МВт в Казыгуртском районе, Кенесская ГЭС в Толебийском районе мощностью 2,5 МВт. Всего на реках Туркестанской области выявлено более 43 потенциальных мест для малых ГЭС на 20 реках общей мощностью 119,84 МВт.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Руководство Алматинской области уже сформировало специальную программу по развитию гидроэнергетического потенциала. Так, до 2025 года в регионе возведут 28 объектов, которые будут дополнительно производить свыше 850 МВт собственной электроэнергии. В области уже были реализованы такие гидроэнергетические проекты как Карашская ГЭС и Верхне-Басканская ГЭС-1 мощностью 125 кВт и 4,2 МВт соответственно. В 2016 году власти Алматинской области запустили гидроэлектростанцию мощностью 17 МВт, расположенную на реке Лепсы в Сарканском районе. В 2019 году на реке Иссык в Енбекшиказахском районе Алматинской области построили ГЭС-1 мощностью 5 МВт. Ранее в строй была введена ГЭС-2.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Алматинской области введут в эксплуатацию еще две ГЭС общей мощностью 13 МВт. Их строительство планируется завершить в 2020 году. Речь идет о строительстве Верхне-Басканской ГЭС-2 мощностью 8,8 МВт и Верхне-Басканской ГЭС-3 мощностью в 4,2 МВт.</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В Жамбылской области также уже подтвердили свое намерение установить четыре цепи малых гидроэлектростанций в Коксайском районе Жуалына в дополнение к гидроэлектростанции на Тасоткельском водохранилище мощностью 9,2 МВт, двух Меркенских ГЭС в 1,5 МВт и Каракыстакской ГЭС мощностью 2,3 МВт.</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Гидроэнергетический сектор остается ключевым элементом энергетической безопасности страны. После десятилетий взлетов и падений общее производство энергии, генерируемое крупными ГЭС в Казахстане, пока остается стабильным, хотя и имеет тренд к уменьшению. Все большее внедрение технологий малых ГЭС со временем может компенсировать данное снижение. Хотя новые ГЭС в Казахстане имеют относительно малую мощность, их работа направлена на регулирование распределения электрической нагрузки, перестраивая энергоснабжение в периоды пиков потребления. </w:t>
      </w:r>
    </w:p>
    <w:p w:rsidR="00344536" w:rsidRPr="00FB0140" w:rsidRDefault="00344536" w:rsidP="00344536">
      <w:pPr>
        <w:shd w:val="clear" w:color="auto" w:fill="FFFFFF"/>
        <w:spacing w:after="0" w:line="240" w:lineRule="auto"/>
        <w:ind w:firstLine="709"/>
        <w:jc w:val="both"/>
        <w:textAlignment w:val="top"/>
        <w:rPr>
          <w:rFonts w:ascii="Times New Roman" w:eastAsia="Times New Roman" w:hAnsi="Times New Roman" w:cs="Times New Roman"/>
          <w:sz w:val="20"/>
          <w:szCs w:val="20"/>
          <w:lang w:eastAsia="ru-RU"/>
        </w:rPr>
      </w:pPr>
      <w:r w:rsidRPr="00FB0140">
        <w:rPr>
          <w:rFonts w:ascii="Times New Roman" w:eastAsia="Times New Roman" w:hAnsi="Times New Roman" w:cs="Times New Roman"/>
          <w:sz w:val="20"/>
          <w:szCs w:val="20"/>
          <w:lang w:eastAsia="ru-RU"/>
        </w:rPr>
        <w:t>После того как в феврале 2020 года в Казахстане было принято постановление о наделении проектов ВИЭ приоритетным статусом перед инвесторами открылась возможность получить налоговые преференции (КПН, ставки земельного налога, налог на имущество). Подобные нововведения должны послужить дополнительным стимулом для развития ВИЭ в целом и малой гидроэнергетики в частности. </w:t>
      </w:r>
    </w:p>
    <w:p w:rsidR="00344536" w:rsidRPr="00FB0140" w:rsidRDefault="00344536" w:rsidP="00344536">
      <w:pPr>
        <w:pStyle w:val="ad"/>
        <w:shd w:val="clear" w:color="auto" w:fill="FFFFFF"/>
        <w:spacing w:before="0" w:beforeAutospacing="0" w:after="0" w:afterAutospacing="0"/>
        <w:ind w:firstLine="709"/>
        <w:jc w:val="both"/>
        <w:textAlignment w:val="top"/>
        <w:rPr>
          <w:rStyle w:val="ac"/>
          <w:rFonts w:eastAsiaTheme="majorEastAsia"/>
          <w:sz w:val="20"/>
          <w:szCs w:val="20"/>
        </w:rPr>
      </w:pP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rStyle w:val="ac"/>
          <w:rFonts w:eastAsiaTheme="majorEastAsia"/>
          <w:sz w:val="20"/>
          <w:szCs w:val="20"/>
        </w:rPr>
        <w:t xml:space="preserve">Новые предельные тарифы на электроэнергию в Казахстане утвердило Минэнерго РК – приказ был опубликован 30 июня. </w:t>
      </w:r>
      <w:r w:rsidRPr="00FB0140">
        <w:rPr>
          <w:rStyle w:val="ac"/>
          <w:rFonts w:eastAsiaTheme="majorEastAsia"/>
          <w:b w:val="0"/>
          <w:sz w:val="20"/>
          <w:szCs w:val="20"/>
        </w:rPr>
        <w:t>По мнению участников рынка, даже после повышения тарифы покроют лишь текущие затраты энергоснабжающих станций в 2020 году. Дальнейший рост стоимости топлива и увеличение гарантированного объема закупа у производителей возобновляемой энергии может привести к новому пересмотру тарифов.</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Энергетики массово подали заявки на повышение установленных предельных тарифов в апреле 2020 года – обращение о корректировке тарифа прозвучало со стороны 35 из 44 действующих энергопроизводящих организаций страны. Директор департамента развития электроэнергетики Министерства энергетики </w:t>
      </w:r>
      <w:r w:rsidRPr="00FB0140">
        <w:rPr>
          <w:rStyle w:val="ac"/>
          <w:rFonts w:eastAsiaTheme="majorEastAsia"/>
          <w:b w:val="0"/>
          <w:sz w:val="20"/>
          <w:szCs w:val="20"/>
        </w:rPr>
        <w:t>Айдос Дарибаев</w:t>
      </w:r>
      <w:r w:rsidRPr="00FB0140">
        <w:rPr>
          <w:sz w:val="20"/>
          <w:szCs w:val="20"/>
        </w:rPr>
        <w:t> объяснил: хоть в октябре прошлого года было утверждено повышение предельных тарифов энергопроизводящих организаций в среднем на 15%, а тарифы на электрическую энергию в соответствии с действующим законодательством устанавливаются на семь лет, но при этом производители электро</w:t>
      </w:r>
      <w:r w:rsidRPr="00FB0140">
        <w:rPr>
          <w:sz w:val="20"/>
          <w:szCs w:val="20"/>
        </w:rPr>
        <w:softHyphen/>
        <w:t>энергии имеют право обращаться за внеочередным повышением в случае фактического увеличения затрат. И именно фактическое увеличение затрат, по словам представителя Минэнерго, стало причиной обращения о корректировке тарифа.</w:t>
      </w:r>
    </w:p>
    <w:p w:rsidR="00344536" w:rsidRPr="00FB0140" w:rsidRDefault="00344536" w:rsidP="00344536">
      <w:pPr>
        <w:pStyle w:val="3"/>
        <w:shd w:val="clear" w:color="auto" w:fill="FFFFFF"/>
        <w:spacing w:before="0" w:line="240" w:lineRule="auto"/>
        <w:ind w:firstLine="709"/>
        <w:jc w:val="both"/>
        <w:textAlignment w:val="top"/>
        <w:rPr>
          <w:rFonts w:ascii="Times New Roman" w:hAnsi="Times New Roman" w:cs="Times New Roman"/>
          <w:b w:val="0"/>
          <w:bCs w:val="0"/>
          <w:color w:val="auto"/>
          <w:sz w:val="20"/>
          <w:szCs w:val="20"/>
        </w:rPr>
      </w:pPr>
      <w:r w:rsidRPr="00FB0140">
        <w:rPr>
          <w:rStyle w:val="ac"/>
          <w:rFonts w:ascii="Times New Roman" w:hAnsi="Times New Roman" w:cs="Times New Roman"/>
          <w:color w:val="auto"/>
          <w:sz w:val="20"/>
          <w:szCs w:val="20"/>
        </w:rPr>
        <w:t>Дорогие источники</w:t>
      </w:r>
      <w:r w:rsidRPr="00FB0140">
        <w:rPr>
          <w:rStyle w:val="apple-converted-space"/>
          <w:rFonts w:ascii="Times New Roman" w:hAnsi="Times New Roman" w:cs="Times New Roman"/>
          <w:b w:val="0"/>
          <w:bCs w:val="0"/>
          <w:color w:val="auto"/>
          <w:sz w:val="20"/>
          <w:szCs w:val="20"/>
        </w:rPr>
        <w:t> </w:t>
      </w:r>
      <w:r w:rsidRPr="00FB0140">
        <w:rPr>
          <w:rFonts w:ascii="Times New Roman" w:hAnsi="Times New Roman" w:cs="Times New Roman"/>
          <w:b w:val="0"/>
          <w:bCs w:val="0"/>
          <w:color w:val="auto"/>
          <w:sz w:val="20"/>
          <w:szCs w:val="20"/>
        </w:rPr>
        <w:t> </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«С начала 2020 года увеличились затраты на приобретение топлива на 9,9%, тарифы на электроэнергию от возобновляемых источников энергии увеличились на 9,3%, при этом объем вырабатываемой энергии от ВИЭ увеличился в два раза. Также увеличились в тарифе доли платежей в бюджет и оплаты услуг системного оператора», – перечислил все форс-мажорные обстоятельства Дарибаев. По его словам, доля затрат на топливо в себестоимости электроэнергии составляет 35% в угольной генерации и 60% – в газовой. При этом еще 11% затрат традиционных энергопроизводителей уходит на закуп у ВИЭ по очень высокому тарифу. По данным участников рынка, киловатт зеленой электроэнергии обходится им сейчас в 43 тенге, а реализовывать его конечному потребителю они вынуждены по цене, не превышающей их предельный тариф.</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Для понимания разницы: максимальное значение предельного тарифа до сих пор было у ТОО «МАЭК-Казатомпром» и равнялось 11,64 тенге за киловатт-час. И если ранее традиционная энергетика страны еще справлялась с ролью спонсора альтернативной энергетики, то сейчас в совокупности с другими факторами двукратный рост объемов этих закупок стал одной из причин повышения тарифов. </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«По возобновляемым источникам у нас наблюдается ежегодный рост закупаемого объема, все станции традиционной генерации закладывают в себестоимость данные расходы. В этом году фактически доля от закупа электроэнергии от ВИЭ в себестоимости киловатт-часа достигла одного тенге, выросла с 45–50 тиын до 95 тиын – 1 тенге в структуре себестоимости одного киловатта по энергопроизводящим организациям «Самрук-Энерго»; по рынку, наверное, то же самое произошло, – говорит управляющий директор по финансам – член правления АО «Самрук-Энерго» Айдар Рыс</w:t>
      </w:r>
      <w:r w:rsidRPr="00FB0140">
        <w:rPr>
          <w:sz w:val="20"/>
          <w:szCs w:val="20"/>
        </w:rPr>
        <w:softHyphen/>
        <w:t>кулов. – Вторая равнозначная причина – рост цен на топливо и рост стоимости его транспортировки. Основной поставщик энергетического угля – это «Богатырь Комир». В силу того, что он также находится в портфеле «Самрук-Энерго», мы в прошлом году согласовали повышение на 9,9%, в структуре затрат оно дало 2% роста себестоимости киловатта – это, грубо говоря, до 50 тиын», – добавил он.</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В результате повышения этих составляющих многие электростанции стали работать в убыток: по словам директора ТОО «Степногорская ТЭЦ» Валерия Донцова, при установленном для его станции предельном тарифе 7,1 тенге за кВт*ч по факту себестоимость вырабатываемой электроэнергии перевалила за 8 тенге. Энергетикам при этом надо индексировать зарплату своему персоналу, поскольку отрасль и так испытывает кад</w:t>
      </w:r>
      <w:r w:rsidRPr="00FB0140">
        <w:rPr>
          <w:sz w:val="20"/>
          <w:szCs w:val="20"/>
        </w:rPr>
        <w:softHyphen/>
        <w:t>ровый голод: ее предприятия просто неконкурентоспособны на региональных рынках труда. «У нас на станции средняя зарплата составляет 117 тыс. тенге при средней зарплате в отрасли в 191 тыс. тенге и при зарплате на промышленных предприятиях региона свыше 200 тыс. тенге, – говорит Донцов. – Как можно удержать людей при такой разнице, если мы еще и в убыток себе работаем последние полгода?».</w:t>
      </w:r>
    </w:p>
    <w:p w:rsidR="00344536" w:rsidRPr="00FB0140" w:rsidRDefault="00344536" w:rsidP="00344536">
      <w:pPr>
        <w:pStyle w:val="3"/>
        <w:shd w:val="clear" w:color="auto" w:fill="FFFFFF"/>
        <w:spacing w:before="0" w:line="240" w:lineRule="auto"/>
        <w:ind w:firstLine="709"/>
        <w:jc w:val="both"/>
        <w:textAlignment w:val="top"/>
        <w:rPr>
          <w:rFonts w:ascii="Times New Roman" w:hAnsi="Times New Roman" w:cs="Times New Roman"/>
          <w:b w:val="0"/>
          <w:bCs w:val="0"/>
          <w:color w:val="auto"/>
          <w:sz w:val="20"/>
          <w:szCs w:val="20"/>
        </w:rPr>
      </w:pPr>
      <w:r w:rsidRPr="00FB0140">
        <w:rPr>
          <w:rStyle w:val="ac"/>
          <w:rFonts w:ascii="Times New Roman" w:hAnsi="Times New Roman" w:cs="Times New Roman"/>
          <w:color w:val="auto"/>
          <w:sz w:val="20"/>
          <w:szCs w:val="20"/>
        </w:rPr>
        <w:t>На модернизацию все еще не хватает</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Минэнерго согласовало увеличение предельных тарифов энергопроизводящих организаций в среднем на уровне 16%, что в IV квартале 2020 года обернется для конечного потребителя прибавкой в 200 тенге в месяц к текущим счетам. При этом, по словам экспертов, нынешнее повышение тарифов позволит станциям лишь выйти в ноль по расходам в текущем году, а вот решить проблему износа оборудования станций на 60% оно не поможет. С модернизацией генерирующих мощностей в стране вообще сейчас все достаточно сложно, констатирует первый заместитель генерального директора АО «Центрально-Азиатская Электроэнергетическая Корпорация» </w:t>
      </w:r>
      <w:r w:rsidRPr="00FB0140">
        <w:rPr>
          <w:rStyle w:val="ac"/>
          <w:rFonts w:eastAsiaTheme="majorEastAsia"/>
          <w:b w:val="0"/>
          <w:sz w:val="20"/>
          <w:szCs w:val="20"/>
        </w:rPr>
        <w:t>Дюсенбай Турганов</w:t>
      </w:r>
      <w:r w:rsidRPr="00FB0140">
        <w:rPr>
          <w:sz w:val="20"/>
          <w:szCs w:val="20"/>
        </w:rPr>
        <w:t>.</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«Как известно, тариф на элект</w:t>
      </w:r>
      <w:r w:rsidRPr="00FB0140">
        <w:rPr>
          <w:sz w:val="20"/>
          <w:szCs w:val="20"/>
        </w:rPr>
        <w:softHyphen/>
        <w:t>роэнергию с 2019 года поделен на две составляющие с вводом рынка электрической мощности, – напоминает Турганов. – Предполагалось, что для инвестиций будет использоваться тариф на мощность, который изначально должен был составить 700 тыс. тенге/МВт*мес., которого было явно недостаточно для выполнения инвестиционных программ. В итоге данный тариф был утвержден в размере 590 тыс. тенге/МВт*мес., что только усугубило ситуацию. Решение о применении нулевой рентабельности окончательно могло поставить крест на будущем электроэнергетики страны, учитывая, что многие энергокомпании для реконструкции и модернизации оборудования брали большие кредиты, которые нужно выплачивать, при этом средств для инвестиционных программ практически нет», – добавляет он.   </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По словам управляющего директора по развитию и продажам – члена правления АО «Самрук-Энерго» Марата Улданова, страна нуждается не только в модернизации действующих, но и в вводе новых мощностей традиционной генерации. </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Потребление электроэнергии в Казахстане ежегодно вырастает на 3–5%, по 3 млрд кВт*ч.  «Сейчас генерирующие мощности покрывают этот рост, но пиковые часы потребления, с 18.00 до 22.00, когда оно вырастает на 30% от нормы, нам уже покрывать тяжело – у нас уже не хватает резервов в Казахстане. И нет денег, чтобы создать эти резервы», – отмечает Улданов. Он напоминает, что в 2024 году на Экибастузской ГРЭС будет запущен новый блок в 500 мВт, в 2027 году там же произойдет запуск еще одного такого блока. Каждый из них по году способен будет производить 2,5 млрд кВт*ч, то есть при нынешних темпах роста потребления Казахстану необходимо вводить по одному такому блоку ежегодно. А его стоимость колеблется от 90 млрд тенге (при имеющейся инфраструктуре) до 300 млрд тенге (при строительстве с нуля). Очевидно, что таких денег нынешний тариф энергетикам не даст, но без нынешнего повышения станции стали бы использовать свои доходы, получаемые на рынке мощности и предназначенные для модернизации на покрытие своих текущих затрат, отмечает независимый эксперт </w:t>
      </w:r>
      <w:r w:rsidRPr="00FB0140">
        <w:rPr>
          <w:rStyle w:val="ac"/>
          <w:rFonts w:eastAsiaTheme="majorEastAsia"/>
          <w:b w:val="0"/>
          <w:sz w:val="20"/>
          <w:szCs w:val="20"/>
        </w:rPr>
        <w:t>Ануар Кошкарбаев</w:t>
      </w:r>
      <w:r w:rsidRPr="00FB0140">
        <w:rPr>
          <w:sz w:val="20"/>
          <w:szCs w:val="20"/>
        </w:rPr>
        <w:t>.</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«Текущее повышение тарифов не есть решение всех проблем станций, которые имеются сегодня, – это лишь восстановление тех условий работы станций, когда их тарифы на электро</w:t>
      </w:r>
      <w:r w:rsidRPr="00FB0140">
        <w:rPr>
          <w:sz w:val="20"/>
          <w:szCs w:val="20"/>
        </w:rPr>
        <w:softHyphen/>
        <w:t>энергию позволяют им полностью покрывать свои затраты на ее производство, – отмечает эксперт. – Но тут надо понимать, что без таких мер мы через три-четыре года можем прийти к той же ситуации, которая была в 2008 году, когда в энергосистеме из-за длительной нехватки средств у станций назревал дефицит мощности. Что было после 2008 года, мы все помним: была оперативно принята программа «предельных тарифов», которые начали резко расти, – иного выхода уже не было. Так что рост тарифов будет и дальше, сомнений нет, ведь расширение мощностей требует еще больше инвестиций, просто сейчас еще есть возможность прийти к этому росту постепенно», – заключает он</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p>
    <w:p w:rsidR="00344536" w:rsidRPr="00FB0140" w:rsidRDefault="00344536" w:rsidP="00344536">
      <w:pPr>
        <w:shd w:val="clear" w:color="auto" w:fill="FFFFFF"/>
        <w:spacing w:after="0" w:line="240" w:lineRule="auto"/>
        <w:textAlignment w:val="center"/>
        <w:rPr>
          <w:rFonts w:ascii="Times New Roman" w:hAnsi="Times New Roman" w:cs="Times New Roman"/>
          <w:sz w:val="20"/>
          <w:szCs w:val="20"/>
        </w:rPr>
      </w:pPr>
      <w:r w:rsidRPr="00FB0140">
        <w:rPr>
          <w:rFonts w:ascii="Times New Roman" w:hAnsi="Times New Roman" w:cs="Times New Roman"/>
          <w:sz w:val="20"/>
          <w:szCs w:val="20"/>
        </w:rPr>
        <w:tab/>
      </w:r>
      <w:r w:rsidRPr="00FB0140">
        <w:rPr>
          <w:rFonts w:ascii="Times New Roman" w:hAnsi="Times New Roman" w:cs="Times New Roman"/>
          <w:b/>
          <w:sz w:val="20"/>
          <w:szCs w:val="20"/>
        </w:rPr>
        <w:t>В Актюбинской области успешно заработал один из крупнейших ветропарков в стране</w:t>
      </w:r>
      <w:r w:rsidRPr="00FB0140">
        <w:rPr>
          <w:rFonts w:ascii="Times New Roman" w:hAnsi="Times New Roman" w:cs="Times New Roman"/>
          <w:sz w:val="20"/>
          <w:szCs w:val="20"/>
        </w:rPr>
        <w:t xml:space="preserve"> </w:t>
      </w:r>
      <w:r w:rsidRPr="00FB0140">
        <w:rPr>
          <w:rFonts w:ascii="Times New Roman" w:hAnsi="Times New Roman" w:cs="Times New Roman"/>
          <w:i/>
          <w:sz w:val="20"/>
          <w:szCs w:val="20"/>
        </w:rPr>
        <w:t>(</w:t>
      </w:r>
      <w:r w:rsidRPr="00FB0140">
        <w:rPr>
          <w:rStyle w:val="day"/>
          <w:rFonts w:ascii="Times New Roman" w:hAnsi="Times New Roman" w:cs="Times New Roman"/>
          <w:i/>
          <w:sz w:val="20"/>
          <w:szCs w:val="20"/>
        </w:rPr>
        <w:t>28</w:t>
      </w:r>
      <w:r w:rsidRPr="00FB0140">
        <w:rPr>
          <w:rStyle w:val="apple-converted-space"/>
          <w:rFonts w:ascii="Times New Roman" w:hAnsi="Times New Roman" w:cs="Times New Roman"/>
          <w:i/>
          <w:sz w:val="20"/>
          <w:szCs w:val="20"/>
        </w:rPr>
        <w:t>.08.2</w:t>
      </w:r>
      <w:r w:rsidRPr="00FB0140">
        <w:rPr>
          <w:rStyle w:val="year"/>
          <w:rFonts w:ascii="Times New Roman" w:hAnsi="Times New Roman" w:cs="Times New Roman"/>
          <w:i/>
          <w:sz w:val="20"/>
          <w:szCs w:val="20"/>
        </w:rPr>
        <w:t>020 г.)</w:t>
      </w:r>
    </w:p>
    <w:p w:rsidR="00344536" w:rsidRPr="00FB0140" w:rsidRDefault="00344536" w:rsidP="00344536">
      <w:pPr>
        <w:pStyle w:val="2"/>
        <w:shd w:val="clear" w:color="auto" w:fill="FFFFFF"/>
        <w:spacing w:before="0" w:line="240" w:lineRule="auto"/>
        <w:jc w:val="both"/>
        <w:rPr>
          <w:rFonts w:ascii="Times New Roman" w:hAnsi="Times New Roman" w:cs="Times New Roman"/>
          <w:color w:val="auto"/>
          <w:sz w:val="20"/>
          <w:szCs w:val="20"/>
        </w:rPr>
      </w:pPr>
    </w:p>
    <w:p w:rsidR="00344536" w:rsidRPr="00FB0140" w:rsidRDefault="00344536" w:rsidP="00344536">
      <w:pPr>
        <w:shd w:val="clear" w:color="auto" w:fill="FFFFFF"/>
        <w:spacing w:after="0" w:line="240" w:lineRule="auto"/>
        <w:ind w:firstLine="709"/>
        <w:jc w:val="both"/>
        <w:textAlignment w:val="top"/>
        <w:rPr>
          <w:rFonts w:ascii="Times New Roman" w:hAnsi="Times New Roman" w:cs="Times New Roman"/>
          <w:bCs/>
          <w:sz w:val="20"/>
          <w:szCs w:val="20"/>
        </w:rPr>
      </w:pPr>
      <w:r w:rsidRPr="00FB0140">
        <w:rPr>
          <w:rFonts w:ascii="Times New Roman" w:hAnsi="Times New Roman" w:cs="Times New Roman"/>
          <w:bCs/>
          <w:sz w:val="20"/>
          <w:szCs w:val="20"/>
        </w:rPr>
        <w:t>В беспрецедентных условиях пандемии COVID-19 на северо-западе Казахстана запущена ветроэлектростанция «Бадамша»</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Проект принадлежит ТОО «ArmWind», дочернему предприятию крупнейшей итальянской энергетической компании Eni. В рамках проекта между ТОО «ArmWind» и компанией GE Renewable Energy был заключен контракт на поставку ветровых турбин, а лидер строительной отрасли Казахстана, холдинг BI Group, выступил в качестве генерального подрядчика в рамках контракта на ПЗС (проектирование, закупки, строительство).</w:t>
      </w:r>
    </w:p>
    <w:p w:rsidR="00344536" w:rsidRPr="00FB0140" w:rsidRDefault="00344536" w:rsidP="00344536">
      <w:pPr>
        <w:pStyle w:val="ad"/>
        <w:shd w:val="clear" w:color="auto" w:fill="FFFFFF"/>
        <w:spacing w:before="0" w:beforeAutospacing="0" w:after="0" w:afterAutospacing="0"/>
        <w:ind w:firstLine="709"/>
        <w:jc w:val="both"/>
        <w:textAlignment w:val="top"/>
        <w:rPr>
          <w:b/>
          <w:sz w:val="20"/>
          <w:szCs w:val="20"/>
        </w:rPr>
      </w:pPr>
      <w:r w:rsidRPr="00FB0140">
        <w:rPr>
          <w:sz w:val="20"/>
          <w:szCs w:val="20"/>
        </w:rPr>
        <w:t>По словам экспертов BI Group, руководителя проекта </w:t>
      </w:r>
      <w:r w:rsidRPr="00FB0140">
        <w:rPr>
          <w:rStyle w:val="ac"/>
          <w:rFonts w:eastAsiaTheme="majorEastAsia"/>
          <w:b w:val="0"/>
          <w:sz w:val="20"/>
          <w:szCs w:val="20"/>
        </w:rPr>
        <w:t>Мамырхана Касымова</w:t>
      </w:r>
      <w:r w:rsidRPr="00FB0140">
        <w:rPr>
          <w:sz w:val="20"/>
          <w:szCs w:val="20"/>
        </w:rPr>
        <w:t> и директора подразделения </w:t>
      </w:r>
      <w:r w:rsidRPr="00FB0140">
        <w:rPr>
          <w:rStyle w:val="ac"/>
          <w:rFonts w:eastAsiaTheme="majorEastAsia"/>
          <w:b w:val="0"/>
          <w:sz w:val="20"/>
          <w:szCs w:val="20"/>
        </w:rPr>
        <w:t>Виктора Богмы</w:t>
      </w:r>
      <w:r w:rsidRPr="00FB0140">
        <w:rPr>
          <w:b/>
          <w:sz w:val="20"/>
          <w:szCs w:val="20"/>
        </w:rPr>
        <w:t>,</w:t>
      </w:r>
      <w:r w:rsidRPr="00FB0140">
        <w:rPr>
          <w:sz w:val="20"/>
          <w:szCs w:val="20"/>
        </w:rPr>
        <w:t xml:space="preserve"> ветровая электростанция «Бадамша» мощностью </w:t>
      </w:r>
      <w:r w:rsidRPr="00FB0140">
        <w:rPr>
          <w:rStyle w:val="ac"/>
          <w:rFonts w:eastAsiaTheme="majorEastAsia"/>
          <w:b w:val="0"/>
          <w:sz w:val="20"/>
          <w:szCs w:val="20"/>
        </w:rPr>
        <w:t>48 МВт</w:t>
      </w:r>
      <w:r w:rsidRPr="00FB0140">
        <w:rPr>
          <w:sz w:val="20"/>
          <w:szCs w:val="20"/>
        </w:rPr>
        <w:t> будет ежегодно обеспечивать регион электроэнергией в объеме </w:t>
      </w:r>
      <w:r w:rsidRPr="00FB0140">
        <w:rPr>
          <w:sz w:val="20"/>
          <w:szCs w:val="20"/>
        </w:rPr>
        <w:br/>
      </w:r>
      <w:r w:rsidRPr="00FB0140">
        <w:rPr>
          <w:rStyle w:val="ac"/>
          <w:rFonts w:eastAsiaTheme="majorEastAsia"/>
          <w:b w:val="0"/>
          <w:sz w:val="20"/>
          <w:szCs w:val="20"/>
        </w:rPr>
        <w:t>195 ГВтч</w:t>
      </w:r>
      <w:r w:rsidRPr="00FB0140">
        <w:rPr>
          <w:b/>
          <w:sz w:val="20"/>
          <w:szCs w:val="20"/>
        </w:rPr>
        <w:t> </w:t>
      </w:r>
      <w:r w:rsidRPr="00FB0140">
        <w:rPr>
          <w:sz w:val="20"/>
          <w:szCs w:val="20"/>
        </w:rPr>
        <w:t>и обеспечит сокращение выбросов углекислого газа в атмосферу на </w:t>
      </w:r>
      <w:r w:rsidRPr="00FB0140">
        <w:rPr>
          <w:rStyle w:val="ac"/>
          <w:rFonts w:eastAsiaTheme="majorEastAsia"/>
          <w:b w:val="0"/>
          <w:sz w:val="20"/>
          <w:szCs w:val="20"/>
        </w:rPr>
        <w:t>172 тыс. тонн ежегодно</w:t>
      </w:r>
      <w:r w:rsidRPr="00FB0140">
        <w:rPr>
          <w:b/>
          <w:sz w:val="20"/>
          <w:szCs w:val="20"/>
        </w:rPr>
        <w:t>.</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Ветроэлектростанция «Бадамша» является первой ВЭС в Актюбинской области, это первая самая крупная в мире инвестиция Eni в сектор ветроэнергетики и первый шаг на пути к развитию сектора ВИЭ в Казахстане, полностью финансируемый из частных источников. В свою очередь, для GE Renewable Energy это пилотный проект в Казахстане и первый опыт сотрудничества с Eni, подкрепленный соглашением между Eni и GE Renewable Energy о поставке ветровых турбин, подписанным в 2018 году.</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Для строителей BI Group проект ветропарка стал уникальным опытом в области ВИЭ. Так, работая в сложных полевых условиях, казахстанским строителям удалось обеспечить непрерывную заливку бетона. В проекте было задействовано </w:t>
      </w:r>
      <w:r w:rsidRPr="00FB0140">
        <w:rPr>
          <w:rStyle w:val="ac"/>
          <w:rFonts w:eastAsiaTheme="majorEastAsia"/>
          <w:b w:val="0"/>
          <w:sz w:val="20"/>
          <w:szCs w:val="20"/>
        </w:rPr>
        <w:t>450 человек из 25 разных стран,</w:t>
      </w:r>
      <w:r w:rsidRPr="00FB0140">
        <w:rPr>
          <w:rStyle w:val="ac"/>
          <w:rFonts w:eastAsiaTheme="majorEastAsia"/>
          <w:sz w:val="20"/>
          <w:szCs w:val="20"/>
        </w:rPr>
        <w:t xml:space="preserve"> 80%</w:t>
      </w:r>
      <w:r w:rsidRPr="00FB0140">
        <w:rPr>
          <w:sz w:val="20"/>
          <w:szCs w:val="20"/>
        </w:rPr>
        <w:t> из которых - граждане Казахстана.</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Данный проект – это вклад Eni в достижение Казахстаном амбициозной цели: обеспечить </w:t>
      </w:r>
      <w:r w:rsidRPr="00FB0140">
        <w:rPr>
          <w:rStyle w:val="ac"/>
          <w:rFonts w:eastAsiaTheme="majorEastAsia"/>
          <w:b w:val="0"/>
          <w:sz w:val="20"/>
          <w:szCs w:val="20"/>
        </w:rPr>
        <w:t>50%</w:t>
      </w:r>
      <w:r w:rsidRPr="00FB0140">
        <w:rPr>
          <w:sz w:val="20"/>
          <w:szCs w:val="20"/>
        </w:rPr>
        <w:t> своей энергии из ВИЭ к 2050 году. Проект «Бадамша» стал результатом плодотворного сотрудничества Eni, GE и Министерства энергетики РК в рамках меморандума о взаимопонимании, подписанного в 2017 году.</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BI Group также разделяет данную стратегию и ставит перед собой цели по содействию выполнению задач зеленой экономики Казахстана за счет участия в проектах ВИЭ. По словам </w:t>
      </w:r>
      <w:hyperlink r:id="rId13" w:tgtFrame="_blank" w:history="1">
        <w:r w:rsidRPr="00FB0140">
          <w:rPr>
            <w:rStyle w:val="aa"/>
            <w:bCs/>
            <w:color w:val="auto"/>
            <w:sz w:val="20"/>
            <w:szCs w:val="20"/>
          </w:rPr>
          <w:t>Айдына Рахимбаева</w:t>
        </w:r>
      </w:hyperlink>
      <w:r w:rsidRPr="00FB0140">
        <w:rPr>
          <w:sz w:val="20"/>
          <w:szCs w:val="20"/>
        </w:rPr>
        <w:t>, председателя совета директоров BI Group, развивающиеся страны расширяют использование ВИЭ на пути к устойчивому будущему, и эти шаги помогут предотвратить глобальный климатический кризис. Будущее за ВИЭ, доступной чистой энергией для каждого казахстанского дома.</w:t>
      </w:r>
    </w:p>
    <w:p w:rsidR="00344536" w:rsidRPr="00FB0140" w:rsidRDefault="00344536" w:rsidP="00344536">
      <w:pPr>
        <w:pStyle w:val="3"/>
        <w:shd w:val="clear" w:color="auto" w:fill="FFFFFF"/>
        <w:spacing w:before="0" w:line="240" w:lineRule="auto"/>
        <w:ind w:firstLine="709"/>
        <w:jc w:val="both"/>
        <w:textAlignment w:val="top"/>
        <w:rPr>
          <w:rFonts w:ascii="Times New Roman" w:hAnsi="Times New Roman" w:cs="Times New Roman"/>
          <w:bCs w:val="0"/>
          <w:color w:val="auto"/>
          <w:sz w:val="20"/>
          <w:szCs w:val="20"/>
        </w:rPr>
      </w:pPr>
      <w:r w:rsidRPr="00FB0140">
        <w:rPr>
          <w:rStyle w:val="ac"/>
          <w:rFonts w:ascii="Times New Roman" w:hAnsi="Times New Roman" w:cs="Times New Roman"/>
          <w:color w:val="auto"/>
          <w:sz w:val="20"/>
          <w:szCs w:val="20"/>
        </w:rPr>
        <w:t>Справочная информация:</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rStyle w:val="af8"/>
          <w:i w:val="0"/>
          <w:sz w:val="20"/>
          <w:szCs w:val="20"/>
        </w:rPr>
        <w:t>BI Group - лидер на рынке недвижимости Казахстана. Строительный холдинг осуществляет деятельность с 1995 года и за это время заслужил репутацию профессионального и надежного партнера. BI Group сегодня – многопрофильная корпорация, структуру которой составляют подразделения и дирекции в различных сферах строительства, девелопмента и инжиниринга.</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rStyle w:val="af8"/>
          <w:i w:val="0"/>
          <w:sz w:val="20"/>
          <w:szCs w:val="20"/>
        </w:rPr>
        <w:t>Eni, итальянская интегрированная энергетическая компания, плодотворно работает в Казахстане с 1992 года и является совместным оператором на Карачаганакском месторождении, с долей участия в различных проектах на Северном Каспии, включая Кашаганское месторождение. Eni совместно с KMG является оператором морских разведочных блоков «Исатай» и «Абай». Собственная добыча компании в настоящее время составляет</w:t>
      </w:r>
      <w:r w:rsidRPr="00FB0140">
        <w:rPr>
          <w:rStyle w:val="ac"/>
          <w:rFonts w:eastAsiaTheme="majorEastAsia"/>
          <w:iCs/>
          <w:sz w:val="20"/>
          <w:szCs w:val="20"/>
        </w:rPr>
        <w:t> </w:t>
      </w:r>
      <w:r w:rsidRPr="00FB0140">
        <w:rPr>
          <w:rStyle w:val="ac"/>
          <w:rFonts w:eastAsiaTheme="majorEastAsia"/>
          <w:b w:val="0"/>
          <w:iCs/>
          <w:sz w:val="20"/>
          <w:szCs w:val="20"/>
        </w:rPr>
        <w:t>180 000</w:t>
      </w:r>
      <w:r w:rsidRPr="00FB0140">
        <w:rPr>
          <w:rStyle w:val="ac"/>
          <w:rFonts w:eastAsiaTheme="majorEastAsia"/>
          <w:iCs/>
          <w:sz w:val="20"/>
          <w:szCs w:val="20"/>
        </w:rPr>
        <w:t xml:space="preserve"> </w:t>
      </w:r>
      <w:r w:rsidRPr="00FB0140">
        <w:rPr>
          <w:rStyle w:val="ac"/>
          <w:rFonts w:eastAsiaTheme="majorEastAsia"/>
          <w:b w:val="0"/>
          <w:iCs/>
          <w:sz w:val="20"/>
          <w:szCs w:val="20"/>
        </w:rPr>
        <w:t>баррелей</w:t>
      </w:r>
      <w:r w:rsidRPr="00FB0140">
        <w:rPr>
          <w:rStyle w:val="af8"/>
          <w:b/>
          <w:i w:val="0"/>
          <w:sz w:val="20"/>
          <w:szCs w:val="20"/>
        </w:rPr>
        <w:t> </w:t>
      </w:r>
      <w:r w:rsidRPr="00FB0140">
        <w:rPr>
          <w:rStyle w:val="af8"/>
          <w:i w:val="0"/>
          <w:sz w:val="20"/>
          <w:szCs w:val="20"/>
        </w:rPr>
        <w:t>нефтяного эквивалента в день. Компания работает в более чем </w:t>
      </w:r>
      <w:r w:rsidRPr="00FB0140">
        <w:rPr>
          <w:rStyle w:val="ac"/>
          <w:rFonts w:eastAsiaTheme="majorEastAsia"/>
          <w:b w:val="0"/>
          <w:iCs/>
          <w:sz w:val="20"/>
          <w:szCs w:val="20"/>
        </w:rPr>
        <w:t>66 странах </w:t>
      </w:r>
      <w:r w:rsidRPr="00FB0140">
        <w:rPr>
          <w:rStyle w:val="af8"/>
          <w:i w:val="0"/>
          <w:sz w:val="20"/>
          <w:szCs w:val="20"/>
        </w:rPr>
        <w:t>и входит в список </w:t>
      </w:r>
      <w:r w:rsidRPr="00FB0140">
        <w:rPr>
          <w:rStyle w:val="ac"/>
          <w:rFonts w:eastAsiaTheme="majorEastAsia"/>
          <w:b w:val="0"/>
          <w:iCs/>
          <w:sz w:val="20"/>
          <w:szCs w:val="20"/>
        </w:rPr>
        <w:t>Fortune Global 500 Top 100</w:t>
      </w:r>
      <w:r w:rsidRPr="00FB0140">
        <w:rPr>
          <w:rStyle w:val="ac"/>
          <w:rFonts w:eastAsiaTheme="majorEastAsia"/>
          <w:iCs/>
          <w:sz w:val="20"/>
          <w:szCs w:val="20"/>
        </w:rPr>
        <w:t>.</w:t>
      </w:r>
      <w:r w:rsidRPr="00FB0140">
        <w:rPr>
          <w:rStyle w:val="af8"/>
          <w:i w:val="0"/>
          <w:sz w:val="20"/>
          <w:szCs w:val="20"/>
        </w:rPr>
        <w:t> Ветровая электростанция «Бадамша» стала первым в мире проектом ветропарка Eni.</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rStyle w:val="af8"/>
          <w:i w:val="0"/>
          <w:sz w:val="20"/>
          <w:szCs w:val="20"/>
        </w:rPr>
        <w:t>GE Renewable Energy объединяет один из самых широких портфелей энергетических продуктов и цифровых услуг в отрасли возобновляемых источников энергии. Объединяя береговые и морские ветровые, гребные, гидроэнергетические и инновационные технологии, такие как гибридные системы и концентрированная солнечная энергия, GE Renewable Energy установила более</w:t>
      </w:r>
      <w:r w:rsidRPr="00FB0140">
        <w:rPr>
          <w:rStyle w:val="ac"/>
          <w:rFonts w:eastAsiaTheme="majorEastAsia"/>
          <w:iCs/>
          <w:sz w:val="20"/>
          <w:szCs w:val="20"/>
        </w:rPr>
        <w:t> </w:t>
      </w:r>
      <w:r w:rsidRPr="00FB0140">
        <w:rPr>
          <w:rStyle w:val="ac"/>
          <w:rFonts w:eastAsiaTheme="majorEastAsia"/>
          <w:b w:val="0"/>
          <w:iCs/>
          <w:sz w:val="20"/>
          <w:szCs w:val="20"/>
        </w:rPr>
        <w:t>400 гигаватт</w:t>
      </w:r>
      <w:r w:rsidRPr="00FB0140">
        <w:rPr>
          <w:rStyle w:val="ac"/>
          <w:rFonts w:eastAsiaTheme="majorEastAsia"/>
          <w:iCs/>
          <w:sz w:val="20"/>
          <w:szCs w:val="20"/>
        </w:rPr>
        <w:t> </w:t>
      </w:r>
      <w:r w:rsidRPr="00FB0140">
        <w:rPr>
          <w:rStyle w:val="af8"/>
          <w:i w:val="0"/>
          <w:sz w:val="20"/>
          <w:szCs w:val="20"/>
        </w:rPr>
        <w:t>мощности по всему миру. GE Renewable Energy, в которой работают более</w:t>
      </w:r>
      <w:r w:rsidRPr="00FB0140">
        <w:rPr>
          <w:rStyle w:val="ac"/>
          <w:rFonts w:eastAsiaTheme="majorEastAsia"/>
          <w:iCs/>
          <w:sz w:val="20"/>
          <w:szCs w:val="20"/>
        </w:rPr>
        <w:t> </w:t>
      </w:r>
      <w:r w:rsidRPr="00FB0140">
        <w:rPr>
          <w:rStyle w:val="ac"/>
          <w:rFonts w:eastAsiaTheme="majorEastAsia"/>
          <w:b w:val="0"/>
          <w:iCs/>
          <w:sz w:val="20"/>
          <w:szCs w:val="20"/>
        </w:rPr>
        <w:t>22 000 человек</w:t>
      </w:r>
      <w:r w:rsidRPr="00FB0140">
        <w:rPr>
          <w:rStyle w:val="af8"/>
          <w:b/>
          <w:i w:val="0"/>
          <w:sz w:val="20"/>
          <w:szCs w:val="20"/>
        </w:rPr>
        <w:t> в </w:t>
      </w:r>
      <w:r w:rsidRPr="00FB0140">
        <w:rPr>
          <w:rStyle w:val="ac"/>
          <w:rFonts w:eastAsiaTheme="majorEastAsia"/>
          <w:b w:val="0"/>
          <w:iCs/>
          <w:sz w:val="20"/>
          <w:szCs w:val="20"/>
        </w:rPr>
        <w:t>80 странах</w:t>
      </w:r>
      <w:r w:rsidRPr="00FB0140">
        <w:rPr>
          <w:rStyle w:val="ac"/>
          <w:rFonts w:eastAsiaTheme="majorEastAsia"/>
          <w:iCs/>
          <w:sz w:val="20"/>
          <w:szCs w:val="20"/>
        </w:rPr>
        <w:t>,</w:t>
      </w:r>
      <w:r w:rsidRPr="00FB0140">
        <w:rPr>
          <w:rStyle w:val="af8"/>
          <w:i w:val="0"/>
          <w:sz w:val="20"/>
          <w:szCs w:val="20"/>
        </w:rPr>
        <w:t> работает над новыми способами обеспечения энергии в крупнейших экономиках мира.</w:t>
      </w:r>
    </w:p>
    <w:p w:rsidR="00344536" w:rsidRPr="00FB0140" w:rsidRDefault="00344536" w:rsidP="00344536">
      <w:pPr>
        <w:spacing w:after="0" w:line="240" w:lineRule="auto"/>
        <w:ind w:firstLine="709"/>
        <w:jc w:val="both"/>
        <w:rPr>
          <w:rFonts w:ascii="Times New Roman" w:hAnsi="Times New Roman" w:cs="Times New Roman"/>
          <w:sz w:val="20"/>
          <w:szCs w:val="20"/>
          <w:shd w:val="clear" w:color="auto" w:fill="FFFFFF"/>
        </w:rPr>
      </w:pPr>
    </w:p>
    <w:p w:rsidR="00344536" w:rsidRPr="00FB0140" w:rsidRDefault="00344536" w:rsidP="00344536">
      <w:pPr>
        <w:spacing w:after="0" w:line="240" w:lineRule="auto"/>
        <w:ind w:firstLine="709"/>
        <w:jc w:val="both"/>
        <w:rPr>
          <w:rFonts w:ascii="Times New Roman" w:hAnsi="Times New Roman" w:cs="Times New Roman"/>
          <w:sz w:val="20"/>
          <w:szCs w:val="20"/>
          <w:shd w:val="clear" w:color="auto" w:fill="FFFFFF"/>
        </w:rPr>
      </w:pPr>
    </w:p>
    <w:p w:rsidR="00344536" w:rsidRPr="00FB0140" w:rsidRDefault="00344536" w:rsidP="00344536">
      <w:pPr>
        <w:shd w:val="clear" w:color="auto" w:fill="FFFFFF"/>
        <w:spacing w:after="0" w:line="240" w:lineRule="auto"/>
        <w:ind w:firstLine="709"/>
        <w:jc w:val="both"/>
        <w:textAlignment w:val="center"/>
        <w:rPr>
          <w:rFonts w:ascii="Times New Roman" w:hAnsi="Times New Roman" w:cs="Times New Roman"/>
          <w:b/>
          <w:sz w:val="20"/>
          <w:szCs w:val="20"/>
        </w:rPr>
      </w:pPr>
      <w:r w:rsidRPr="00FB0140">
        <w:rPr>
          <w:rFonts w:ascii="Times New Roman" w:hAnsi="Times New Roman" w:cs="Times New Roman"/>
          <w:b/>
          <w:sz w:val="20"/>
          <w:szCs w:val="20"/>
        </w:rPr>
        <w:t xml:space="preserve">На электростанциях продолжается внедрение новой модели управления комплексной безопасности </w:t>
      </w:r>
    </w:p>
    <w:p w:rsidR="00344536" w:rsidRPr="00FB0140" w:rsidRDefault="00344536" w:rsidP="00344536">
      <w:pPr>
        <w:pStyle w:val="2"/>
        <w:shd w:val="clear" w:color="auto" w:fill="FFFFFF"/>
        <w:spacing w:before="0" w:line="240" w:lineRule="auto"/>
        <w:ind w:firstLine="709"/>
        <w:jc w:val="both"/>
        <w:rPr>
          <w:rStyle w:val="ac"/>
          <w:rFonts w:ascii="Times New Roman" w:hAnsi="Times New Roman" w:cs="Times New Roman"/>
          <w:b w:val="0"/>
          <w:color w:val="auto"/>
          <w:sz w:val="20"/>
          <w:szCs w:val="20"/>
        </w:rPr>
      </w:pPr>
      <w:r w:rsidRPr="00FB0140">
        <w:rPr>
          <w:rStyle w:val="ac"/>
          <w:rFonts w:ascii="Times New Roman" w:hAnsi="Times New Roman" w:cs="Times New Roman"/>
          <w:b w:val="0"/>
          <w:color w:val="auto"/>
          <w:sz w:val="20"/>
          <w:szCs w:val="20"/>
        </w:rPr>
        <w:t>Цель проекта Программы трансформации - уменьшить на 30%показатели травматизма на производстве. </w:t>
      </w:r>
    </w:p>
    <w:p w:rsidR="00344536" w:rsidRPr="00FB0140" w:rsidRDefault="00344536" w:rsidP="00344536">
      <w:pPr>
        <w:shd w:val="clear" w:color="auto" w:fill="FFFFFF"/>
        <w:spacing w:after="0" w:line="240" w:lineRule="auto"/>
        <w:ind w:firstLine="709"/>
        <w:jc w:val="both"/>
        <w:textAlignment w:val="top"/>
        <w:rPr>
          <w:rFonts w:ascii="Times New Roman" w:hAnsi="Times New Roman" w:cs="Times New Roman"/>
          <w:sz w:val="20"/>
          <w:szCs w:val="20"/>
        </w:rPr>
      </w:pPr>
      <w:r w:rsidRPr="00FB0140">
        <w:rPr>
          <w:rFonts w:ascii="Times New Roman" w:hAnsi="Times New Roman" w:cs="Times New Roman"/>
          <w:sz w:val="20"/>
          <w:szCs w:val="20"/>
        </w:rPr>
        <w:t>АО «Алматинские электрические станции» (АлЭС), АО «Алатау Жарык Компаниясы» (АЖК) и солнечная электростанция ТОО «SamrukGreenEnergy» (SGE), где работают более 6 тысяч человек, вошли в периметр третьей волны проекта по внедрению новой модели управления комплексной безопасности Программы трансформации АО «Самрук-Энерго». Новые подходы направлены на повышение культуры безопасности и снижение травматизма на производстве за счет предупреждения инцидентов.</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О начале реализации проекта «Внедрение новой модели по управлению комплексной безопасностью» было объявлено на стартовом онлайн- совещании с участием топ-менеджеров энергохолдинга и линейных руководителей ДЗО АО «Самрук-Энерго», ответственных за вопросы безопасности труда.</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w:t>
      </w:r>
      <w:r w:rsidRPr="00FB0140">
        <w:rPr>
          <w:rStyle w:val="af8"/>
          <w:sz w:val="20"/>
          <w:szCs w:val="20"/>
        </w:rPr>
        <w:t>Хочу отметить приоритетность вопросов безопасности труда. Данный проект находится на особом контроле у Председателя Правления АО «ФНБ «Самрук-Қазына»» АхметжанаЕсимова. Спонсором проекта в АО «Самрук-Энерго» также является первый руководитель Председатель Правления БакитжанЖуламанов</w:t>
      </w:r>
      <w:r w:rsidRPr="00FB0140">
        <w:rPr>
          <w:sz w:val="20"/>
          <w:szCs w:val="20"/>
        </w:rPr>
        <w:t>», - сказал Со-спонсор Проекта Управляющий директор по трансформации бизнеса Едил Копенов.</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Проект содержит внедрение новых стандартов и практических инструментов, которые помогут сотрудникам электростанций изменить отношение к соблюдению правил безопасности, повысить уровень сознания и изменить устаревшие подходы.</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Как показывает практика, работа по предупреждению рисков позволяет предотвратить несчастные случаи на производстве. За I полугодие 2020 года по группе компаний АО «Самрук-Энерго» зарегистрировано 6 несчастных случаев. Тогда как за   аналогичный период 2019 года на предприятиях произошло 7 печальных событий, из них 1 со смертельным исходом. С 2019 года внедрена прозрачная система регистрации инцидентов, в рамках которой регистрируются и расследуются потенциально-опасные происшествия, не приведшие к травмам. Также усилена ответственность за сокрытие несчастных случаев, аза сообщение о потенциально-опасных ситуациях предусмотрена денежное поощрение. За 1 полугодие 2020 года зарегистрировано и расследовано 16 потенциально-опасных происшествий. За аналогичный период прошлого года зафиксировано 23инцидента.</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noProof/>
          <w:sz w:val="20"/>
          <w:szCs w:val="20"/>
        </w:rPr>
        <mc:AlternateContent>
          <mc:Choice Requires="wps">
            <w:drawing>
              <wp:inline distT="0" distB="0" distL="0" distR="0" wp14:anchorId="39B0C308" wp14:editId="4D36DBF4">
                <wp:extent cx="297180" cy="297180"/>
                <wp:effectExtent l="0" t="0" r="0" b="0"/>
                <wp:docPr id="5" name="Прямоугольник 5" descr="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1D53C" id="Прямоугольник 5" o:spid="_x0000_s1026" alt="123" style="width:23.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" filled="f" stroked="f">
                <o:lock v:ext="edit" aspectratio="t"/>
                <w10:anchorlock/>
              </v:rect>
            </w:pict>
          </mc:Fallback>
        </mc:AlternateContent>
      </w:r>
      <w:r w:rsidRPr="00FB0140">
        <w:rPr>
          <w:noProof/>
          <w:sz w:val="20"/>
          <w:szCs w:val="20"/>
        </w:rPr>
        <w:drawing>
          <wp:inline distT="0" distB="0" distL="0" distR="0" wp14:anchorId="4CA0F582" wp14:editId="55F75C35">
            <wp:extent cx="3166164" cy="2794958"/>
            <wp:effectExtent l="19050" t="0" r="0" b="0"/>
            <wp:docPr id="4" name="Рисунок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4"/>
                    <a:stretch>
                      <a:fillRect/>
                    </a:stretch>
                  </pic:blipFill>
                  <pic:spPr>
                    <a:xfrm>
                      <a:off x="0" y="0"/>
                      <a:ext cx="3169893" cy="2798250"/>
                    </a:xfrm>
                    <a:prstGeom prst="rect">
                      <a:avLst/>
                    </a:prstGeom>
                  </pic:spPr>
                </pic:pic>
              </a:graphicData>
            </a:graphic>
          </wp:inline>
        </w:drawing>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По словам руководителя проекта, директора Департамента «Охрана труда и защита окружающей среды» Тулегена Максилова, планируется  снижение показателей травматизма на предприятиях на 30% в течении трех лет после реализации проекта. </w:t>
      </w:r>
    </w:p>
    <w:p w:rsidR="00344536"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«Необходимо качественно проводить анализ возможных рисков на производстве. Работа не должна содержать бюрократический подход. Внедрение системы прозрачной отчетности, проактивного подхода к вопросам производственной безопасности – важные задачи в реализации проекта», - сказал Тулеген Максилов.</w:t>
      </w:r>
    </w:p>
    <w:p w:rsidR="00E04313" w:rsidRPr="00FB0140" w:rsidRDefault="00344536" w:rsidP="00344536">
      <w:pPr>
        <w:pStyle w:val="ad"/>
        <w:shd w:val="clear" w:color="auto" w:fill="FFFFFF"/>
        <w:spacing w:before="0" w:beforeAutospacing="0" w:after="0" w:afterAutospacing="0"/>
        <w:ind w:firstLine="709"/>
        <w:jc w:val="both"/>
        <w:textAlignment w:val="top"/>
        <w:rPr>
          <w:sz w:val="20"/>
          <w:szCs w:val="20"/>
        </w:rPr>
      </w:pPr>
      <w:r w:rsidRPr="00FB0140">
        <w:rPr>
          <w:sz w:val="20"/>
          <w:szCs w:val="20"/>
        </w:rPr>
        <w:t>В 2019 году завершена первая волна проекта по внедрению новой модели управления комплексной безопасности в Корпоративном центре АО «Самрук-Энерго», ТОО «Экибастузская ГРЭС-1», АО «МойнакскаяГЭС», АО «Шардаринская ГЭС».  До конца 2020года будет реализован второй этап данного проекта в ТОО «Первая ветровая электрическая станция» и АО «Станция Экибастузская ГРЭС-2».</w:t>
      </w:r>
    </w:p>
    <w:sectPr w:rsidR="00E04313" w:rsidRPr="00FB0140" w:rsidSect="00EC42B5">
      <w:headerReference w:type="default" r:id="rId15"/>
      <w:footerReference w:type="default" r:id="rId16"/>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698" w:rsidRDefault="009A1698" w:rsidP="00AD7754">
      <w:pPr>
        <w:spacing w:after="0" w:line="240" w:lineRule="auto"/>
      </w:pPr>
      <w:r>
        <w:separator/>
      </w:r>
    </w:p>
  </w:endnote>
  <w:endnote w:type="continuationSeparator" w:id="0">
    <w:p w:rsidR="009A1698" w:rsidRDefault="009A1698"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9A1698" w:rsidRDefault="009A1698">
        <w:pPr>
          <w:pStyle w:val="a7"/>
          <w:jc w:val="right"/>
        </w:pPr>
        <w:r>
          <w:fldChar w:fldCharType="begin"/>
        </w:r>
        <w:r>
          <w:instrText>PAGE   \* MERGEFORMAT</w:instrText>
        </w:r>
        <w:r>
          <w:fldChar w:fldCharType="separate"/>
        </w:r>
        <w:r w:rsidR="00FB0140">
          <w:rPr>
            <w:noProof/>
          </w:rPr>
          <w:t>18</w:t>
        </w:r>
        <w:r>
          <w:rPr>
            <w:noProof/>
          </w:rPr>
          <w:fldChar w:fldCharType="end"/>
        </w:r>
      </w:p>
    </w:sdtContent>
  </w:sdt>
  <w:p w:rsidR="009A1698" w:rsidRDefault="009A16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698" w:rsidRDefault="009A1698" w:rsidP="00AD7754">
      <w:pPr>
        <w:spacing w:after="0" w:line="240" w:lineRule="auto"/>
      </w:pPr>
      <w:r>
        <w:separator/>
      </w:r>
    </w:p>
  </w:footnote>
  <w:footnote w:type="continuationSeparator" w:id="0">
    <w:p w:rsidR="009A1698" w:rsidRDefault="009A1698"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9A1698" w:rsidTr="009437D6">
      <w:tc>
        <w:tcPr>
          <w:tcW w:w="2235" w:type="dxa"/>
        </w:tcPr>
        <w:p w:rsidR="009A1698" w:rsidRDefault="009A1698"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3" name="Рисунок 3"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9A1698" w:rsidRDefault="009A1698" w:rsidP="005F127E">
          <w:pPr>
            <w:jc w:val="right"/>
            <w:rPr>
              <w:rFonts w:ascii="Times New Roman" w:hAnsi="Times New Roman" w:cs="Times New Roman"/>
              <w:i/>
              <w:sz w:val="28"/>
            </w:rPr>
          </w:pPr>
        </w:p>
        <w:p w:rsidR="009A1698" w:rsidRDefault="009A1698"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9A1698" w:rsidRPr="009437D6" w:rsidRDefault="009A1698"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1D88"/>
    <w:rsid w:val="00023FFD"/>
    <w:rsid w:val="00025494"/>
    <w:rsid w:val="000312EB"/>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447DB"/>
    <w:rsid w:val="00144EB2"/>
    <w:rsid w:val="00146C10"/>
    <w:rsid w:val="00147887"/>
    <w:rsid w:val="00150085"/>
    <w:rsid w:val="00156A4A"/>
    <w:rsid w:val="001620AB"/>
    <w:rsid w:val="001621B0"/>
    <w:rsid w:val="0016541F"/>
    <w:rsid w:val="001667B9"/>
    <w:rsid w:val="00167CFE"/>
    <w:rsid w:val="0017220E"/>
    <w:rsid w:val="00176FB5"/>
    <w:rsid w:val="001803A7"/>
    <w:rsid w:val="00183A10"/>
    <w:rsid w:val="001841F0"/>
    <w:rsid w:val="00184E53"/>
    <w:rsid w:val="00186C38"/>
    <w:rsid w:val="00190C91"/>
    <w:rsid w:val="00191D55"/>
    <w:rsid w:val="001963D6"/>
    <w:rsid w:val="001976AD"/>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95877"/>
    <w:rsid w:val="002A37CB"/>
    <w:rsid w:val="002A3F39"/>
    <w:rsid w:val="002B2269"/>
    <w:rsid w:val="002C14BF"/>
    <w:rsid w:val="002C4506"/>
    <w:rsid w:val="002C5519"/>
    <w:rsid w:val="002D2E71"/>
    <w:rsid w:val="002D4807"/>
    <w:rsid w:val="002D6BEB"/>
    <w:rsid w:val="002E17D6"/>
    <w:rsid w:val="002E3ABD"/>
    <w:rsid w:val="002E6CD9"/>
    <w:rsid w:val="002F0073"/>
    <w:rsid w:val="002F18C0"/>
    <w:rsid w:val="002F20CC"/>
    <w:rsid w:val="003021BF"/>
    <w:rsid w:val="00302337"/>
    <w:rsid w:val="00302DA3"/>
    <w:rsid w:val="00306A9D"/>
    <w:rsid w:val="00306B17"/>
    <w:rsid w:val="00306C42"/>
    <w:rsid w:val="0031274F"/>
    <w:rsid w:val="00312A1E"/>
    <w:rsid w:val="00313749"/>
    <w:rsid w:val="00330E75"/>
    <w:rsid w:val="00335690"/>
    <w:rsid w:val="003363B0"/>
    <w:rsid w:val="00337BAB"/>
    <w:rsid w:val="00337FB1"/>
    <w:rsid w:val="00340588"/>
    <w:rsid w:val="003417C6"/>
    <w:rsid w:val="00343B5A"/>
    <w:rsid w:val="00344536"/>
    <w:rsid w:val="00346CFD"/>
    <w:rsid w:val="003507C0"/>
    <w:rsid w:val="00350BC9"/>
    <w:rsid w:val="003521D1"/>
    <w:rsid w:val="003527BF"/>
    <w:rsid w:val="0035461D"/>
    <w:rsid w:val="003625A7"/>
    <w:rsid w:val="0036365D"/>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3F62C2"/>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52FF3"/>
    <w:rsid w:val="004550F2"/>
    <w:rsid w:val="00457F45"/>
    <w:rsid w:val="00461EC4"/>
    <w:rsid w:val="00462247"/>
    <w:rsid w:val="00465C07"/>
    <w:rsid w:val="0047172D"/>
    <w:rsid w:val="00476D7B"/>
    <w:rsid w:val="00485E7B"/>
    <w:rsid w:val="00493051"/>
    <w:rsid w:val="00495B86"/>
    <w:rsid w:val="004A3193"/>
    <w:rsid w:val="004A417C"/>
    <w:rsid w:val="004A4775"/>
    <w:rsid w:val="004A47DD"/>
    <w:rsid w:val="004B2582"/>
    <w:rsid w:val="004B30B9"/>
    <w:rsid w:val="004B468C"/>
    <w:rsid w:val="004B60D8"/>
    <w:rsid w:val="004C65DE"/>
    <w:rsid w:val="004C686A"/>
    <w:rsid w:val="004C720B"/>
    <w:rsid w:val="004D543B"/>
    <w:rsid w:val="004D745C"/>
    <w:rsid w:val="004E7604"/>
    <w:rsid w:val="004F55A3"/>
    <w:rsid w:val="00503D99"/>
    <w:rsid w:val="00503EEF"/>
    <w:rsid w:val="005070DF"/>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2719"/>
    <w:rsid w:val="005F6A67"/>
    <w:rsid w:val="00600B80"/>
    <w:rsid w:val="00615B56"/>
    <w:rsid w:val="00620733"/>
    <w:rsid w:val="00623E43"/>
    <w:rsid w:val="00633669"/>
    <w:rsid w:val="006338AC"/>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87FC9"/>
    <w:rsid w:val="00691F19"/>
    <w:rsid w:val="006A0785"/>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2753"/>
    <w:rsid w:val="006D732A"/>
    <w:rsid w:val="006E259C"/>
    <w:rsid w:val="006E404D"/>
    <w:rsid w:val="006E7478"/>
    <w:rsid w:val="006F09F2"/>
    <w:rsid w:val="006F33F9"/>
    <w:rsid w:val="00700CC0"/>
    <w:rsid w:val="007103C4"/>
    <w:rsid w:val="00710722"/>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953"/>
    <w:rsid w:val="007A0FD1"/>
    <w:rsid w:val="007A552A"/>
    <w:rsid w:val="007A7BD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3D0D"/>
    <w:rsid w:val="00854D8B"/>
    <w:rsid w:val="00855837"/>
    <w:rsid w:val="00857454"/>
    <w:rsid w:val="0085783F"/>
    <w:rsid w:val="008647BB"/>
    <w:rsid w:val="00874172"/>
    <w:rsid w:val="008754CA"/>
    <w:rsid w:val="00875F55"/>
    <w:rsid w:val="00880821"/>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60C"/>
    <w:rsid w:val="00935771"/>
    <w:rsid w:val="00936844"/>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183"/>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97B5A"/>
    <w:rsid w:val="00AA3132"/>
    <w:rsid w:val="00AA36F9"/>
    <w:rsid w:val="00AA46C2"/>
    <w:rsid w:val="00AB1804"/>
    <w:rsid w:val="00AB4278"/>
    <w:rsid w:val="00AB44A6"/>
    <w:rsid w:val="00AB5E40"/>
    <w:rsid w:val="00AC3594"/>
    <w:rsid w:val="00AC6E74"/>
    <w:rsid w:val="00AD04EF"/>
    <w:rsid w:val="00AD1830"/>
    <w:rsid w:val="00AD24B7"/>
    <w:rsid w:val="00AD38CB"/>
    <w:rsid w:val="00AD7754"/>
    <w:rsid w:val="00AE458B"/>
    <w:rsid w:val="00AE6952"/>
    <w:rsid w:val="00AF0DCC"/>
    <w:rsid w:val="00AF4346"/>
    <w:rsid w:val="00B005A3"/>
    <w:rsid w:val="00B00FD2"/>
    <w:rsid w:val="00B01F44"/>
    <w:rsid w:val="00B022D7"/>
    <w:rsid w:val="00B025A4"/>
    <w:rsid w:val="00B0282E"/>
    <w:rsid w:val="00B1007E"/>
    <w:rsid w:val="00B116AC"/>
    <w:rsid w:val="00B1307B"/>
    <w:rsid w:val="00B17273"/>
    <w:rsid w:val="00B17590"/>
    <w:rsid w:val="00B17665"/>
    <w:rsid w:val="00B179B3"/>
    <w:rsid w:val="00B205A6"/>
    <w:rsid w:val="00B205B5"/>
    <w:rsid w:val="00B32A03"/>
    <w:rsid w:val="00B34E61"/>
    <w:rsid w:val="00B403B9"/>
    <w:rsid w:val="00B45097"/>
    <w:rsid w:val="00B45A4E"/>
    <w:rsid w:val="00B601C1"/>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33E8"/>
    <w:rsid w:val="00BC6332"/>
    <w:rsid w:val="00BC79FE"/>
    <w:rsid w:val="00BC7CB8"/>
    <w:rsid w:val="00BD298D"/>
    <w:rsid w:val="00BD35CB"/>
    <w:rsid w:val="00BD4E75"/>
    <w:rsid w:val="00BD6322"/>
    <w:rsid w:val="00BD648D"/>
    <w:rsid w:val="00BD7175"/>
    <w:rsid w:val="00BD7F80"/>
    <w:rsid w:val="00BE0F2B"/>
    <w:rsid w:val="00BE1470"/>
    <w:rsid w:val="00BE2DD3"/>
    <w:rsid w:val="00BE7C0C"/>
    <w:rsid w:val="00BF2E27"/>
    <w:rsid w:val="00BF5438"/>
    <w:rsid w:val="00C077F8"/>
    <w:rsid w:val="00C07CA7"/>
    <w:rsid w:val="00C13942"/>
    <w:rsid w:val="00C13A87"/>
    <w:rsid w:val="00C14154"/>
    <w:rsid w:val="00C16EF2"/>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2353"/>
    <w:rsid w:val="00CB44CF"/>
    <w:rsid w:val="00CB6062"/>
    <w:rsid w:val="00CB6A6A"/>
    <w:rsid w:val="00CC207E"/>
    <w:rsid w:val="00CC4053"/>
    <w:rsid w:val="00CC5613"/>
    <w:rsid w:val="00CD0299"/>
    <w:rsid w:val="00CD0D01"/>
    <w:rsid w:val="00CD238C"/>
    <w:rsid w:val="00CD3C45"/>
    <w:rsid w:val="00CD400E"/>
    <w:rsid w:val="00CD5BA5"/>
    <w:rsid w:val="00CD69C7"/>
    <w:rsid w:val="00CE11BD"/>
    <w:rsid w:val="00CE4C8F"/>
    <w:rsid w:val="00CF19E4"/>
    <w:rsid w:val="00CF4FDB"/>
    <w:rsid w:val="00CF62E6"/>
    <w:rsid w:val="00CF64DA"/>
    <w:rsid w:val="00CF6711"/>
    <w:rsid w:val="00D04771"/>
    <w:rsid w:val="00D06266"/>
    <w:rsid w:val="00D11B1F"/>
    <w:rsid w:val="00D11B94"/>
    <w:rsid w:val="00D14364"/>
    <w:rsid w:val="00D1483A"/>
    <w:rsid w:val="00D14E82"/>
    <w:rsid w:val="00D16459"/>
    <w:rsid w:val="00D309A9"/>
    <w:rsid w:val="00D36832"/>
    <w:rsid w:val="00D4090E"/>
    <w:rsid w:val="00D479CD"/>
    <w:rsid w:val="00D52355"/>
    <w:rsid w:val="00D53102"/>
    <w:rsid w:val="00D53D13"/>
    <w:rsid w:val="00D5557E"/>
    <w:rsid w:val="00D55CCA"/>
    <w:rsid w:val="00D57B07"/>
    <w:rsid w:val="00D64058"/>
    <w:rsid w:val="00D649E4"/>
    <w:rsid w:val="00D67109"/>
    <w:rsid w:val="00D72919"/>
    <w:rsid w:val="00D86896"/>
    <w:rsid w:val="00D86DB7"/>
    <w:rsid w:val="00D97169"/>
    <w:rsid w:val="00DA063C"/>
    <w:rsid w:val="00DA40B8"/>
    <w:rsid w:val="00DA5067"/>
    <w:rsid w:val="00DA5171"/>
    <w:rsid w:val="00DA574F"/>
    <w:rsid w:val="00DA67ED"/>
    <w:rsid w:val="00DA7F76"/>
    <w:rsid w:val="00DB7D8C"/>
    <w:rsid w:val="00DC00C7"/>
    <w:rsid w:val="00DC0575"/>
    <w:rsid w:val="00DC2838"/>
    <w:rsid w:val="00DC2F6A"/>
    <w:rsid w:val="00DC4A50"/>
    <w:rsid w:val="00DD1BA8"/>
    <w:rsid w:val="00DD331D"/>
    <w:rsid w:val="00DD3703"/>
    <w:rsid w:val="00DD3735"/>
    <w:rsid w:val="00DD3C0A"/>
    <w:rsid w:val="00DE38E8"/>
    <w:rsid w:val="00DE5FA7"/>
    <w:rsid w:val="00DE70E9"/>
    <w:rsid w:val="00DE7728"/>
    <w:rsid w:val="00DE7774"/>
    <w:rsid w:val="00DF2006"/>
    <w:rsid w:val="00DF2830"/>
    <w:rsid w:val="00DF515E"/>
    <w:rsid w:val="00E02D01"/>
    <w:rsid w:val="00E0381D"/>
    <w:rsid w:val="00E04313"/>
    <w:rsid w:val="00E05E5A"/>
    <w:rsid w:val="00E07EA5"/>
    <w:rsid w:val="00E103E9"/>
    <w:rsid w:val="00E137CD"/>
    <w:rsid w:val="00E23745"/>
    <w:rsid w:val="00E238D5"/>
    <w:rsid w:val="00E23C2C"/>
    <w:rsid w:val="00E25210"/>
    <w:rsid w:val="00E320C2"/>
    <w:rsid w:val="00E33F98"/>
    <w:rsid w:val="00E3596D"/>
    <w:rsid w:val="00E35C6A"/>
    <w:rsid w:val="00E366C0"/>
    <w:rsid w:val="00E37727"/>
    <w:rsid w:val="00E46EE4"/>
    <w:rsid w:val="00E56657"/>
    <w:rsid w:val="00E60398"/>
    <w:rsid w:val="00E628B9"/>
    <w:rsid w:val="00E62D3B"/>
    <w:rsid w:val="00E62F32"/>
    <w:rsid w:val="00E63E04"/>
    <w:rsid w:val="00E644FC"/>
    <w:rsid w:val="00E64F87"/>
    <w:rsid w:val="00E77C53"/>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4AE4"/>
    <w:rsid w:val="00EF5889"/>
    <w:rsid w:val="00EF6EFC"/>
    <w:rsid w:val="00F01E7E"/>
    <w:rsid w:val="00F02413"/>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orbes.kz/themes/%D0%90%D0%B9%D0%B4%D1%8B%D0%BD%D0%B0%20%D0%A0%D0%B0%D1%85%D0%B8%D0%BC%D0%B1%D0%B0%D0%B5%D0%B2%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qparat.info/city/99284-ura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User\Desktop\&#1050;&#1057;%20&#1052;&#1053;&#1069;%20&#1056;&#1050;\&#1055;&#1056;&#1054;&#1052;%20&#1052;&#1045;&#1057;%202020\&#1101;&#1082;&#1089;&#1087;&#1088;&#1077;&#1089;&#1089;-&#1080;&#1085;&#1092;&#1086;\1.08\eks%20&#1086;&#1073;&#108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2.7902485162327677E-2"/>
          <c:y val="2.8479242911537465E-2"/>
          <c:w val="0.96988727128533392"/>
          <c:h val="0.92717430039554916"/>
        </c:manualLayout>
      </c:layout>
      <c:barChart>
        <c:barDir val="bar"/>
        <c:grouping val="clustered"/>
        <c:varyColors val="0"/>
        <c:ser>
          <c:idx val="0"/>
          <c:order val="0"/>
          <c:invertIfNegative val="0"/>
          <c:dLbls>
            <c:dLbl>
              <c:idx val="0"/>
              <c:layout>
                <c:manualLayout>
                  <c:x val="-7.2285549143902136E-3"/>
                  <c:y val="-1.4786884033861965E-5"/>
                </c:manualLayout>
              </c:layout>
              <c:tx>
                <c:rich>
                  <a:bodyPr/>
                  <a:lstStyle/>
                  <a:p>
                    <a:pPr>
                      <a:defRPr sz="800" b="0" i="0" u="none" strike="noStrike" baseline="0">
                        <a:solidFill>
                          <a:srgbClr val="000000"/>
                        </a:solidFill>
                        <a:latin typeface="Calibri"/>
                        <a:ea typeface="Calibri"/>
                        <a:cs typeface="Calibri"/>
                      </a:defRPr>
                    </a:pPr>
                    <a:r>
                      <a:rPr lang="en-US"/>
                      <a:t>-11,5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9299-47B5-BBF0-54653C128065}"/>
                </c:ext>
                <c:ext xmlns:c15="http://schemas.microsoft.com/office/drawing/2012/chart" uri="{CE6537A1-D6FC-4f65-9D91-7224C49458BB}">
                  <c15:layout/>
                </c:ext>
              </c:extLst>
            </c:dLbl>
            <c:dLbl>
              <c:idx val="1"/>
              <c:layout>
                <c:manualLayout>
                  <c:x val="-4.8089295697243623E-3"/>
                  <c:y val="-1.4786884033861965E-5"/>
                </c:manualLayout>
              </c:layout>
              <c:tx>
                <c:rich>
                  <a:bodyPr/>
                  <a:lstStyle/>
                  <a:p>
                    <a:pPr>
                      <a:defRPr sz="800" b="0" i="0" u="none" strike="noStrike" baseline="0">
                        <a:solidFill>
                          <a:srgbClr val="000000"/>
                        </a:solidFill>
                        <a:latin typeface="Calibri"/>
                        <a:ea typeface="Calibri"/>
                        <a:cs typeface="Calibri"/>
                      </a:defRPr>
                    </a:pPr>
                    <a:r>
                      <a:rPr lang="en-US"/>
                      <a:t>-5,9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9299-47B5-BBF0-54653C128065}"/>
                </c:ext>
                <c:ext xmlns:c15="http://schemas.microsoft.com/office/drawing/2012/chart" uri="{CE6537A1-D6FC-4f65-9D91-7224C49458BB}">
                  <c15:layout/>
                </c:ext>
              </c:extLst>
            </c:dLbl>
            <c:dLbl>
              <c:idx val="2"/>
              <c:layout>
                <c:manualLayout>
                  <c:x val="-4.8081715417341783E-3"/>
                  <c:y val="0"/>
                </c:manualLayout>
              </c:layout>
              <c:tx>
                <c:rich>
                  <a:bodyPr/>
                  <a:lstStyle/>
                  <a:p>
                    <a:pPr>
                      <a:defRPr sz="800" b="0" i="0" u="none" strike="noStrike" baseline="0">
                        <a:solidFill>
                          <a:srgbClr val="000000"/>
                        </a:solidFill>
                        <a:latin typeface="Calibri"/>
                        <a:ea typeface="Calibri"/>
                        <a:cs typeface="Calibri"/>
                      </a:defRPr>
                    </a:pPr>
                    <a:r>
                      <a:rPr lang="en-US"/>
                      <a:t>-2,9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9299-47B5-BBF0-54653C128065}"/>
                </c:ext>
                <c:ext xmlns:c15="http://schemas.microsoft.com/office/drawing/2012/chart" uri="{CE6537A1-D6FC-4f65-9D91-7224C49458BB}">
                  <c15:layout/>
                </c:ext>
              </c:extLst>
            </c:dLbl>
            <c:dLbl>
              <c:idx val="3"/>
              <c:layout>
                <c:manualLayout>
                  <c:x val="-7.2122573126012675E-3"/>
                  <c:y val="0"/>
                </c:manualLayout>
              </c:layout>
              <c:tx>
                <c:rich>
                  <a:bodyPr/>
                  <a:lstStyle/>
                  <a:p>
                    <a:pPr>
                      <a:defRPr sz="800" b="0" i="0" u="none" strike="noStrike" baseline="0">
                        <a:solidFill>
                          <a:srgbClr val="000000"/>
                        </a:solidFill>
                        <a:latin typeface="Calibri"/>
                        <a:ea typeface="Calibri"/>
                        <a:cs typeface="Calibri"/>
                      </a:defRPr>
                    </a:pPr>
                    <a:r>
                      <a:rPr lang="en-US"/>
                      <a:t>-1,8</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9299-47B5-BBF0-54653C128065}"/>
                </c:ext>
                <c:ext xmlns:c15="http://schemas.microsoft.com/office/drawing/2012/chart" uri="{CE6537A1-D6FC-4f65-9D91-7224C49458BB}">
                  <c15:layout/>
                </c:ext>
              </c:extLst>
            </c:dLbl>
            <c:dLbl>
              <c:idx val="4"/>
              <c:layout>
                <c:manualLayout>
                  <c:x val="-7.2137733685816345E-3"/>
                  <c:y val="0"/>
                </c:manualLayout>
              </c:layout>
              <c:tx>
                <c:rich>
                  <a:bodyPr/>
                  <a:lstStyle/>
                  <a:p>
                    <a:pPr>
                      <a:defRPr sz="800" b="0" i="0" u="none" strike="noStrike" baseline="0">
                        <a:solidFill>
                          <a:srgbClr val="000000"/>
                        </a:solidFill>
                        <a:latin typeface="Calibri"/>
                        <a:ea typeface="Calibri"/>
                        <a:cs typeface="Calibri"/>
                      </a:defRPr>
                    </a:pPr>
                    <a:r>
                      <a:rPr lang="en-US"/>
                      <a:t>-1,5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9299-47B5-BBF0-54653C128065}"/>
                </c:ext>
                <c:ext xmlns:c15="http://schemas.microsoft.com/office/drawing/2012/chart" uri="{CE6537A1-D6FC-4f65-9D91-7224C49458BB}">
                  <c15:layout/>
                </c:ext>
              </c:extLst>
            </c:dLbl>
            <c:dLbl>
              <c:idx val="5"/>
              <c:layout>
                <c:manualLayout>
                  <c:x val="-7.215007215007215E-3"/>
                  <c:y val="0"/>
                </c:manualLayout>
              </c:layout>
              <c:tx>
                <c:rich>
                  <a:bodyPr/>
                  <a:lstStyle/>
                  <a:p>
                    <a:pPr>
                      <a:defRPr sz="800" b="0" i="0" u="none" strike="noStrike" baseline="0">
                        <a:solidFill>
                          <a:srgbClr val="000000"/>
                        </a:solidFill>
                        <a:latin typeface="Calibri"/>
                        <a:ea typeface="Calibri"/>
                        <a:cs typeface="Calibri"/>
                      </a:defRPr>
                    </a:pPr>
                    <a:r>
                      <a:rPr lang="en-US"/>
                      <a:t>0,5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9299-47B5-BBF0-54653C128065}"/>
                </c:ext>
                <c:ext xmlns:c15="http://schemas.microsoft.com/office/drawing/2012/chart" uri="{CE6537A1-D6FC-4f65-9D91-7224C49458BB}">
                  <c15:layout/>
                </c:ext>
              </c:extLst>
            </c:dLbl>
            <c:dLbl>
              <c:idx val="6"/>
              <c:layout>
                <c:manualLayout>
                  <c:x val="-7.1942446043165471E-3"/>
                  <c:y val="0"/>
                </c:manualLayout>
              </c:layout>
              <c:tx>
                <c:rich>
                  <a:bodyPr/>
                  <a:lstStyle/>
                  <a:p>
                    <a:pPr>
                      <a:defRPr sz="800" b="0" i="0" u="none" strike="noStrike" baseline="0">
                        <a:solidFill>
                          <a:srgbClr val="000000"/>
                        </a:solidFill>
                        <a:latin typeface="Calibri"/>
                        <a:ea typeface="Calibri"/>
                        <a:cs typeface="Calibri"/>
                      </a:defRPr>
                    </a:pPr>
                    <a:r>
                      <a:rPr lang="en-US"/>
                      <a:t>0,7</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9299-47B5-BBF0-54653C128065}"/>
                </c:ext>
                <c:ext xmlns:c15="http://schemas.microsoft.com/office/drawing/2012/chart" uri="{CE6537A1-D6FC-4f65-9D91-7224C49458BB}">
                  <c15:layout/>
                </c:ext>
              </c:extLst>
            </c:dLbl>
            <c:dLbl>
              <c:idx val="7"/>
              <c:layout>
                <c:manualLayout>
                  <c:x val="-7.2168054805423687E-3"/>
                  <c:y val="-3.7558685446009389E-3"/>
                </c:manualLayout>
              </c:layout>
              <c:tx>
                <c:rich>
                  <a:bodyPr/>
                  <a:lstStyle/>
                  <a:p>
                    <a:pPr>
                      <a:defRPr sz="800" b="0" i="0" u="none" strike="noStrike" baseline="0">
                        <a:solidFill>
                          <a:srgbClr val="000000"/>
                        </a:solidFill>
                        <a:latin typeface="Calibri"/>
                        <a:ea typeface="Calibri"/>
                        <a:cs typeface="Calibri"/>
                      </a:defRPr>
                    </a:pPr>
                    <a:r>
                      <a:rPr lang="en-US"/>
                      <a:t>1,6</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9299-47B5-BBF0-54653C128065}"/>
                </c:ext>
                <c:ext xmlns:c15="http://schemas.microsoft.com/office/drawing/2012/chart" uri="{CE6537A1-D6FC-4f65-9D91-7224C49458BB}">
                  <c15:layout/>
                </c:ext>
              </c:extLst>
            </c:dLbl>
            <c:dLbl>
              <c:idx val="8"/>
              <c:layout>
                <c:manualLayout>
                  <c:x val="-7.2168054805423687E-3"/>
                  <c:y val="0"/>
                </c:manualLayout>
              </c:layout>
              <c:tx>
                <c:rich>
                  <a:bodyPr/>
                  <a:lstStyle/>
                  <a:p>
                    <a:pPr>
                      <a:defRPr sz="800" b="0" i="0" u="none" strike="noStrike" baseline="0">
                        <a:solidFill>
                          <a:srgbClr val="000000"/>
                        </a:solidFill>
                        <a:latin typeface="Calibri"/>
                        <a:ea typeface="Calibri"/>
                        <a:cs typeface="Calibri"/>
                      </a:defRPr>
                    </a:pPr>
                    <a:r>
                      <a:rPr lang="en-US"/>
                      <a:t>2,2</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9299-47B5-BBF0-54653C128065}"/>
                </c:ext>
                <c:ext xmlns:c15="http://schemas.microsoft.com/office/drawing/2012/chart" uri="{CE6537A1-D6FC-4f65-9D91-7224C49458BB}">
                  <c15:layout/>
                </c:ext>
              </c:extLst>
            </c:dLbl>
            <c:dLbl>
              <c:idx val="9"/>
              <c:layout>
                <c:manualLayout>
                  <c:x val="-7.2097937216331716E-3"/>
                  <c:y val="-1.4786884033861965E-5"/>
                </c:manualLayout>
              </c:layout>
              <c:tx>
                <c:rich>
                  <a:bodyPr/>
                  <a:lstStyle/>
                  <a:p>
                    <a:pPr>
                      <a:defRPr sz="800" b="0" i="0" u="none" strike="noStrike" baseline="0">
                        <a:solidFill>
                          <a:srgbClr val="000000"/>
                        </a:solidFill>
                        <a:latin typeface="Calibri"/>
                        <a:ea typeface="Calibri"/>
                        <a:cs typeface="Calibri"/>
                      </a:defRPr>
                    </a:pPr>
                    <a:r>
                      <a:rPr lang="en-US"/>
                      <a:t>2,4</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9299-47B5-BBF0-54653C128065}"/>
                </c:ext>
                <c:ext xmlns:c15="http://schemas.microsoft.com/office/drawing/2012/chart" uri="{CE6537A1-D6FC-4f65-9D91-7224C49458BB}">
                  <c15:layout/>
                </c:ext>
              </c:extLst>
            </c:dLbl>
            <c:dLbl>
              <c:idx val="10"/>
              <c:layout>
                <c:manualLayout>
                  <c:x val="-7.2185110435202824E-3"/>
                  <c:y val="-2.9573768067723929E-7"/>
                </c:manualLayout>
              </c:layout>
              <c:tx>
                <c:rich>
                  <a:bodyPr/>
                  <a:lstStyle/>
                  <a:p>
                    <a:pPr>
                      <a:defRPr sz="800" b="0" i="0" u="none" strike="noStrike" baseline="0">
                        <a:solidFill>
                          <a:srgbClr val="000000"/>
                        </a:solidFill>
                        <a:latin typeface="Calibri"/>
                        <a:ea typeface="Calibri"/>
                        <a:cs typeface="Calibri"/>
                      </a:defRPr>
                    </a:pPr>
                    <a:r>
                      <a:rPr lang="en-US"/>
                      <a:t>2,6</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9299-47B5-BBF0-54653C128065}"/>
                </c:ext>
                <c:ext xmlns:c15="http://schemas.microsoft.com/office/drawing/2012/chart" uri="{CE6537A1-D6FC-4f65-9D91-7224C49458BB}">
                  <c15:layout/>
                </c:ext>
              </c:extLst>
            </c:dLbl>
            <c:dLbl>
              <c:idx val="11"/>
              <c:layout>
                <c:manualLayout>
                  <c:x val="-7.2168054805423687E-3"/>
                  <c:y val="0"/>
                </c:manualLayout>
              </c:layout>
              <c:tx>
                <c:rich>
                  <a:bodyPr/>
                  <a:lstStyle/>
                  <a:p>
                    <a:pPr>
                      <a:defRPr sz="800" b="0" i="0" u="none" strike="noStrike" baseline="0">
                        <a:solidFill>
                          <a:srgbClr val="000000"/>
                        </a:solidFill>
                        <a:latin typeface="Calibri"/>
                        <a:ea typeface="Calibri"/>
                        <a:cs typeface="Calibri"/>
                      </a:defRPr>
                    </a:pPr>
                    <a:r>
                      <a:rPr lang="en-US"/>
                      <a:t>3,0</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9299-47B5-BBF0-54653C128065}"/>
                </c:ext>
                <c:ext xmlns:c15="http://schemas.microsoft.com/office/drawing/2012/chart" uri="{CE6537A1-D6FC-4f65-9D91-7224C49458BB}">
                  <c15:layout/>
                </c:ext>
              </c:extLst>
            </c:dLbl>
            <c:dLbl>
              <c:idx val="12"/>
              <c:layout>
                <c:manualLayout>
                  <c:x val="-7.2097937216331716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9299-47B5-BBF0-54653C128065}"/>
                </c:ext>
                <c:ext xmlns:c15="http://schemas.microsoft.com/office/drawing/2012/chart" uri="{CE6537A1-D6FC-4f65-9D91-7224C49458BB}">
                  <c15:layout/>
                </c:ext>
              </c:extLst>
            </c:dLbl>
            <c:dLbl>
              <c:idx val="13"/>
              <c:layout>
                <c:manualLayout>
                  <c:x val="7.0409306944740017E-3"/>
                  <c:y val="-5.635311079072864E-2"/>
                </c:manualLayout>
              </c:layout>
              <c:tx>
                <c:rich>
                  <a:bodyPr/>
                  <a:lstStyle/>
                  <a:p>
                    <a:pPr>
                      <a:defRPr sz="800" b="0" i="0" u="none" strike="noStrike" baseline="0">
                        <a:solidFill>
                          <a:srgbClr val="000000"/>
                        </a:solidFill>
                        <a:latin typeface="Calibri"/>
                        <a:ea typeface="Calibri"/>
                        <a:cs typeface="Calibri"/>
                      </a:defRPr>
                    </a:pPr>
                    <a:r>
                      <a:rPr lang="en-US"/>
                      <a:t>5,5</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9299-47B5-BBF0-54653C128065}"/>
                </c:ext>
                <c:ext xmlns:c15="http://schemas.microsoft.com/office/drawing/2012/chart" uri="{CE6537A1-D6FC-4f65-9D91-7224C49458BB}">
                  <c15:layout/>
                </c:ext>
              </c:extLst>
            </c:dLbl>
            <c:dLbl>
              <c:idx val="14"/>
              <c:layout>
                <c:manualLayout>
                  <c:x val="-2.1471424180085599E-2"/>
                  <c:y val="5.2567372740379287E-2"/>
                </c:manualLayout>
              </c:layout>
              <c:tx>
                <c:rich>
                  <a:bodyPr/>
                  <a:lstStyle/>
                  <a:p>
                    <a:pPr>
                      <a:defRPr sz="800" b="0" i="0" u="none" strike="noStrike" baseline="0">
                        <a:solidFill>
                          <a:srgbClr val="000000"/>
                        </a:solidFill>
                        <a:latin typeface="Calibri"/>
                        <a:ea typeface="Calibri"/>
                        <a:cs typeface="Calibri"/>
                      </a:defRPr>
                    </a:pPr>
                    <a:r>
                      <a:rPr lang="en-US"/>
                      <a:t>4,9</a:t>
                    </a:r>
                  </a:p>
                </c:rich>
              </c:tx>
              <c:spPr/>
              <c:dLblPos val="outEnd"/>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9299-47B5-BBF0-54653C128065}"/>
                </c:ext>
                <c:ext xmlns:c15="http://schemas.microsoft.com/office/drawing/2012/chart" uri="{CE6537A1-D6FC-4f65-9D91-7224C49458BB}">
                  <c15:layout/>
                </c:ext>
              </c:extLst>
            </c:dLbl>
            <c:dLbl>
              <c:idx val="15"/>
              <c:layout>
                <c:manualLayout>
                  <c:x val="-7.215007215007215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299-47B5-BBF0-54653C128065}"/>
                </c:ext>
                <c:ext xmlns:c15="http://schemas.microsoft.com/office/drawing/2012/chart" uri="{CE6537A1-D6FC-4f65-9D91-7224C49458BB}">
                  <c15:layout/>
                </c:ext>
              </c:extLst>
            </c:dLbl>
            <c:dLbl>
              <c:idx val="16"/>
              <c:layout>
                <c:manualLayout>
                  <c:x val="-7.220406113495741E-3"/>
                  <c:y val="0"/>
                </c:manualLayout>
              </c:layout>
              <c:spPr/>
              <c:txPr>
                <a:bodyPr/>
                <a:lstStyle/>
                <a:p>
                  <a:pPr>
                    <a:defRPr sz="800"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9299-47B5-BBF0-54653C128065}"/>
                </c:ex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рус!$A$3:$A$19</c:f>
              <c:strCache>
                <c:ptCount val="17"/>
                <c:pt idx="5">
                  <c:v>Павлодарская</c:v>
                </c:pt>
                <c:pt idx="6">
                  <c:v>Атырауская</c:v>
                </c:pt>
                <c:pt idx="7">
                  <c:v>Жамбылская</c:v>
                </c:pt>
                <c:pt idx="8">
                  <c:v>Туркестанская</c:v>
                </c:pt>
                <c:pt idx="9">
                  <c:v>Западно-Казахстанская</c:v>
                </c:pt>
                <c:pt idx="10">
                  <c:v>Карагандинская</c:v>
                </c:pt>
                <c:pt idx="11">
                  <c:v>г. Алматы</c:v>
                </c:pt>
                <c:pt idx="12">
                  <c:v>Алматинская</c:v>
                </c:pt>
                <c:pt idx="13">
                  <c:v>Акмолинская</c:v>
                </c:pt>
                <c:pt idx="14">
                  <c:v>г. Нур-Султан</c:v>
                </c:pt>
                <c:pt idx="15">
                  <c:v>Северо-Казахстанская</c:v>
                </c:pt>
                <c:pt idx="16">
                  <c:v>Костанайская</c:v>
                </c:pt>
              </c:strCache>
            </c:strRef>
          </c:cat>
          <c:val>
            <c:numRef>
              <c:f>рус!$B$3:$B$19</c:f>
              <c:numCache>
                <c:formatCode>0.0</c:formatCode>
                <c:ptCount val="17"/>
                <c:pt idx="0">
                  <c:v>-11.5</c:v>
                </c:pt>
                <c:pt idx="1">
                  <c:v>-5.9000000000000057</c:v>
                </c:pt>
                <c:pt idx="2">
                  <c:v>-2.9000000000000057</c:v>
                </c:pt>
                <c:pt idx="3">
                  <c:v>-1.7999999999999972</c:v>
                </c:pt>
                <c:pt idx="4">
                  <c:v>-1.5</c:v>
                </c:pt>
                <c:pt idx="5">
                  <c:v>0.5</c:v>
                </c:pt>
                <c:pt idx="6">
                  <c:v>0.70000000000000284</c:v>
                </c:pt>
                <c:pt idx="7">
                  <c:v>1.5999999999999943</c:v>
                </c:pt>
                <c:pt idx="8">
                  <c:v>2.2000000000000028</c:v>
                </c:pt>
                <c:pt idx="9">
                  <c:v>2.4000000000000057</c:v>
                </c:pt>
                <c:pt idx="10">
                  <c:v>2.5999999999999943</c:v>
                </c:pt>
                <c:pt idx="11">
                  <c:v>3</c:v>
                </c:pt>
                <c:pt idx="12">
                  <c:v>4.7999999999999972</c:v>
                </c:pt>
                <c:pt idx="13">
                  <c:v>4.9000000000000057</c:v>
                </c:pt>
                <c:pt idx="14">
                  <c:v>5.5</c:v>
                </c:pt>
                <c:pt idx="15">
                  <c:v>6.7999999999999972</c:v>
                </c:pt>
                <c:pt idx="16">
                  <c:v>7.2000000000000028</c:v>
                </c:pt>
              </c:numCache>
            </c:numRef>
          </c:val>
          <c:extLst xmlns:c16r2="http://schemas.microsoft.com/office/drawing/2015/06/chart">
            <c:ext xmlns:c16="http://schemas.microsoft.com/office/drawing/2014/chart" uri="{C3380CC4-5D6E-409C-BE32-E72D297353CC}">
              <c16:uniqueId val="{00000011-9299-47B5-BBF0-54653C128065}"/>
            </c:ext>
          </c:extLst>
        </c:ser>
        <c:dLbls>
          <c:showLegendKey val="0"/>
          <c:showVal val="0"/>
          <c:showCatName val="0"/>
          <c:showSerName val="0"/>
          <c:showPercent val="0"/>
          <c:showBubbleSize val="0"/>
        </c:dLbls>
        <c:gapWidth val="150"/>
        <c:axId val="136451560"/>
        <c:axId val="136452344"/>
      </c:barChart>
      <c:catAx>
        <c:axId val="136451560"/>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136452344"/>
        <c:crosses val="autoZero"/>
        <c:auto val="1"/>
        <c:lblAlgn val="ctr"/>
        <c:lblOffset val="100"/>
        <c:tickLblSkip val="1"/>
        <c:tickMarkSkip val="1"/>
        <c:noMultiLvlLbl val="0"/>
      </c:catAx>
      <c:valAx>
        <c:axId val="136452344"/>
        <c:scaling>
          <c:orientation val="minMax"/>
          <c:max val="20"/>
          <c:min val="-20"/>
        </c:scaling>
        <c:delete val="0"/>
        <c:axPos val="b"/>
        <c:numFmt formatCode="0.0" sourceLinked="1"/>
        <c:majorTickMark val="out"/>
        <c:minorTickMark val="none"/>
        <c:tickLblPos val="none"/>
        <c:crossAx val="136451560"/>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0.52249</cdr:x>
      <cdr:y>0.90261</cdr:y>
    </cdr:from>
    <cdr:to>
      <cdr:x>0.68606</cdr:x>
      <cdr:y>0.94647</cdr:y>
    </cdr:to>
    <cdr:sp macro="" textlink="">
      <cdr:nvSpPr>
        <cdr:cNvPr id="9" name="Text Box 20"/>
        <cdr:cNvSpPr txBox="1">
          <a:spLocks xmlns:a="http://schemas.openxmlformats.org/drawingml/2006/main" noChangeArrowheads="1"/>
        </cdr:cNvSpPr>
      </cdr:nvSpPr>
      <cdr:spPr bwMode="auto">
        <a:xfrm xmlns:a="http://schemas.openxmlformats.org/drawingml/2006/main">
          <a:off x="2762066" y="3052071"/>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p xmlns:a="http://schemas.openxmlformats.org/drawingml/2006/main">
          <a:pPr algn="l" rtl="1">
            <a:defRPr sz="1000"/>
          </a:pPr>
          <a:r>
            <a:rPr lang="ru-RU" sz="800" b="0" i="0" strike="noStrike">
              <a:solidFill>
                <a:srgbClr val="000000"/>
              </a:solidFill>
              <a:latin typeface="+mn-lt"/>
              <a:cs typeface="Arial" pitchFamily="34" charset="0"/>
            </a:rPr>
            <a:t> Кызылординская</a:t>
          </a:r>
        </a:p>
      </cdr:txBody>
    </cdr:sp>
  </cdr:relSizeAnchor>
  <cdr:relSizeAnchor xmlns:cdr="http://schemas.openxmlformats.org/drawingml/2006/chartDrawing">
    <cdr:from>
      <cdr:x>0.52211</cdr:x>
      <cdr:y>0.78932</cdr:y>
    </cdr:from>
    <cdr:to>
      <cdr:x>0.68568</cdr:x>
      <cdr:y>0.83318</cdr:y>
    </cdr:to>
    <cdr:sp macro="" textlink="">
      <cdr:nvSpPr>
        <cdr:cNvPr id="5" name="Text Box 20"/>
        <cdr:cNvSpPr txBox="1">
          <a:spLocks xmlns:a="http://schemas.openxmlformats.org/drawingml/2006/main" noChangeArrowheads="1"/>
        </cdr:cNvSpPr>
      </cdr:nvSpPr>
      <cdr:spPr bwMode="auto">
        <a:xfrm xmlns:a="http://schemas.openxmlformats.org/drawingml/2006/main">
          <a:off x="2760065" y="2668995"/>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Актюбинская</a:t>
          </a:r>
        </a:p>
      </cdr:txBody>
    </cdr:sp>
  </cdr:relSizeAnchor>
  <cdr:relSizeAnchor xmlns:cdr="http://schemas.openxmlformats.org/drawingml/2006/chartDrawing">
    <cdr:from>
      <cdr:x>0.52136</cdr:x>
      <cdr:y>0.84723</cdr:y>
    </cdr:from>
    <cdr:to>
      <cdr:x>0.68493</cdr:x>
      <cdr:y>0.89109</cdr:y>
    </cdr:to>
    <cdr:sp macro="" textlink="">
      <cdr:nvSpPr>
        <cdr:cNvPr id="6" name="Text Box 20"/>
        <cdr:cNvSpPr txBox="1">
          <a:spLocks xmlns:a="http://schemas.openxmlformats.org/drawingml/2006/main" noChangeArrowheads="1"/>
        </cdr:cNvSpPr>
      </cdr:nvSpPr>
      <cdr:spPr bwMode="auto">
        <a:xfrm xmlns:a="http://schemas.openxmlformats.org/drawingml/2006/main">
          <a:off x="2756100" y="2864786"/>
          <a:ext cx="864692"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 Мангистауская</a:t>
          </a:r>
        </a:p>
      </cdr:txBody>
    </cdr:sp>
  </cdr:relSizeAnchor>
  <cdr:relSizeAnchor xmlns:cdr="http://schemas.openxmlformats.org/drawingml/2006/chartDrawing">
    <cdr:from>
      <cdr:x>0.52162</cdr:x>
      <cdr:y>0.73803</cdr:y>
    </cdr:from>
    <cdr:to>
      <cdr:x>0.68519</cdr:x>
      <cdr:y>0.78189</cdr:y>
    </cdr:to>
    <cdr:sp macro="" textlink="">
      <cdr:nvSpPr>
        <cdr:cNvPr id="7" name="Text Box 20"/>
        <cdr:cNvSpPr txBox="1">
          <a:spLocks xmlns:a="http://schemas.openxmlformats.org/drawingml/2006/main" noChangeArrowheads="1"/>
        </cdr:cNvSpPr>
      </cdr:nvSpPr>
      <cdr:spPr bwMode="auto">
        <a:xfrm xmlns:a="http://schemas.openxmlformats.org/drawingml/2006/main">
          <a:off x="2757487" y="2495550"/>
          <a:ext cx="864693" cy="148307"/>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г. Шымкент</a:t>
          </a:r>
        </a:p>
      </cdr:txBody>
    </cdr:sp>
  </cdr:relSizeAnchor>
  <cdr:relSizeAnchor xmlns:cdr="http://schemas.openxmlformats.org/drawingml/2006/chartDrawing">
    <cdr:from>
      <cdr:x>0.51411</cdr:x>
      <cdr:y>0.68404</cdr:y>
    </cdr:from>
    <cdr:to>
      <cdr:x>0.72973</cdr:x>
      <cdr:y>0.7279</cdr:y>
    </cdr:to>
    <cdr:sp macro="" textlink="">
      <cdr:nvSpPr>
        <cdr:cNvPr id="10" name="Text Box 20"/>
        <cdr:cNvSpPr txBox="1">
          <a:spLocks xmlns:a="http://schemas.openxmlformats.org/drawingml/2006/main" noChangeArrowheads="1"/>
        </cdr:cNvSpPr>
      </cdr:nvSpPr>
      <cdr:spPr bwMode="auto">
        <a:xfrm xmlns:a="http://schemas.openxmlformats.org/drawingml/2006/main">
          <a:off x="2717800" y="2312988"/>
          <a:ext cx="1139825" cy="14831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1">
            <a:defRPr sz="1000"/>
          </a:pPr>
          <a:r>
            <a:rPr lang="ru-RU" sz="800" b="0" i="0" strike="noStrike">
              <a:solidFill>
                <a:srgbClr val="000000"/>
              </a:solidFill>
              <a:latin typeface="+mn-lt"/>
              <a:cs typeface="Arial" pitchFamily="34" charset="0"/>
            </a:rPr>
            <a:t> Восточно-Казахстанская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DACF-B0BA-4B78-97FC-E59FE16C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4139</TotalTime>
  <Pages>32</Pages>
  <Words>17420</Words>
  <Characters>99295</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174</cp:revision>
  <cp:lastPrinted>2018-09-04T08:39:00Z</cp:lastPrinted>
  <dcterms:created xsi:type="dcterms:W3CDTF">2018-09-04T11:04:00Z</dcterms:created>
  <dcterms:modified xsi:type="dcterms:W3CDTF">2020-10-02T06:23:00Z</dcterms:modified>
</cp:coreProperties>
</file>