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56" w:rsidRPr="00C03D56" w:rsidRDefault="00C03D56" w:rsidP="00C03D56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June 9</w:t>
      </w: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>, 2020.</w:t>
      </w:r>
    </w:p>
    <w:p w:rsidR="00C03D56" w:rsidRPr="00C03D56" w:rsidRDefault="00C03D56" w:rsidP="00C03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3D56">
        <w:rPr>
          <w:rFonts w:ascii="Times New Roman" w:hAnsi="Times New Roman" w:cs="Times New Roman"/>
          <w:sz w:val="28"/>
          <w:szCs w:val="28"/>
          <w:lang w:val="en-US"/>
        </w:rPr>
        <w:t xml:space="preserve">The following item </w:t>
      </w:r>
      <w:proofErr w:type="gramStart"/>
      <w:r w:rsidRPr="00C03D56">
        <w:rPr>
          <w:rFonts w:ascii="Times New Roman" w:hAnsi="Times New Roman" w:cs="Times New Roman"/>
          <w:sz w:val="28"/>
          <w:szCs w:val="28"/>
          <w:lang w:val="en-US"/>
        </w:rPr>
        <w:t>was considered</w:t>
      </w:r>
      <w:proofErr w:type="gramEnd"/>
      <w:r w:rsidRPr="00C03D56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June 9</w:t>
      </w:r>
      <w:r w:rsidRPr="00C03D56">
        <w:rPr>
          <w:rFonts w:ascii="Times New Roman" w:hAnsi="Times New Roman" w:cs="Times New Roman"/>
          <w:sz w:val="28"/>
          <w:szCs w:val="28"/>
          <w:lang w:val="en-US"/>
        </w:rPr>
        <w:t>, 2020 in accordance with the Company’s Charter, the Regulations on the Board of Directors of the Company, the Law of the Republic of Kazakhstan “On Joint-Stock Companies”: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Development plan (business plan) for 2020-2024 with corrections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 JSC Budget for the first calendar year (2020) which is planned by the Development Plan for 2020-2024 with corrections.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6482E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rovision to the Sole Shareholder of 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 with proposals on the distribution of net income of Samruk-Energy JSC and the amount of dividend per common share of 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lacement, including the number of shares placed within the number of authorized shares of 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JSC, the method and price of their placement.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82E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ayment of bonuses to “Samruk-Energy” JSC executives following 2019 results.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Approval of the condensed consolidated interim financial statements of </w:t>
      </w:r>
      <w:r w:rsidR="008648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Samruk-Energy</w:t>
      </w:r>
      <w:r w:rsidR="008648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”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JSC as of March 31, 2020 and for three months ended on this date.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8648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Approval of the amended Roadmap and Checklist of the Digital Transformation Program.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Bonuses to employees of the Internal Audit Department of JSC “Samruk-Energy” based on the results of the 1st quarter of 2020.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 of the activities of the Compliance Department of the Company for the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quarter of 2020.</w:t>
      </w:r>
    </w:p>
    <w:p w:rsid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648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onus payment to the Corporate Secretary of the Company regarding the performance results in the 1st quarter of 2020.</w:t>
      </w:r>
    </w:p>
    <w:p w:rsidR="00024AF3" w:rsidRDefault="00024AF3">
      <w:pPr>
        <w:rPr>
          <w:lang w:val="en-US"/>
        </w:rPr>
      </w:pPr>
    </w:p>
    <w:p w:rsidR="00C03D56" w:rsidRPr="00C03D56" w:rsidRDefault="00C03D56" w:rsidP="00C03D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C03D56" w:rsidRDefault="00C03D56" w:rsidP="00C03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A. Zhamiyev, Luca Sutera,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Andreas Stoerzel, </w:t>
      </w:r>
    </w:p>
    <w:p w:rsidR="00C03D56" w:rsidRPr="00C03D56" w:rsidRDefault="00C03D56" w:rsidP="00C03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C03D56">
        <w:rPr>
          <w:rFonts w:ascii="Times New Roman" w:hAnsi="Times New Roman" w:cs="Times New Roman"/>
          <w:b/>
          <w:sz w:val="28"/>
          <w:szCs w:val="28"/>
          <w:lang w:val="en-US"/>
        </w:rPr>
        <w:t>Joaquin Galindo, B. Zhulamanov.</w:t>
      </w:r>
    </w:p>
    <w:p w:rsidR="00C03D56" w:rsidRPr="00C03D56" w:rsidRDefault="00C03D56">
      <w:pPr>
        <w:rPr>
          <w:lang w:val="en-US"/>
        </w:rPr>
      </w:pPr>
    </w:p>
    <w:sectPr w:rsidR="00C03D56" w:rsidRPr="00C0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6"/>
    <w:rsid w:val="00024AF3"/>
    <w:rsid w:val="0086482E"/>
    <w:rsid w:val="00C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D6CC-2652-4A66-AF49-AABF5375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2020-06-09T03:46:00Z</dcterms:created>
  <dcterms:modified xsi:type="dcterms:W3CDTF">2020-06-09T03:50:00Z</dcterms:modified>
</cp:coreProperties>
</file>