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410AF2">
        <w:rPr>
          <w:rFonts w:ascii="Times New Roman" w:hAnsi="Times New Roman" w:cs="Times New Roman"/>
          <w:b/>
          <w:sz w:val="28"/>
          <w:lang w:val="en-US"/>
        </w:rPr>
        <w:t>JULY</w:t>
      </w:r>
      <w:r w:rsidR="00B02D8C">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410AF2"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August</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Pr>
                <w:rStyle w:val="aa"/>
                <w:b/>
                <w:lang w:val="en-US"/>
              </w:rPr>
              <w:t>July</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410AF2">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410AF2">
        <w:rPr>
          <w:rFonts w:ascii="Times New Roman" w:hAnsi="Times New Roman" w:cs="Times New Roman"/>
          <w:sz w:val="28"/>
          <w:lang w:val="en-US"/>
        </w:rPr>
        <w:t>61 472.9</w:t>
      </w:r>
      <w:r w:rsidR="004928A9" w:rsidRPr="004928A9">
        <w:rPr>
          <w:rFonts w:ascii="Times New Roman" w:hAnsi="Times New Roman" w:cs="Times New Roman"/>
          <w:sz w:val="28"/>
          <w:lang w:val="en-US"/>
        </w:rPr>
        <w:t xml:space="preserve">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w:t>
      </w:r>
      <w:r w:rsidR="00410AF2">
        <w:rPr>
          <w:rFonts w:ascii="Times New Roman" w:hAnsi="Times New Roman" w:cs="Times New Roman"/>
          <w:sz w:val="28"/>
          <w:lang w:val="en-US"/>
        </w:rPr>
        <w:t>July</w:t>
      </w:r>
      <w:r w:rsidRPr="001E184B">
        <w:rPr>
          <w:rFonts w:ascii="Times New Roman" w:hAnsi="Times New Roman" w:cs="Times New Roman"/>
          <w:sz w:val="28"/>
          <w:lang w:val="en-US"/>
        </w:rPr>
        <w:t xml:space="preserve"> 2020, which is </w:t>
      </w:r>
      <w:r w:rsidR="00410AF2">
        <w:rPr>
          <w:rFonts w:ascii="Times New Roman" w:hAnsi="Times New Roman" w:cs="Times New Roman"/>
          <w:sz w:val="28"/>
          <w:lang w:val="en-US"/>
        </w:rPr>
        <w:t>1.7</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410AF2">
              <w:rPr>
                <w:rFonts w:ascii="Times New Roman" w:eastAsia="Times New Roman" w:hAnsi="Times New Roman" w:cs="Times New Roman"/>
                <w:b/>
                <w:bCs/>
                <w:sz w:val="24"/>
                <w:szCs w:val="24"/>
                <w:lang w:val="en-US" w:eastAsia="ru-RU"/>
              </w:rPr>
              <w:t>July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410AF2" w:rsidRPr="00967209" w:rsidTr="00410AF2">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410AF2" w:rsidRPr="00967209" w:rsidRDefault="00410AF2" w:rsidP="00410AF2">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vAlign w:val="center"/>
            <w:hideMark/>
          </w:tcPr>
          <w:p w:rsidR="00410AF2" w:rsidRPr="00BE0F2B" w:rsidRDefault="00410AF2" w:rsidP="00410AF2">
            <w:pPr>
              <w:spacing w:after="0" w:line="240" w:lineRule="auto"/>
              <w:rPr>
                <w:rFonts w:ascii="Times New Roman" w:eastAsia="Times New Roman" w:hAnsi="Times New Roman" w:cs="Times New Roman"/>
                <w:b/>
                <w:bCs/>
                <w:color w:val="FFFFFF"/>
                <w:sz w:val="24"/>
                <w:szCs w:val="24"/>
                <w:lang w:eastAsia="ru-RU"/>
              </w:rPr>
            </w:pPr>
            <w:r w:rsidRPr="00BE0F2B">
              <w:rPr>
                <w:rFonts w:ascii="Times New Roman" w:eastAsia="Times New Roman" w:hAnsi="Times New Roman" w:cs="Times New Roman"/>
                <w:b/>
                <w:iCs/>
                <w:sz w:val="24"/>
                <w:szCs w:val="24"/>
                <w:lang w:eastAsia="ru-RU"/>
              </w:rPr>
              <w:t>60425,6</w:t>
            </w:r>
          </w:p>
        </w:tc>
        <w:tc>
          <w:tcPr>
            <w:tcW w:w="1842" w:type="dxa"/>
            <w:tcBorders>
              <w:top w:val="nil"/>
              <w:left w:val="nil"/>
              <w:bottom w:val="single" w:sz="8" w:space="0" w:color="auto"/>
              <w:right w:val="single" w:sz="8" w:space="0" w:color="auto"/>
            </w:tcBorders>
            <w:shd w:val="clear" w:color="000000" w:fill="17365D"/>
            <w:vAlign w:val="center"/>
            <w:hideMark/>
          </w:tcPr>
          <w:p w:rsidR="00410AF2" w:rsidRPr="00BE0F2B" w:rsidRDefault="00410AF2" w:rsidP="00410AF2">
            <w:pPr>
              <w:spacing w:after="0" w:line="240" w:lineRule="auto"/>
              <w:rPr>
                <w:rFonts w:ascii="Times New Roman" w:eastAsia="Times New Roman" w:hAnsi="Times New Roman" w:cs="Times New Roman"/>
                <w:b/>
                <w:bCs/>
                <w:color w:val="FFFFFF"/>
                <w:sz w:val="24"/>
                <w:szCs w:val="24"/>
                <w:lang w:eastAsia="ru-RU"/>
              </w:rPr>
            </w:pPr>
            <w:r w:rsidRPr="00BE0F2B">
              <w:rPr>
                <w:rFonts w:ascii="Times New Roman" w:eastAsia="Times New Roman" w:hAnsi="Times New Roman" w:cs="Times New Roman"/>
                <w:b/>
                <w:iCs/>
                <w:sz w:val="24"/>
                <w:szCs w:val="24"/>
                <w:lang w:eastAsia="ru-RU"/>
              </w:rPr>
              <w:t>61472,9</w:t>
            </w:r>
          </w:p>
        </w:tc>
        <w:tc>
          <w:tcPr>
            <w:tcW w:w="1418" w:type="dxa"/>
            <w:tcBorders>
              <w:top w:val="nil"/>
              <w:left w:val="nil"/>
              <w:bottom w:val="single" w:sz="8" w:space="0" w:color="auto"/>
              <w:right w:val="single" w:sz="8" w:space="0" w:color="auto"/>
            </w:tcBorders>
            <w:shd w:val="clear" w:color="000000" w:fill="17365D"/>
            <w:vAlign w:val="bottom"/>
            <w:hideMark/>
          </w:tcPr>
          <w:p w:rsidR="00410AF2" w:rsidRPr="00BE0F2B" w:rsidRDefault="00410AF2" w:rsidP="00410AF2">
            <w:pPr>
              <w:spacing w:after="0" w:line="240" w:lineRule="auto"/>
              <w:rPr>
                <w:rFonts w:ascii="Times New Roman" w:eastAsia="Times New Roman" w:hAnsi="Times New Roman" w:cs="Times New Roman"/>
                <w:b/>
                <w:bCs/>
                <w:color w:val="FFFFFF"/>
                <w:sz w:val="24"/>
                <w:szCs w:val="24"/>
                <w:lang w:eastAsia="ru-RU"/>
              </w:rPr>
            </w:pPr>
            <w:r w:rsidRPr="00BE0F2B">
              <w:rPr>
                <w:rFonts w:ascii="Times New Roman" w:eastAsia="Times New Roman" w:hAnsi="Times New Roman" w:cs="Times New Roman"/>
                <w:b/>
                <w:iCs/>
                <w:sz w:val="24"/>
                <w:szCs w:val="24"/>
                <w:lang w:eastAsia="ru-RU"/>
              </w:rPr>
              <w:t>1,7%</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48654,9</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48765,2</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0,2%</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5208,7</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5606,2</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7,6%</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6016,6</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5788,1</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-3,8%</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349,5</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562,2</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60,9%</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193,9</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748,6</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286,1%</w:t>
            </w:r>
          </w:p>
        </w:tc>
      </w:tr>
      <w:tr w:rsidR="00410AF2" w:rsidRPr="00967209" w:rsidTr="00B02D8C">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2,0</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30,0%</w:t>
            </w:r>
          </w:p>
        </w:tc>
      </w:tr>
      <w:tr w:rsidR="00410AF2"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10AF2" w:rsidRPr="00653007" w:rsidRDefault="00410AF2" w:rsidP="00410AF2">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46208,0</w:t>
            </w:r>
          </w:p>
        </w:tc>
        <w:tc>
          <w:tcPr>
            <w:tcW w:w="1842" w:type="dxa"/>
            <w:tcBorders>
              <w:top w:val="nil"/>
              <w:left w:val="nil"/>
              <w:bottom w:val="single" w:sz="8" w:space="0" w:color="auto"/>
              <w:right w:val="single" w:sz="8" w:space="0" w:color="auto"/>
            </w:tcBorders>
            <w:shd w:val="clear" w:color="000000" w:fill="D9D9D9"/>
            <w:vAlign w:val="center"/>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46717,6</w:t>
            </w:r>
          </w:p>
        </w:tc>
        <w:tc>
          <w:tcPr>
            <w:tcW w:w="1418" w:type="dxa"/>
            <w:tcBorders>
              <w:top w:val="nil"/>
              <w:left w:val="nil"/>
              <w:bottom w:val="single" w:sz="8" w:space="0" w:color="auto"/>
              <w:right w:val="single" w:sz="8" w:space="0" w:color="auto"/>
            </w:tcBorders>
            <w:shd w:val="clear" w:color="000000" w:fill="D9D9D9"/>
            <w:vAlign w:val="bottom"/>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1,1%</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40224,3</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40383,5</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0,4%</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1751,4</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1919,6</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9,6%</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4053,2</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3875,1</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-4,4%</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653007" w:rsidRDefault="00410AF2" w:rsidP="00410AF2">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88,1</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260,7</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195,9%</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89,0</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276,1</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210,2%</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2,0</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30,0%</w:t>
            </w:r>
          </w:p>
        </w:tc>
      </w:tr>
      <w:tr w:rsidR="00410AF2"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
                <w:iCs/>
                <w:sz w:val="24"/>
                <w:szCs w:val="24"/>
                <w:lang w:eastAsia="ru-RU"/>
              </w:rPr>
              <w:t>6446,9</w:t>
            </w:r>
          </w:p>
        </w:tc>
        <w:tc>
          <w:tcPr>
            <w:tcW w:w="1842" w:type="dxa"/>
            <w:tcBorders>
              <w:top w:val="nil"/>
              <w:left w:val="nil"/>
              <w:bottom w:val="single" w:sz="8" w:space="0" w:color="auto"/>
              <w:right w:val="single" w:sz="8" w:space="0" w:color="auto"/>
            </w:tcBorders>
            <w:shd w:val="clear" w:color="000000" w:fill="D9D9D9"/>
            <w:vAlign w:val="center"/>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
                <w:iCs/>
                <w:sz w:val="24"/>
                <w:szCs w:val="24"/>
                <w:lang w:eastAsia="ru-RU"/>
              </w:rPr>
              <w:t>6781,9</w:t>
            </w:r>
          </w:p>
        </w:tc>
        <w:tc>
          <w:tcPr>
            <w:tcW w:w="1418" w:type="dxa"/>
            <w:tcBorders>
              <w:top w:val="nil"/>
              <w:left w:val="nil"/>
              <w:bottom w:val="single" w:sz="8" w:space="0" w:color="auto"/>
              <w:right w:val="single" w:sz="8" w:space="0" w:color="auto"/>
            </w:tcBorders>
            <w:shd w:val="clear" w:color="000000" w:fill="D9D9D9"/>
            <w:vAlign w:val="bottom"/>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
                <w:iCs/>
                <w:sz w:val="24"/>
                <w:szCs w:val="24"/>
                <w:lang w:eastAsia="ru-RU"/>
              </w:rPr>
              <w:t>5,2%</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4125,8</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4154,4</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0,7%</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122,5</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109,3</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-10,8%</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1963,4</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1913,0</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653007" w:rsidRDefault="00410AF2" w:rsidP="00410AF2">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132,2</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134,6</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1,8%</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103,0</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470,6</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356,9%</w:t>
            </w:r>
          </w:p>
        </w:tc>
      </w:tr>
      <w:tr w:rsidR="00410AF2"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7770,7</w:t>
            </w:r>
          </w:p>
        </w:tc>
        <w:tc>
          <w:tcPr>
            <w:tcW w:w="1842" w:type="dxa"/>
            <w:tcBorders>
              <w:top w:val="nil"/>
              <w:left w:val="nil"/>
              <w:bottom w:val="single" w:sz="8" w:space="0" w:color="auto"/>
              <w:right w:val="single" w:sz="8" w:space="0" w:color="auto"/>
            </w:tcBorders>
            <w:shd w:val="clear" w:color="000000" w:fill="D9D9D9"/>
            <w:vAlign w:val="center"/>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7973,4</w:t>
            </w:r>
          </w:p>
        </w:tc>
        <w:tc>
          <w:tcPr>
            <w:tcW w:w="1418" w:type="dxa"/>
            <w:tcBorders>
              <w:top w:val="nil"/>
              <w:left w:val="nil"/>
              <w:bottom w:val="single" w:sz="8" w:space="0" w:color="auto"/>
              <w:right w:val="single" w:sz="8" w:space="0" w:color="auto"/>
            </w:tcBorders>
            <w:shd w:val="clear" w:color="000000" w:fill="D9D9D9"/>
            <w:vAlign w:val="bottom"/>
            <w:hideMark/>
          </w:tcPr>
          <w:p w:rsidR="00410AF2" w:rsidRPr="00BE0F2B" w:rsidRDefault="00410AF2" w:rsidP="00410AF2">
            <w:pPr>
              <w:spacing w:after="0" w:line="240" w:lineRule="auto"/>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2,6%</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4304,8</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4227,3</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-1,8%</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3334,8</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3577,3</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7,3%</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129,2</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166,9</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29,2%</w:t>
            </w:r>
          </w:p>
        </w:tc>
      </w:tr>
      <w:tr w:rsidR="00410AF2"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10AF2" w:rsidRPr="00967209" w:rsidRDefault="00410AF2" w:rsidP="00410A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10AF2" w:rsidRPr="00967209" w:rsidRDefault="00410AF2" w:rsidP="00410AF2">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w:t>
            </w:r>
          </w:p>
        </w:tc>
        <w:tc>
          <w:tcPr>
            <w:tcW w:w="1842" w:type="dxa"/>
            <w:tcBorders>
              <w:top w:val="nil"/>
              <w:left w:val="nil"/>
              <w:bottom w:val="single" w:sz="8" w:space="0" w:color="auto"/>
              <w:right w:val="single" w:sz="8" w:space="0" w:color="auto"/>
            </w:tcBorders>
            <w:shd w:val="clear" w:color="000000" w:fill="FFFFFF"/>
            <w:vAlign w:val="center"/>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w:t>
            </w:r>
          </w:p>
        </w:tc>
        <w:tc>
          <w:tcPr>
            <w:tcW w:w="1418" w:type="dxa"/>
            <w:tcBorders>
              <w:top w:val="nil"/>
              <w:left w:val="nil"/>
              <w:bottom w:val="single" w:sz="8" w:space="0" w:color="auto"/>
              <w:right w:val="single" w:sz="8" w:space="0" w:color="auto"/>
            </w:tcBorders>
            <w:shd w:val="clear" w:color="auto" w:fill="auto"/>
            <w:vAlign w:val="bottom"/>
            <w:hideMark/>
          </w:tcPr>
          <w:p w:rsidR="00410AF2" w:rsidRPr="00BE0F2B" w:rsidRDefault="00410AF2" w:rsidP="00410AF2">
            <w:pPr>
              <w:spacing w:after="0" w:line="240" w:lineRule="auto"/>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410AF2" w:rsidP="001248FB">
      <w:pPr>
        <w:spacing w:after="0" w:line="240" w:lineRule="auto"/>
        <w:ind w:firstLine="567"/>
        <w:jc w:val="both"/>
        <w:rPr>
          <w:rFonts w:ascii="Times New Roman" w:hAnsi="Times New Roman" w:cs="Times New Roman"/>
          <w:sz w:val="28"/>
          <w:lang w:val="en-US"/>
        </w:rPr>
      </w:pPr>
      <w:r w:rsidRPr="00410AF2">
        <w:rPr>
          <w:rFonts w:ascii="Times New Roman" w:hAnsi="Times New Roman" w:cs="Times New Roman"/>
          <w:sz w:val="28"/>
          <w:lang w:val="en-US"/>
        </w:rPr>
        <w:t xml:space="preserve">In January-July 2020, compared to the same period of 2019, electricity production increased significantly (20% growth and above) in </w:t>
      </w:r>
      <w:proofErr w:type="spellStart"/>
      <w:r w:rsidRPr="00410AF2">
        <w:rPr>
          <w:rFonts w:ascii="Times New Roman" w:hAnsi="Times New Roman" w:cs="Times New Roman"/>
          <w:sz w:val="28"/>
          <w:lang w:val="en-US"/>
        </w:rPr>
        <w:t>Kostanay</w:t>
      </w:r>
      <w:proofErr w:type="spellEnd"/>
      <w:r w:rsidRPr="00410AF2">
        <w:rPr>
          <w:rFonts w:ascii="Times New Roman" w:hAnsi="Times New Roman" w:cs="Times New Roman"/>
          <w:sz w:val="28"/>
          <w:lang w:val="en-US"/>
        </w:rPr>
        <w:t xml:space="preserve">, Turkestan and </w:t>
      </w:r>
      <w:proofErr w:type="spellStart"/>
      <w:r w:rsidRPr="00410AF2">
        <w:rPr>
          <w:rFonts w:ascii="Times New Roman" w:hAnsi="Times New Roman" w:cs="Times New Roman"/>
          <w:sz w:val="28"/>
          <w:lang w:val="en-US"/>
        </w:rPr>
        <w:t>Kyzylorda</w:t>
      </w:r>
      <w:proofErr w:type="spellEnd"/>
      <w:r w:rsidRPr="00410AF2">
        <w:rPr>
          <w:rFonts w:ascii="Times New Roman" w:hAnsi="Times New Roman" w:cs="Times New Roman"/>
          <w:sz w:val="28"/>
          <w:lang w:val="en-US"/>
        </w:rPr>
        <w:t xml:space="preserve"> regions. At the same time, a decrease in electricity production </w:t>
      </w:r>
      <w:proofErr w:type="gramStart"/>
      <w:r w:rsidRPr="00410AF2">
        <w:rPr>
          <w:rFonts w:ascii="Times New Roman" w:hAnsi="Times New Roman" w:cs="Times New Roman"/>
          <w:sz w:val="28"/>
          <w:lang w:val="en-US"/>
        </w:rPr>
        <w:t>was observed</w:t>
      </w:r>
      <w:proofErr w:type="gramEnd"/>
      <w:r w:rsidRPr="00410AF2">
        <w:rPr>
          <w:rFonts w:ascii="Times New Roman" w:hAnsi="Times New Roman" w:cs="Times New Roman"/>
          <w:sz w:val="28"/>
          <w:lang w:val="en-US"/>
        </w:rPr>
        <w:t xml:space="preserve"> in </w:t>
      </w:r>
      <w:proofErr w:type="spellStart"/>
      <w:r w:rsidRPr="00410AF2">
        <w:rPr>
          <w:rFonts w:ascii="Times New Roman" w:hAnsi="Times New Roman" w:cs="Times New Roman"/>
          <w:sz w:val="28"/>
          <w:lang w:val="en-US"/>
        </w:rPr>
        <w:t>Zhambyl</w:t>
      </w:r>
      <w:proofErr w:type="spellEnd"/>
      <w:r w:rsidRPr="00410AF2">
        <w:rPr>
          <w:rFonts w:ascii="Times New Roman" w:hAnsi="Times New Roman" w:cs="Times New Roman"/>
          <w:sz w:val="28"/>
          <w:lang w:val="en-US"/>
        </w:rPr>
        <w:t xml:space="preserve">, </w:t>
      </w:r>
      <w:proofErr w:type="spellStart"/>
      <w:r w:rsidRPr="00410AF2">
        <w:rPr>
          <w:rFonts w:ascii="Times New Roman" w:hAnsi="Times New Roman" w:cs="Times New Roman"/>
          <w:sz w:val="28"/>
          <w:lang w:val="en-US"/>
        </w:rPr>
        <w:t>Mangis</w:t>
      </w:r>
      <w:r>
        <w:rPr>
          <w:rFonts w:ascii="Times New Roman" w:hAnsi="Times New Roman" w:cs="Times New Roman"/>
          <w:sz w:val="28"/>
          <w:lang w:val="en-US"/>
        </w:rPr>
        <w:t>tau</w:t>
      </w:r>
      <w:proofErr w:type="spellEnd"/>
      <w:r>
        <w:rPr>
          <w:rFonts w:ascii="Times New Roman" w:hAnsi="Times New Roman" w:cs="Times New Roman"/>
          <w:sz w:val="28"/>
          <w:lang w:val="en-US"/>
        </w:rPr>
        <w:t xml:space="preserve"> and East Kazakhstan regions</w:t>
      </w:r>
      <w:r w:rsidR="001248FB" w:rsidRPr="001E184B">
        <w:rPr>
          <w:rFonts w:ascii="Times New Roman" w:hAnsi="Times New Roman" w:cs="Times New Roman"/>
          <w:sz w:val="28"/>
          <w:lang w:val="en-US"/>
        </w:rPr>
        <w:t xml:space="preserve">.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410AF2">
              <w:rPr>
                <w:rFonts w:ascii="Times New Roman" w:eastAsia="Times New Roman" w:hAnsi="Times New Roman" w:cs="Times New Roman"/>
                <w:b/>
                <w:bCs/>
                <w:sz w:val="24"/>
                <w:szCs w:val="24"/>
                <w:lang w:val="en-US" w:eastAsia="ru-RU"/>
              </w:rPr>
              <w:t>July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2 516,2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2 671,0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6,2%</w:t>
            </w:r>
          </w:p>
        </w:tc>
      </w:tr>
      <w:tr w:rsidR="00EB1D83" w:rsidRPr="00967209" w:rsidTr="0098244C">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2 243,5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2 346,3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4,6%</w:t>
            </w:r>
          </w:p>
        </w:tc>
      </w:tr>
      <w:tr w:rsidR="00EB1D83" w:rsidRPr="00967209" w:rsidTr="0098244C">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4 115,3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4 238,1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3,0%</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3 369,2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3 620,0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7,4%</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5 684,9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5 523,3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-2,8%</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1 347,8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1 321,1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-2,0%</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1 298,6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1 340,2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3,2%</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9 517,4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9 679,9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1,7%</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528,5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675,1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27,7%</w:t>
            </w:r>
          </w:p>
        </w:tc>
      </w:tr>
      <w:tr w:rsidR="00EB1D83" w:rsidRPr="00967209" w:rsidTr="0098244C">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243,3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306,8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26,1%</w:t>
            </w:r>
          </w:p>
        </w:tc>
      </w:tr>
      <w:tr w:rsidR="00EB1D83" w:rsidRPr="00967209" w:rsidTr="0098244C">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3 102,9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3 013,2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-2,9%</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23 802,6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23 901,8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0,4%</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1 914,9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1 920,2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0,3%</w:t>
            </w:r>
          </w:p>
        </w:tc>
      </w:tr>
      <w:tr w:rsidR="00EB1D83"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740,5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915,9   </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23,7%</w:t>
            </w:r>
          </w:p>
        </w:tc>
      </w:tr>
      <w:tr w:rsidR="00EB1D83" w:rsidRPr="00967209" w:rsidTr="0098244C">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B1D83" w:rsidRPr="00967209" w:rsidRDefault="00EB1D83" w:rsidP="00EB1D83">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EB1D83" w:rsidRPr="007772AF" w:rsidRDefault="00EB1D83" w:rsidP="00EB1D83">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b/>
                <w:sz w:val="24"/>
                <w:szCs w:val="24"/>
                <w:lang w:eastAsia="ru-RU"/>
              </w:rPr>
            </w:pPr>
            <w:r w:rsidRPr="00BE0F2B">
              <w:rPr>
                <w:rFonts w:ascii="Times New Roman" w:eastAsia="Times New Roman" w:hAnsi="Times New Roman" w:cs="Times New Roman"/>
                <w:b/>
                <w:sz w:val="24"/>
                <w:szCs w:val="24"/>
                <w:lang w:eastAsia="ru-RU"/>
              </w:rPr>
              <w:t xml:space="preserve">     60 425,6   </w:t>
            </w:r>
          </w:p>
        </w:tc>
        <w:tc>
          <w:tcPr>
            <w:tcW w:w="1985"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b/>
                <w:sz w:val="24"/>
                <w:szCs w:val="24"/>
                <w:lang w:eastAsia="ru-RU"/>
              </w:rPr>
            </w:pPr>
            <w:r w:rsidRPr="00BE0F2B">
              <w:rPr>
                <w:rFonts w:ascii="Times New Roman" w:eastAsia="Times New Roman" w:hAnsi="Times New Roman" w:cs="Times New Roman"/>
                <w:b/>
                <w:sz w:val="24"/>
                <w:szCs w:val="24"/>
                <w:lang w:eastAsia="ru-RU"/>
              </w:rPr>
              <w:t>61 472,9</w:t>
            </w:r>
          </w:p>
        </w:tc>
        <w:tc>
          <w:tcPr>
            <w:tcW w:w="1134" w:type="dxa"/>
            <w:tcBorders>
              <w:top w:val="nil"/>
              <w:left w:val="nil"/>
              <w:bottom w:val="single" w:sz="8" w:space="0" w:color="auto"/>
              <w:right w:val="single" w:sz="8" w:space="0" w:color="auto"/>
            </w:tcBorders>
            <w:shd w:val="clear" w:color="auto" w:fill="auto"/>
            <w:vAlign w:val="bottom"/>
            <w:hideMark/>
          </w:tcPr>
          <w:p w:rsidR="00EB1D83" w:rsidRPr="00BE0F2B" w:rsidRDefault="00EB1D83" w:rsidP="00EB1D83">
            <w:pPr>
              <w:spacing w:after="0" w:line="240" w:lineRule="auto"/>
              <w:jc w:val="center"/>
              <w:rPr>
                <w:rFonts w:ascii="Times New Roman" w:eastAsia="Times New Roman" w:hAnsi="Times New Roman" w:cs="Times New Roman"/>
                <w:b/>
                <w:sz w:val="24"/>
                <w:szCs w:val="24"/>
                <w:lang w:eastAsia="ru-RU"/>
              </w:rPr>
            </w:pPr>
            <w:r w:rsidRPr="00BE0F2B">
              <w:rPr>
                <w:rFonts w:ascii="Times New Roman" w:eastAsia="Times New Roman" w:hAnsi="Times New Roman" w:cs="Times New Roman"/>
                <w:b/>
                <w:sz w:val="24"/>
                <w:szCs w:val="24"/>
                <w:lang w:eastAsia="ru-RU"/>
              </w:rPr>
              <w:t>1,7%</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410AF2">
        <w:rPr>
          <w:rFonts w:ascii="Times New Roman" w:hAnsi="Times New Roman" w:cs="Times New Roman"/>
          <w:sz w:val="28"/>
          <w:lang w:val="en-US"/>
        </w:rPr>
        <w:t>July</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EB1D83">
        <w:rPr>
          <w:rFonts w:ascii="Times New Roman" w:hAnsi="Times New Roman" w:cs="Times New Roman"/>
          <w:sz w:val="28"/>
          <w:lang w:val="en-US"/>
        </w:rPr>
        <w:t>31.7</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B02D8C">
        <w:rPr>
          <w:rFonts w:ascii="Times New Roman" w:hAnsi="Times New Roman" w:cs="Times New Roman"/>
          <w:sz w:val="28"/>
          <w:lang w:val="en-US"/>
        </w:rPr>
        <w:t>22.8</w:t>
      </w:r>
      <w:r w:rsidR="004928A9">
        <w:rPr>
          <w:rFonts w:ascii="Times New Roman" w:hAnsi="Times New Roman" w:cs="Times New Roman"/>
          <w:sz w:val="28"/>
          <w:lang w:val="en-US"/>
        </w:rPr>
        <w:t xml:space="preserve">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410AF2">
        <w:rPr>
          <w:rFonts w:ascii="Times New Roman" w:hAnsi="Times New Roman" w:cs="Times New Roman"/>
          <w:sz w:val="28"/>
          <w:lang w:val="en-US"/>
        </w:rPr>
        <w:t>July</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EB1D83">
        <w:rPr>
          <w:rFonts w:ascii="Times New Roman" w:hAnsi="Times New Roman" w:cs="Times New Roman"/>
          <w:sz w:val="28"/>
          <w:lang w:val="en-US"/>
        </w:rPr>
        <w:t>51.6</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EB1D83"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410AF2">
              <w:rPr>
                <w:rFonts w:ascii="Times New Roman" w:eastAsia="Times New Roman" w:hAnsi="Times New Roman" w:cs="Times New Roman"/>
                <w:b/>
                <w:bCs/>
                <w:lang w:val="en-US" w:eastAsia="ru-RU"/>
              </w:rPr>
              <w:t>July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410AF2">
              <w:rPr>
                <w:rFonts w:ascii="Times New Roman" w:eastAsia="Times New Roman" w:hAnsi="Times New Roman" w:cs="Times New Roman"/>
                <w:b/>
                <w:bCs/>
                <w:lang w:val="en-US" w:eastAsia="ru-RU"/>
              </w:rPr>
              <w:t>July</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EB1D83"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11 367,7</w:t>
            </w:r>
          </w:p>
        </w:tc>
        <w:tc>
          <w:tcPr>
            <w:tcW w:w="1559" w:type="dxa"/>
            <w:tcBorders>
              <w:top w:val="nil"/>
              <w:left w:val="nil"/>
              <w:bottom w:val="single" w:sz="4" w:space="0" w:color="auto"/>
              <w:right w:val="single" w:sz="4" w:space="0" w:color="auto"/>
            </w:tcBorders>
            <w:shd w:val="clear" w:color="000000" w:fill="FFFFFF"/>
            <w:noWrap/>
            <w:vAlign w:val="center"/>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18,8%</w:t>
            </w:r>
          </w:p>
        </w:tc>
        <w:tc>
          <w:tcPr>
            <w:tcW w:w="1559" w:type="dxa"/>
            <w:tcBorders>
              <w:top w:val="nil"/>
              <w:left w:val="nil"/>
              <w:bottom w:val="single" w:sz="4" w:space="0" w:color="auto"/>
              <w:right w:val="single" w:sz="4" w:space="0" w:color="auto"/>
            </w:tcBorders>
            <w:shd w:val="clear" w:color="000000" w:fill="FFFFFF"/>
            <w:noWrap/>
            <w:vAlign w:val="center"/>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11 192,1</w:t>
            </w:r>
          </w:p>
        </w:tc>
        <w:tc>
          <w:tcPr>
            <w:tcW w:w="1384" w:type="dxa"/>
            <w:tcBorders>
              <w:top w:val="nil"/>
              <w:left w:val="nil"/>
              <w:bottom w:val="single" w:sz="4" w:space="0" w:color="auto"/>
              <w:right w:val="single" w:sz="4" w:space="0" w:color="auto"/>
            </w:tcBorders>
            <w:shd w:val="clear" w:color="auto" w:fill="auto"/>
            <w:vAlign w:val="center"/>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18,2%</w:t>
            </w:r>
          </w:p>
        </w:tc>
      </w:tr>
      <w:tr w:rsidR="00EB1D83"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4 365,3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7,2%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4 423,3</w:t>
            </w:r>
          </w:p>
        </w:tc>
        <w:tc>
          <w:tcPr>
            <w:tcW w:w="138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7,2%</w:t>
            </w:r>
          </w:p>
        </w:tc>
      </w:tr>
      <w:tr w:rsidR="00EB1D83"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1 783,5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1 684,1</w:t>
            </w:r>
          </w:p>
        </w:tc>
        <w:tc>
          <w:tcPr>
            <w:tcW w:w="138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2,7%</w:t>
            </w:r>
          </w:p>
        </w:tc>
      </w:tr>
      <w:tr w:rsidR="00EB1D83"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1 221,8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2,0%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1 636,2</w:t>
            </w:r>
          </w:p>
        </w:tc>
        <w:tc>
          <w:tcPr>
            <w:tcW w:w="138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2,7%</w:t>
            </w:r>
          </w:p>
        </w:tc>
      </w:tr>
      <w:tr w:rsidR="00EB1D83"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3 766,0</w:t>
            </w:r>
          </w:p>
        </w:tc>
        <w:tc>
          <w:tcPr>
            <w:tcW w:w="1559" w:type="dxa"/>
            <w:tcBorders>
              <w:top w:val="nil"/>
              <w:left w:val="nil"/>
              <w:bottom w:val="single" w:sz="4" w:space="0" w:color="auto"/>
              <w:right w:val="single" w:sz="4" w:space="0" w:color="auto"/>
            </w:tcBorders>
            <w:shd w:val="clear" w:color="000000" w:fill="FFFFFF"/>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6,2%</w:t>
            </w:r>
          </w:p>
        </w:tc>
        <w:tc>
          <w:tcPr>
            <w:tcW w:w="1559" w:type="dxa"/>
            <w:tcBorders>
              <w:top w:val="nil"/>
              <w:left w:val="nil"/>
              <w:bottom w:val="single" w:sz="4" w:space="0" w:color="auto"/>
              <w:right w:val="single" w:sz="4" w:space="0" w:color="auto"/>
            </w:tcBorders>
            <w:shd w:val="clear" w:color="000000" w:fill="FFFFFF"/>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3 669,3</w:t>
            </w:r>
          </w:p>
        </w:tc>
        <w:tc>
          <w:tcPr>
            <w:tcW w:w="138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6,0%</w:t>
            </w:r>
          </w:p>
        </w:tc>
      </w:tr>
      <w:tr w:rsidR="00EB1D83"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3 921,2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4 095,1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6,7%</w:t>
            </w:r>
          </w:p>
        </w:tc>
      </w:tr>
      <w:tr w:rsidR="00EB1D83"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1 057,1</w:t>
            </w:r>
          </w:p>
        </w:tc>
        <w:tc>
          <w:tcPr>
            <w:tcW w:w="1559"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989,4</w:t>
            </w:r>
          </w:p>
        </w:tc>
        <w:tc>
          <w:tcPr>
            <w:tcW w:w="138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1,6%</w:t>
            </w:r>
          </w:p>
        </w:tc>
      </w:tr>
      <w:tr w:rsidR="00EB1D83" w:rsidRPr="00967209" w:rsidTr="0098244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EB1D83" w:rsidRPr="00967209" w:rsidRDefault="00EB1D83" w:rsidP="00EB1D83">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3 032,1</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5,0%</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4 012,4</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EB1D83" w:rsidRPr="00BE0F2B" w:rsidRDefault="00EB1D83" w:rsidP="00EB1D83">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6,5%</w:t>
            </w:r>
          </w:p>
        </w:tc>
      </w:tr>
      <w:tr w:rsidR="00EB1D83" w:rsidRPr="00967209" w:rsidTr="0098244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30 514,7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B1D83" w:rsidRPr="00BE0F2B" w:rsidRDefault="00EB1D83" w:rsidP="00EB1D83">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50,5%</w:t>
            </w:r>
          </w:p>
        </w:tc>
        <w:tc>
          <w:tcPr>
            <w:tcW w:w="1559" w:type="dxa"/>
            <w:tcBorders>
              <w:top w:val="nil"/>
              <w:left w:val="nil"/>
              <w:bottom w:val="single" w:sz="4" w:space="0" w:color="auto"/>
              <w:right w:val="single" w:sz="4" w:space="0" w:color="auto"/>
            </w:tcBorders>
            <w:shd w:val="clear" w:color="000000" w:fill="FFFFFF"/>
            <w:noWrap/>
            <w:vAlign w:val="center"/>
            <w:hideMark/>
          </w:tcPr>
          <w:p w:rsidR="00EB1D83" w:rsidRPr="00BE0F2B" w:rsidRDefault="00EB1D83" w:rsidP="00EB1D83">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31 701,9</w:t>
            </w:r>
          </w:p>
        </w:tc>
        <w:tc>
          <w:tcPr>
            <w:tcW w:w="138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51,6%</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410AF2">
        <w:rPr>
          <w:rFonts w:ascii="Times New Roman" w:hAnsi="Times New Roman" w:cs="Times New Roman"/>
          <w:sz w:val="28"/>
          <w:lang w:val="en-US"/>
        </w:rPr>
        <w:t>July</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EB1D83" w:rsidRPr="00BE0F2B">
        <w:rPr>
          <w:rFonts w:ascii="Times New Roman" w:hAnsi="Times New Roman" w:cs="Times New Roman"/>
          <w:bCs/>
          <w:sz w:val="28"/>
          <w:szCs w:val="28"/>
          <w:lang w:val="kk-KZ"/>
        </w:rPr>
        <w:t>16 382,6</w:t>
      </w:r>
      <w:r w:rsidR="00EB1D83" w:rsidRPr="00EB1D83">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EB1D83">
        <w:rPr>
          <w:rFonts w:ascii="Times New Roman" w:hAnsi="Times New Roman" w:cs="Times New Roman"/>
          <w:sz w:val="28"/>
          <w:lang w:val="en-US"/>
        </w:rPr>
        <w:t>1.8</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EB1D83"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EB1D83"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410AF2">
              <w:rPr>
                <w:rFonts w:ascii="Times New Roman" w:eastAsia="Times New Roman" w:hAnsi="Times New Roman" w:cs="Times New Roman"/>
                <w:b/>
                <w:bCs/>
                <w:lang w:val="en-US" w:eastAsia="ru-RU"/>
              </w:rPr>
              <w:t>July</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410AF2">
              <w:rPr>
                <w:rFonts w:ascii="Times New Roman" w:eastAsia="Times New Roman" w:hAnsi="Times New Roman" w:cs="Times New Roman"/>
                <w:b/>
                <w:bCs/>
                <w:lang w:val="en-US" w:eastAsia="ru-RU"/>
              </w:rPr>
              <w:t>July</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EB1D83"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EB1D83" w:rsidRPr="00D942AC" w:rsidRDefault="00EB1D83" w:rsidP="00EB1D83">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EB1D83" w:rsidRPr="00D942AC" w:rsidRDefault="00EB1D83" w:rsidP="00EB1D83">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EB1D83" w:rsidRPr="00BE0F2B" w:rsidRDefault="00EB1D83" w:rsidP="00EB1D83">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16 088,9</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EB1D83" w:rsidRPr="00BE0F2B" w:rsidRDefault="00EB1D83" w:rsidP="00EB1D83">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26,6%</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EB1D83" w:rsidRPr="00BE0F2B" w:rsidRDefault="00EB1D83" w:rsidP="00EB1D83">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16 382,6</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EB1D83" w:rsidRPr="00BE0F2B" w:rsidRDefault="00EB1D83" w:rsidP="00EB1D83">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26,7%</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EB1D83" w:rsidRPr="00BE0F2B" w:rsidRDefault="00EB1D83" w:rsidP="00EB1D83">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293,7</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EB1D83" w:rsidRPr="00BE0F2B" w:rsidRDefault="00EB1D83" w:rsidP="00EB1D83">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1,8%</w:t>
            </w:r>
          </w:p>
        </w:tc>
      </w:tr>
      <w:tr w:rsidR="00EB1D83"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3 152</w:t>
            </w:r>
          </w:p>
        </w:tc>
        <w:tc>
          <w:tcPr>
            <w:tcW w:w="992"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5,2%</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3 153,8</w:t>
            </w:r>
          </w:p>
        </w:tc>
        <w:tc>
          <w:tcPr>
            <w:tcW w:w="113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5,1%</w:t>
            </w:r>
          </w:p>
        </w:tc>
        <w:tc>
          <w:tcPr>
            <w:tcW w:w="101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1,9</w:t>
            </w:r>
          </w:p>
        </w:tc>
        <w:tc>
          <w:tcPr>
            <w:tcW w:w="971"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0,1%</w:t>
            </w:r>
          </w:p>
        </w:tc>
      </w:tr>
      <w:tr w:rsidR="00EB1D83"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8 960,6</w:t>
            </w:r>
          </w:p>
        </w:tc>
        <w:tc>
          <w:tcPr>
            <w:tcW w:w="992"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14,8%</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9 819,2</w:t>
            </w:r>
          </w:p>
        </w:tc>
        <w:tc>
          <w:tcPr>
            <w:tcW w:w="113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16,0%</w:t>
            </w:r>
          </w:p>
        </w:tc>
        <w:tc>
          <w:tcPr>
            <w:tcW w:w="101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858,7</w:t>
            </w:r>
          </w:p>
        </w:tc>
        <w:tc>
          <w:tcPr>
            <w:tcW w:w="971"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9,6%</w:t>
            </w:r>
          </w:p>
        </w:tc>
      </w:tr>
      <w:tr w:rsidR="00EB1D8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EB1D83" w:rsidRPr="00D76B3D" w:rsidRDefault="00EB1D83" w:rsidP="00EB1D83">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2 973,9</w:t>
            </w:r>
          </w:p>
        </w:tc>
        <w:tc>
          <w:tcPr>
            <w:tcW w:w="992"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4,9%</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2 396,2</w:t>
            </w:r>
          </w:p>
        </w:tc>
        <w:tc>
          <w:tcPr>
            <w:tcW w:w="113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3,9%</w:t>
            </w:r>
          </w:p>
        </w:tc>
        <w:tc>
          <w:tcPr>
            <w:tcW w:w="101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-577,7</w:t>
            </w:r>
          </w:p>
        </w:tc>
        <w:tc>
          <w:tcPr>
            <w:tcW w:w="971"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-19,4%</w:t>
            </w:r>
          </w:p>
        </w:tc>
      </w:tr>
      <w:tr w:rsidR="00EB1D8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309,3</w:t>
            </w:r>
          </w:p>
        </w:tc>
        <w:tc>
          <w:tcPr>
            <w:tcW w:w="992"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382,1</w:t>
            </w:r>
          </w:p>
        </w:tc>
        <w:tc>
          <w:tcPr>
            <w:tcW w:w="113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72,7</w:t>
            </w:r>
          </w:p>
        </w:tc>
        <w:tc>
          <w:tcPr>
            <w:tcW w:w="971"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23,5%</w:t>
            </w:r>
          </w:p>
        </w:tc>
      </w:tr>
      <w:tr w:rsidR="00EB1D8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605,1</w:t>
            </w:r>
          </w:p>
        </w:tc>
        <w:tc>
          <w:tcPr>
            <w:tcW w:w="992"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1,0%</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536,2</w:t>
            </w:r>
          </w:p>
        </w:tc>
        <w:tc>
          <w:tcPr>
            <w:tcW w:w="113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0,9%</w:t>
            </w:r>
          </w:p>
        </w:tc>
        <w:tc>
          <w:tcPr>
            <w:tcW w:w="101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-68,9</w:t>
            </w:r>
          </w:p>
        </w:tc>
        <w:tc>
          <w:tcPr>
            <w:tcW w:w="971"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-11,4%</w:t>
            </w:r>
          </w:p>
        </w:tc>
      </w:tr>
      <w:tr w:rsidR="00EB1D8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2,1</w:t>
            </w:r>
          </w:p>
        </w:tc>
        <w:tc>
          <w:tcPr>
            <w:tcW w:w="992"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2,5</w:t>
            </w:r>
          </w:p>
        </w:tc>
        <w:tc>
          <w:tcPr>
            <w:tcW w:w="113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0,004%</w:t>
            </w:r>
          </w:p>
        </w:tc>
        <w:tc>
          <w:tcPr>
            <w:tcW w:w="101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0,38</w:t>
            </w:r>
          </w:p>
        </w:tc>
        <w:tc>
          <w:tcPr>
            <w:tcW w:w="971"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18,1%</w:t>
            </w:r>
          </w:p>
        </w:tc>
      </w:tr>
      <w:tr w:rsidR="00EB1D83"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EB1D83" w:rsidRPr="001E184B" w:rsidRDefault="00EB1D83" w:rsidP="00EB1D83">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86,1</w:t>
            </w:r>
          </w:p>
        </w:tc>
        <w:tc>
          <w:tcPr>
            <w:tcW w:w="992"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92,7</w:t>
            </w:r>
          </w:p>
        </w:tc>
        <w:tc>
          <w:tcPr>
            <w:tcW w:w="1134"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6,6</w:t>
            </w:r>
          </w:p>
        </w:tc>
        <w:tc>
          <w:tcPr>
            <w:tcW w:w="971" w:type="dxa"/>
            <w:tcBorders>
              <w:top w:val="nil"/>
              <w:left w:val="nil"/>
              <w:bottom w:val="single" w:sz="4" w:space="0" w:color="auto"/>
              <w:right w:val="single" w:sz="4" w:space="0" w:color="auto"/>
            </w:tcBorders>
            <w:shd w:val="clear" w:color="auto" w:fill="auto"/>
            <w:vAlign w:val="center"/>
            <w:hideMark/>
          </w:tcPr>
          <w:p w:rsidR="00EB1D83" w:rsidRPr="00BE0F2B" w:rsidRDefault="00EB1D83" w:rsidP="00EB1D83">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7,7%</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410AF2">
        <w:rPr>
          <w:rFonts w:ascii="Times New Roman" w:hAnsi="Times New Roman" w:cs="Times New Roman"/>
          <w:sz w:val="28"/>
          <w:lang w:val="en-US"/>
        </w:rPr>
        <w:t>July</w:t>
      </w:r>
      <w:r w:rsidRPr="002208A5">
        <w:rPr>
          <w:rFonts w:ascii="Times New Roman" w:hAnsi="Times New Roman" w:cs="Times New Roman"/>
          <w:sz w:val="28"/>
          <w:lang w:val="en-US"/>
        </w:rPr>
        <w:t xml:space="preserve"> </w:t>
      </w:r>
      <w:r w:rsidR="00B02D8C">
        <w:rPr>
          <w:rFonts w:ascii="Times New Roman" w:hAnsi="Times New Roman" w:cs="Times New Roman"/>
          <w:sz w:val="28"/>
          <w:lang w:val="en-US"/>
        </w:rPr>
        <w:t>2020, there was an increase by 2</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410AF2">
        <w:rPr>
          <w:rFonts w:ascii="Times New Roman" w:hAnsi="Times New Roman" w:cs="Times New Roman"/>
          <w:sz w:val="28"/>
          <w:lang w:val="en-US"/>
        </w:rPr>
        <w:t>July</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 xml:space="preserve">zone consumption increased by </w:t>
      </w:r>
      <w:r w:rsidR="00B02D8C">
        <w:rPr>
          <w:rFonts w:ascii="Times New Roman" w:hAnsi="Times New Roman" w:cs="Times New Roman"/>
          <w:sz w:val="28"/>
          <w:lang w:val="en-US"/>
        </w:rPr>
        <w:t>2</w:t>
      </w:r>
      <w:r w:rsidR="004928A9">
        <w:rPr>
          <w:rFonts w:ascii="Times New Roman" w:hAnsi="Times New Roman" w:cs="Times New Roman"/>
          <w:sz w:val="28"/>
          <w:lang w:val="en-US"/>
        </w:rPr>
        <w:t>%, western zone</w:t>
      </w:r>
      <w:r w:rsidRPr="002208A5">
        <w:rPr>
          <w:rFonts w:ascii="Times New Roman" w:hAnsi="Times New Roman" w:cs="Times New Roman"/>
          <w:sz w:val="28"/>
          <w:lang w:val="en-US"/>
        </w:rPr>
        <w:t xml:space="preserve"> by </w:t>
      </w:r>
      <w:r w:rsidR="00EB1D83">
        <w:rPr>
          <w:rFonts w:ascii="Times New Roman" w:hAnsi="Times New Roman" w:cs="Times New Roman"/>
          <w:sz w:val="28"/>
          <w:lang w:val="en-US"/>
        </w:rPr>
        <w:t>2</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B02D8C">
        <w:rPr>
          <w:rFonts w:ascii="Times New Roman" w:hAnsi="Times New Roman" w:cs="Times New Roman"/>
          <w:sz w:val="28"/>
          <w:lang w:val="en-US"/>
        </w:rPr>
        <w:t>1</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xml:space="preserve">- </w:t>
            </w:r>
            <w:r w:rsidR="00410AF2">
              <w:rPr>
                <w:rFonts w:ascii="Times New Roman" w:eastAsia="Times New Roman" w:hAnsi="Times New Roman" w:cs="Times New Roman"/>
                <w:b/>
                <w:bCs/>
                <w:sz w:val="24"/>
                <w:szCs w:val="24"/>
                <w:lang w:val="en-US" w:eastAsia="ru-RU"/>
              </w:rPr>
              <w:t>July</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w:t>
            </w:r>
            <w:r w:rsidR="00410AF2">
              <w:rPr>
                <w:rFonts w:ascii="Times New Roman" w:eastAsia="Times New Roman" w:hAnsi="Times New Roman" w:cs="Times New Roman"/>
                <w:b/>
                <w:bCs/>
                <w:sz w:val="24"/>
                <w:szCs w:val="24"/>
                <w:lang w:val="en-US" w:eastAsia="ru-RU"/>
              </w:rPr>
              <w:t>July</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B1D83" w:rsidRPr="00967209" w:rsidTr="005D2EF0">
        <w:trPr>
          <w:trHeight w:val="315"/>
        </w:trPr>
        <w:tc>
          <w:tcPr>
            <w:tcW w:w="507" w:type="dxa"/>
            <w:shd w:val="clear" w:color="auto" w:fill="17365D" w:themeFill="text2" w:themeFillShade="BF"/>
            <w:vAlign w:val="center"/>
            <w:hideMark/>
          </w:tcPr>
          <w:p w:rsidR="00EB1D83" w:rsidRPr="00967209" w:rsidRDefault="00EB1D83" w:rsidP="00EB1D83">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EB1D83" w:rsidRPr="00967209" w:rsidRDefault="00EB1D83" w:rsidP="00EB1D83">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center"/>
          </w:tcPr>
          <w:p w:rsidR="00EB1D83" w:rsidRPr="00BE0F2B" w:rsidRDefault="00EB1D83" w:rsidP="00EB1D83">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60 327,2</w:t>
            </w:r>
          </w:p>
        </w:tc>
        <w:tc>
          <w:tcPr>
            <w:tcW w:w="1842" w:type="dxa"/>
            <w:shd w:val="clear" w:color="auto" w:fill="17365D" w:themeFill="text2" w:themeFillShade="BF"/>
            <w:vAlign w:val="center"/>
          </w:tcPr>
          <w:p w:rsidR="00EB1D83" w:rsidRPr="00BE0F2B" w:rsidRDefault="00EB1D83" w:rsidP="00EB1D83">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61 280,5</w:t>
            </w:r>
          </w:p>
        </w:tc>
        <w:tc>
          <w:tcPr>
            <w:tcW w:w="1418" w:type="dxa"/>
            <w:shd w:val="clear" w:color="auto" w:fill="17365D" w:themeFill="text2" w:themeFillShade="BF"/>
            <w:vAlign w:val="center"/>
          </w:tcPr>
          <w:p w:rsidR="00EB1D83" w:rsidRPr="00BE0F2B" w:rsidRDefault="00EB1D83" w:rsidP="00EB1D83">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953,3</w:t>
            </w:r>
          </w:p>
        </w:tc>
        <w:tc>
          <w:tcPr>
            <w:tcW w:w="1135" w:type="dxa"/>
            <w:shd w:val="clear" w:color="auto" w:fill="17365D" w:themeFill="text2" w:themeFillShade="BF"/>
            <w:vAlign w:val="center"/>
          </w:tcPr>
          <w:p w:rsidR="00EB1D83" w:rsidRPr="00BE0F2B" w:rsidRDefault="00EB1D83" w:rsidP="00EB1D83">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2%</w:t>
            </w:r>
          </w:p>
        </w:tc>
      </w:tr>
      <w:tr w:rsidR="00EB1D83" w:rsidRPr="00967209" w:rsidTr="005D2EF0">
        <w:trPr>
          <w:trHeight w:val="303"/>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39 616,4</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40 276,2</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659,8</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2%</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7 818,4</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8 008,2</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189,8</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2%</w:t>
            </w:r>
          </w:p>
        </w:tc>
      </w:tr>
      <w:tr w:rsidR="00EB1D83" w:rsidRPr="00967209" w:rsidTr="005D2EF0">
        <w:trPr>
          <w:trHeight w:val="241"/>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12 892,5</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12 996,1</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103,6</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w:t>
            </w:r>
          </w:p>
        </w:tc>
      </w:tr>
      <w:tr w:rsidR="00EB1D83" w:rsidRPr="00967209" w:rsidTr="00B02D8C">
        <w:trPr>
          <w:trHeight w:val="70"/>
        </w:trPr>
        <w:tc>
          <w:tcPr>
            <w:tcW w:w="507" w:type="dxa"/>
            <w:shd w:val="clear" w:color="auto" w:fill="C6D9F1" w:themeFill="text2" w:themeFillTint="33"/>
            <w:vAlign w:val="center"/>
            <w:hideMark/>
          </w:tcPr>
          <w:p w:rsidR="00EB1D83" w:rsidRPr="00967209" w:rsidRDefault="00EB1D83" w:rsidP="00EB1D83">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EB1D83" w:rsidRPr="00967209" w:rsidRDefault="00EB1D83" w:rsidP="00EB1D83">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bottom"/>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p>
        </w:tc>
        <w:tc>
          <w:tcPr>
            <w:tcW w:w="1842" w:type="dxa"/>
            <w:shd w:val="clear" w:color="auto" w:fill="C6D9F1" w:themeFill="text2" w:themeFillTint="33"/>
            <w:vAlign w:val="bottom"/>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bottom"/>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bottom"/>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5 399,6</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5 405,1</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5,5</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0,1%</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10 299,5</w:t>
            </w:r>
          </w:p>
        </w:tc>
        <w:tc>
          <w:tcPr>
            <w:tcW w:w="1842"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10 588,8</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289,3</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5 270,4</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5 126,2</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-144,2</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1 008,9</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938,2</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-70,7</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-7%</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2 740,2</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2 600,8</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-139,4</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11 163,7</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11 808,6</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644,9</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3 638,3</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3 725,7</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87,4</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3 007,2</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2 977,2</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-30,0</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3 734,0</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3 808,5</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74,5</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1 172,9</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1 305,3</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132,4</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11%</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6 438,1</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6 338,7</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-99,4</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2 922,1</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2 919,3</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-2,8</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-0,1%</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2 515,8</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2 758,9</w:t>
            </w:r>
          </w:p>
        </w:tc>
        <w:tc>
          <w:tcPr>
            <w:tcW w:w="1418" w:type="dxa"/>
            <w:shd w:val="clear" w:color="auto" w:fill="FFFFFF" w:themeFill="background1"/>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243,1</w:t>
            </w:r>
          </w:p>
        </w:tc>
        <w:tc>
          <w:tcPr>
            <w:tcW w:w="1135" w:type="dxa"/>
            <w:shd w:val="clear" w:color="auto" w:fill="FFFFFF" w:themeFill="background1"/>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10%</w:t>
            </w:r>
          </w:p>
        </w:tc>
      </w:tr>
      <w:tr w:rsidR="00EB1D83" w:rsidRPr="00967209" w:rsidTr="005D2EF0">
        <w:trPr>
          <w:trHeight w:val="315"/>
        </w:trPr>
        <w:tc>
          <w:tcPr>
            <w:tcW w:w="507" w:type="dxa"/>
            <w:shd w:val="clear" w:color="auto" w:fill="auto"/>
            <w:vAlign w:val="center"/>
            <w:hideMark/>
          </w:tcPr>
          <w:p w:rsidR="00EB1D83" w:rsidRPr="00967209" w:rsidRDefault="00EB1D83" w:rsidP="00EB1D8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EB1D83" w:rsidRPr="00967209" w:rsidRDefault="00EB1D83" w:rsidP="00EB1D8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1 016,4</w:t>
            </w:r>
          </w:p>
        </w:tc>
        <w:tc>
          <w:tcPr>
            <w:tcW w:w="1842"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979,2</w:t>
            </w:r>
          </w:p>
        </w:tc>
        <w:tc>
          <w:tcPr>
            <w:tcW w:w="1418" w:type="dxa"/>
            <w:shd w:val="clear" w:color="000000" w:fill="FFFFFF"/>
            <w:noWrap/>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-37,2</w:t>
            </w:r>
          </w:p>
        </w:tc>
        <w:tc>
          <w:tcPr>
            <w:tcW w:w="1135" w:type="dxa"/>
            <w:shd w:val="clear" w:color="auto" w:fill="auto"/>
            <w:vAlign w:val="center"/>
          </w:tcPr>
          <w:p w:rsidR="00EB1D83" w:rsidRPr="00BE0F2B" w:rsidRDefault="00EB1D83" w:rsidP="00EB1D83">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-4%</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410AF2">
        <w:rPr>
          <w:rFonts w:ascii="Times New Roman" w:hAnsi="Times New Roman" w:cs="Times New Roman"/>
          <w:b/>
          <w:color w:val="auto"/>
          <w:sz w:val="28"/>
          <w:lang w:val="en-US"/>
        </w:rPr>
        <w:t>July</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B02D8C" w:rsidP="001248FB">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January-</w:t>
      </w:r>
      <w:r w:rsidR="00410AF2">
        <w:rPr>
          <w:rFonts w:ascii="Times New Roman" w:eastAsiaTheme="minorHAnsi" w:hAnsi="Times New Roman"/>
          <w:sz w:val="28"/>
          <w:szCs w:val="22"/>
          <w:lang w:val="en-US" w:eastAsia="en-US"/>
        </w:rPr>
        <w:t>July</w:t>
      </w:r>
      <w:r w:rsidRPr="00B02D8C">
        <w:rPr>
          <w:rFonts w:ascii="Times New Roman" w:eastAsiaTheme="minorHAnsi" w:hAnsi="Times New Roman"/>
          <w:sz w:val="28"/>
          <w:szCs w:val="22"/>
          <w:lang w:val="en-US" w:eastAsia="en-US"/>
        </w:rPr>
        <w:t xml:space="preserve"> 2020 compared to January-</w:t>
      </w:r>
      <w:r w:rsidR="00410AF2">
        <w:rPr>
          <w:rFonts w:ascii="Times New Roman" w:eastAsiaTheme="minorHAnsi" w:hAnsi="Times New Roman"/>
          <w:sz w:val="28"/>
          <w:szCs w:val="22"/>
          <w:lang w:val="en-US" w:eastAsia="en-US"/>
        </w:rPr>
        <w:t>July</w:t>
      </w:r>
      <w:r w:rsidRPr="00B02D8C">
        <w:rPr>
          <w:rFonts w:ascii="Times New Roman" w:eastAsiaTheme="minorHAnsi" w:hAnsi="Times New Roman"/>
          <w:sz w:val="28"/>
          <w:szCs w:val="22"/>
          <w:lang w:val="en-US" w:eastAsia="en-US"/>
        </w:rPr>
        <w:t xml:space="preserve"> 2019, the index of industrial production amounted to </w:t>
      </w:r>
      <w:r w:rsidR="00EB1D83">
        <w:rPr>
          <w:rFonts w:ascii="Times New Roman" w:eastAsiaTheme="minorHAnsi" w:hAnsi="Times New Roman"/>
          <w:sz w:val="28"/>
          <w:szCs w:val="22"/>
          <w:lang w:val="en-US" w:eastAsia="en-US"/>
        </w:rPr>
        <w:t>101.3</w:t>
      </w:r>
      <w:r w:rsidRPr="00B02D8C">
        <w:rPr>
          <w:rFonts w:ascii="Times New Roman" w:eastAsiaTheme="minorHAnsi" w:hAnsi="Times New Roman"/>
          <w:sz w:val="28"/>
          <w:szCs w:val="22"/>
          <w:lang w:val="en-US" w:eastAsia="en-US"/>
        </w:rPr>
        <w:t xml:space="preserve">%. Increase in production volumes </w:t>
      </w:r>
      <w:proofErr w:type="gramStart"/>
      <w:r w:rsidRPr="00B02D8C">
        <w:rPr>
          <w:rFonts w:ascii="Times New Roman" w:eastAsiaTheme="minorHAnsi" w:hAnsi="Times New Roman"/>
          <w:sz w:val="28"/>
          <w:szCs w:val="22"/>
          <w:lang w:val="en-US" w:eastAsia="en-US"/>
        </w:rPr>
        <w:t>was recorded</w:t>
      </w:r>
      <w:proofErr w:type="gramEnd"/>
      <w:r w:rsidRPr="00B02D8C">
        <w:rPr>
          <w:rFonts w:ascii="Times New Roman" w:eastAsiaTheme="minorHAnsi" w:hAnsi="Times New Roman"/>
          <w:sz w:val="28"/>
          <w:szCs w:val="22"/>
          <w:lang w:val="en-US" w:eastAsia="en-US"/>
        </w:rPr>
        <w:t xml:space="preserve"> in 12 regions of the republic, decrease was observed in </w:t>
      </w:r>
      <w:proofErr w:type="spellStart"/>
      <w:r w:rsidRPr="00B02D8C">
        <w:rPr>
          <w:rFonts w:ascii="Times New Roman" w:eastAsiaTheme="minorHAnsi" w:hAnsi="Times New Roman"/>
          <w:sz w:val="28"/>
          <w:szCs w:val="22"/>
          <w:lang w:val="en-US" w:eastAsia="en-US"/>
        </w:rPr>
        <w:t>Kyzylorda</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Aktobe</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Mangistau</w:t>
      </w:r>
      <w:proofErr w:type="spellEnd"/>
      <w:r w:rsidR="00EB1D83">
        <w:rPr>
          <w:rFonts w:ascii="Times New Roman" w:eastAsiaTheme="minorHAnsi" w:hAnsi="Times New Roman"/>
          <w:sz w:val="28"/>
          <w:szCs w:val="22"/>
          <w:lang w:val="en-US" w:eastAsia="en-US"/>
        </w:rPr>
        <w:t>, East Kazakhstan</w:t>
      </w:r>
      <w:r w:rsidRPr="00B02D8C">
        <w:rPr>
          <w:rFonts w:ascii="Times New Roman" w:eastAsiaTheme="minorHAnsi" w:hAnsi="Times New Roman"/>
          <w:sz w:val="28"/>
          <w:szCs w:val="22"/>
          <w:lang w:val="en-US" w:eastAsia="en-US"/>
        </w:rPr>
        <w:t xml:space="preserve"> regions and </w:t>
      </w:r>
      <w:proofErr w:type="spellStart"/>
      <w:r w:rsidRPr="00B02D8C">
        <w:rPr>
          <w:rFonts w:ascii="Times New Roman" w:eastAsiaTheme="minorHAnsi" w:hAnsi="Times New Roman"/>
          <w:sz w:val="28"/>
          <w:szCs w:val="22"/>
          <w:lang w:val="en-US" w:eastAsia="en-US"/>
        </w:rPr>
        <w:t>Shymkent</w:t>
      </w:r>
      <w:proofErr w:type="spellEnd"/>
      <w:r w:rsidRPr="00B02D8C">
        <w:rPr>
          <w:rFonts w:ascii="Times New Roman" w:eastAsiaTheme="minorHAnsi" w:hAnsi="Times New Roman"/>
          <w:sz w:val="28"/>
          <w:szCs w:val="22"/>
          <w:lang w:val="en-US" w:eastAsia="en-US"/>
        </w:rPr>
        <w:t xml:space="preserve"> c</w:t>
      </w:r>
      <w:r>
        <w:rPr>
          <w:rFonts w:ascii="Times New Roman" w:eastAsiaTheme="minorHAnsi" w:hAnsi="Times New Roman"/>
          <w:sz w:val="28"/>
          <w:szCs w:val="22"/>
          <w:lang w:val="en-US" w:eastAsia="en-US"/>
        </w:rPr>
        <w:t>ity</w:t>
      </w:r>
      <w:r w:rsidR="001248FB" w:rsidRPr="001E184B">
        <w:rPr>
          <w:rFonts w:ascii="Times New Roman" w:eastAsiaTheme="minorHAnsi" w:hAnsi="Times New Roman"/>
          <w:sz w:val="28"/>
          <w:szCs w:val="22"/>
          <w:lang w:val="en-US" w:eastAsia="en-US"/>
        </w:rPr>
        <w:t>.</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Pr="001E184B"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F063C2" w:rsidRPr="00967209" w:rsidRDefault="00EB1D83" w:rsidP="00512A3A">
      <w:pPr>
        <w:pStyle w:val="OsnTxt"/>
        <w:spacing w:line="240" w:lineRule="auto"/>
        <w:ind w:right="-284"/>
        <w:jc w:val="center"/>
        <w:rPr>
          <w:rFonts w:ascii="Times New Roman" w:hAnsi="Times New Roman"/>
        </w:rPr>
      </w:pPr>
      <w:r w:rsidRPr="00BE0F2B">
        <w:rPr>
          <w:rFonts w:ascii="Times New Roman" w:hAnsi="Times New Roman"/>
          <w:noProof/>
        </w:rPr>
        <w:drawing>
          <wp:inline distT="0" distB="0" distL="0" distR="0" wp14:anchorId="1744F873" wp14:editId="4BFBFFAF">
            <wp:extent cx="5284470" cy="2776855"/>
            <wp:effectExtent l="0" t="0" r="0" b="444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In North-Kazakhstan region there was an increase in uranium ore mining, production of unrefined rapeseed oil, processed milk, butter and flour increased (108.1%).</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 xml:space="preserve">In </w:t>
      </w:r>
      <w:proofErr w:type="spellStart"/>
      <w:r w:rsidRPr="00EB1D83">
        <w:rPr>
          <w:rFonts w:ascii="Times New Roman" w:eastAsiaTheme="minorHAnsi" w:hAnsi="Times New Roman"/>
          <w:sz w:val="28"/>
          <w:szCs w:val="22"/>
          <w:lang w:val="en-US" w:eastAsia="en-US"/>
        </w:rPr>
        <w:t>Nur</w:t>
      </w:r>
      <w:proofErr w:type="spellEnd"/>
      <w:r w:rsidRPr="00EB1D83">
        <w:rPr>
          <w:rFonts w:ascii="Times New Roman" w:eastAsiaTheme="minorHAnsi" w:hAnsi="Times New Roman"/>
          <w:sz w:val="28"/>
          <w:szCs w:val="22"/>
          <w:lang w:val="en-US" w:eastAsia="en-US"/>
        </w:rPr>
        <w:t xml:space="preserve">-Sultan </w:t>
      </w:r>
      <w:proofErr w:type="gramStart"/>
      <w:r w:rsidRPr="00EB1D83">
        <w:rPr>
          <w:rFonts w:ascii="Times New Roman" w:eastAsiaTheme="minorHAnsi" w:hAnsi="Times New Roman"/>
          <w:sz w:val="28"/>
          <w:szCs w:val="22"/>
          <w:lang w:val="en-US" w:eastAsia="en-US"/>
        </w:rPr>
        <w:t>city</w:t>
      </w:r>
      <w:proofErr w:type="gramEnd"/>
      <w:r w:rsidRPr="00EB1D83">
        <w:rPr>
          <w:rFonts w:ascii="Times New Roman" w:eastAsiaTheme="minorHAnsi" w:hAnsi="Times New Roman"/>
          <w:sz w:val="28"/>
          <w:szCs w:val="22"/>
          <w:lang w:val="en-US" w:eastAsia="en-US"/>
        </w:rPr>
        <w:t xml:space="preserve"> the production of soft drinks, refined gold, diesel locomotives and railroad cars increased (106.5%).</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 xml:space="preserve">In </w:t>
      </w:r>
      <w:proofErr w:type="spellStart"/>
      <w:r w:rsidRPr="00EB1D83">
        <w:rPr>
          <w:rFonts w:ascii="Times New Roman" w:eastAsiaTheme="minorHAnsi" w:hAnsi="Times New Roman"/>
          <w:sz w:val="28"/>
          <w:szCs w:val="22"/>
          <w:lang w:val="en-US" w:eastAsia="en-US"/>
        </w:rPr>
        <w:t>Kostanay</w:t>
      </w:r>
      <w:proofErr w:type="spellEnd"/>
      <w:r w:rsidRPr="00EB1D83">
        <w:rPr>
          <w:rFonts w:ascii="Times New Roman" w:eastAsiaTheme="minorHAnsi" w:hAnsi="Times New Roman"/>
          <w:sz w:val="28"/>
          <w:szCs w:val="22"/>
          <w:lang w:val="en-US" w:eastAsia="en-US"/>
        </w:rPr>
        <w:t xml:space="preserve"> region, production of iron ore concentrates increased, production of flour, bars and rods of steel, cars and trucks increased (106.5%).</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In Almaty oblast, production of confectionery and chocolate, soft drinks, cigarettes, medicines, mounting panels and instrument panels increased (105%).</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 xml:space="preserve">In </w:t>
      </w:r>
      <w:proofErr w:type="spellStart"/>
      <w:r w:rsidRPr="00EB1D83">
        <w:rPr>
          <w:rFonts w:ascii="Times New Roman" w:eastAsiaTheme="minorHAnsi" w:hAnsi="Times New Roman"/>
          <w:sz w:val="28"/>
          <w:szCs w:val="22"/>
          <w:lang w:val="en-US" w:eastAsia="en-US"/>
        </w:rPr>
        <w:t>Akmola</w:t>
      </w:r>
      <w:proofErr w:type="spellEnd"/>
      <w:r w:rsidRPr="00EB1D83">
        <w:rPr>
          <w:rFonts w:ascii="Times New Roman" w:eastAsiaTheme="minorHAnsi" w:hAnsi="Times New Roman"/>
          <w:sz w:val="28"/>
          <w:szCs w:val="22"/>
          <w:lang w:val="en-US" w:eastAsia="en-US"/>
        </w:rPr>
        <w:t xml:space="preserve"> </w:t>
      </w:r>
      <w:proofErr w:type="gramStart"/>
      <w:r w:rsidRPr="00EB1D83">
        <w:rPr>
          <w:rFonts w:ascii="Times New Roman" w:eastAsiaTheme="minorHAnsi" w:hAnsi="Times New Roman"/>
          <w:sz w:val="28"/>
          <w:szCs w:val="22"/>
          <w:lang w:val="en-US" w:eastAsia="en-US"/>
        </w:rPr>
        <w:t>oblast</w:t>
      </w:r>
      <w:proofErr w:type="gramEnd"/>
      <w:r w:rsidRPr="00EB1D83">
        <w:rPr>
          <w:rFonts w:ascii="Times New Roman" w:eastAsiaTheme="minorHAnsi" w:hAnsi="Times New Roman"/>
          <w:sz w:val="28"/>
          <w:szCs w:val="22"/>
          <w:lang w:val="en-US" w:eastAsia="en-US"/>
        </w:rPr>
        <w:t xml:space="preserve"> there was an increase in production of copper and gold concentrates, production of flour, </w:t>
      </w:r>
      <w:proofErr w:type="spellStart"/>
      <w:r w:rsidRPr="00EB1D83">
        <w:rPr>
          <w:rFonts w:ascii="Times New Roman" w:eastAsiaTheme="minorHAnsi" w:hAnsi="Times New Roman"/>
          <w:sz w:val="28"/>
          <w:szCs w:val="22"/>
          <w:lang w:val="en-US" w:eastAsia="en-US"/>
        </w:rPr>
        <w:t>portland</w:t>
      </w:r>
      <w:proofErr w:type="spellEnd"/>
      <w:r w:rsidRPr="00EB1D83">
        <w:rPr>
          <w:rFonts w:ascii="Times New Roman" w:eastAsiaTheme="minorHAnsi" w:hAnsi="Times New Roman"/>
          <w:sz w:val="28"/>
          <w:szCs w:val="22"/>
          <w:lang w:val="en-US" w:eastAsia="en-US"/>
        </w:rPr>
        <w:t xml:space="preserve"> cement, gold in gold </w:t>
      </w:r>
      <w:proofErr w:type="spellStart"/>
      <w:r w:rsidRPr="00EB1D83">
        <w:rPr>
          <w:rFonts w:ascii="Times New Roman" w:eastAsiaTheme="minorHAnsi" w:hAnsi="Times New Roman"/>
          <w:sz w:val="28"/>
          <w:szCs w:val="22"/>
          <w:lang w:val="en-US" w:eastAsia="en-US"/>
        </w:rPr>
        <w:t>doré</w:t>
      </w:r>
      <w:proofErr w:type="spellEnd"/>
      <w:r w:rsidRPr="00EB1D83">
        <w:rPr>
          <w:rFonts w:ascii="Times New Roman" w:eastAsiaTheme="minorHAnsi" w:hAnsi="Times New Roman"/>
          <w:sz w:val="28"/>
          <w:szCs w:val="22"/>
          <w:lang w:val="en-US" w:eastAsia="en-US"/>
        </w:rPr>
        <w:t xml:space="preserve"> alloy, unprocessed gold and tractors (104.1%).</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In Turkestan region there was an increase in production of processed cotton, oil bitumen, commodity concrete and distribution power boards and boxes (103.8%).</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In Karaganda region there was an increase in production of copper and zinc concentrates, production of flat rolled products, refined gold, blistered and refined copper increased (103.4%).</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In West-Kazakhstan region due to the increase in gas condensate production, the index of industrial production amounted to 103.3%.</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 xml:space="preserve">In </w:t>
      </w:r>
      <w:proofErr w:type="spellStart"/>
      <w:r w:rsidRPr="00EB1D83">
        <w:rPr>
          <w:rFonts w:ascii="Times New Roman" w:eastAsiaTheme="minorHAnsi" w:hAnsi="Times New Roman"/>
          <w:sz w:val="28"/>
          <w:szCs w:val="22"/>
          <w:lang w:val="en-US" w:eastAsia="en-US"/>
        </w:rPr>
        <w:t>Atyrau</w:t>
      </w:r>
      <w:proofErr w:type="spellEnd"/>
      <w:r w:rsidRPr="00EB1D83">
        <w:rPr>
          <w:rFonts w:ascii="Times New Roman" w:eastAsiaTheme="minorHAnsi" w:hAnsi="Times New Roman"/>
          <w:sz w:val="28"/>
          <w:szCs w:val="22"/>
          <w:lang w:val="en-US" w:eastAsia="en-US"/>
        </w:rPr>
        <w:t xml:space="preserve"> region due to the increase in crude oil production, the index of industrial production amounted to 102.8%.</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 xml:space="preserve">In </w:t>
      </w:r>
      <w:proofErr w:type="spellStart"/>
      <w:r w:rsidRPr="00EB1D83">
        <w:rPr>
          <w:rFonts w:ascii="Times New Roman" w:eastAsiaTheme="minorHAnsi" w:hAnsi="Times New Roman"/>
          <w:sz w:val="28"/>
          <w:szCs w:val="22"/>
          <w:lang w:val="en-US" w:eastAsia="en-US"/>
        </w:rPr>
        <w:t>Zhambyl</w:t>
      </w:r>
      <w:proofErr w:type="spellEnd"/>
      <w:r w:rsidRPr="00EB1D83">
        <w:rPr>
          <w:rFonts w:ascii="Times New Roman" w:eastAsiaTheme="minorHAnsi" w:hAnsi="Times New Roman"/>
          <w:sz w:val="28"/>
          <w:szCs w:val="22"/>
          <w:lang w:val="en-US" w:eastAsia="en-US"/>
        </w:rPr>
        <w:t xml:space="preserve"> oblast, extraction of gold-containing ores and phosphate raw materials increased, production of phosphorus, </w:t>
      </w:r>
      <w:proofErr w:type="spellStart"/>
      <w:r w:rsidRPr="00EB1D83">
        <w:rPr>
          <w:rFonts w:ascii="Times New Roman" w:eastAsiaTheme="minorHAnsi" w:hAnsi="Times New Roman"/>
          <w:sz w:val="28"/>
          <w:szCs w:val="22"/>
          <w:lang w:val="en-US" w:eastAsia="en-US"/>
        </w:rPr>
        <w:t>orthophosphoric</w:t>
      </w:r>
      <w:proofErr w:type="spellEnd"/>
      <w:r w:rsidRPr="00EB1D83">
        <w:rPr>
          <w:rFonts w:ascii="Times New Roman" w:eastAsiaTheme="minorHAnsi" w:hAnsi="Times New Roman"/>
          <w:sz w:val="28"/>
          <w:szCs w:val="22"/>
          <w:lang w:val="en-US" w:eastAsia="en-US"/>
        </w:rPr>
        <w:t xml:space="preserve"> acid and phosphate fertilizers increased (101.4%).</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In Almaty city the production of beer, medicines, cans of ferrous metals and other aluminum metal products increased (100.9%).</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In Pavlodar oblast, production of copper concentrates increased, production of part of railroad locomotives, streetcar motor cars and rolling stock increased (100.4%).</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lastRenderedPageBreak/>
        <w:t>In East-Kazakhstan region due to decrease in extraction of copper ores and concentrates, decrease in production of coins and medals the index of industrial production amounted to 99.4%.</w:t>
      </w:r>
    </w:p>
    <w:p w:rsidR="00EB1D83" w:rsidRPr="00EB1D83"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 xml:space="preserve">In </w:t>
      </w:r>
      <w:proofErr w:type="spellStart"/>
      <w:r w:rsidRPr="00EB1D83">
        <w:rPr>
          <w:rFonts w:ascii="Times New Roman" w:eastAsiaTheme="minorHAnsi" w:hAnsi="Times New Roman"/>
          <w:sz w:val="28"/>
          <w:szCs w:val="22"/>
          <w:lang w:val="en-US" w:eastAsia="en-US"/>
        </w:rPr>
        <w:t>Shymkent</w:t>
      </w:r>
      <w:proofErr w:type="spellEnd"/>
      <w:r w:rsidRPr="00EB1D83">
        <w:rPr>
          <w:rFonts w:ascii="Times New Roman" w:eastAsiaTheme="minorHAnsi" w:hAnsi="Times New Roman"/>
          <w:sz w:val="28"/>
          <w:szCs w:val="22"/>
          <w:lang w:val="en-US" w:eastAsia="en-US"/>
        </w:rPr>
        <w:t xml:space="preserve"> city due to reduction of production of kerosene, diesel fuel, heating oil and vacuum gasoil the index of industrial production amounted to 99.2%.</w:t>
      </w:r>
    </w:p>
    <w:p w:rsidR="00EC1ADE" w:rsidRPr="00EC1ADE" w:rsidRDefault="00EB1D83" w:rsidP="00EB1D83">
      <w:pPr>
        <w:pStyle w:val="OsnTxt"/>
        <w:spacing w:line="240" w:lineRule="auto"/>
        <w:ind w:right="-284"/>
        <w:rPr>
          <w:rFonts w:ascii="Times New Roman" w:eastAsiaTheme="minorHAnsi" w:hAnsi="Times New Roman"/>
          <w:sz w:val="28"/>
          <w:szCs w:val="22"/>
          <w:lang w:val="en-US" w:eastAsia="en-US"/>
        </w:rPr>
      </w:pPr>
      <w:r w:rsidRPr="00EB1D83">
        <w:rPr>
          <w:rFonts w:ascii="Times New Roman" w:eastAsiaTheme="minorHAnsi" w:hAnsi="Times New Roman"/>
          <w:sz w:val="28"/>
          <w:szCs w:val="22"/>
          <w:lang w:val="en-US" w:eastAsia="en-US"/>
        </w:rPr>
        <w:t xml:space="preserve">Industrial production index in </w:t>
      </w:r>
      <w:proofErr w:type="spellStart"/>
      <w:r w:rsidRPr="00EB1D83">
        <w:rPr>
          <w:rFonts w:ascii="Times New Roman" w:eastAsiaTheme="minorHAnsi" w:hAnsi="Times New Roman"/>
          <w:sz w:val="28"/>
          <w:szCs w:val="22"/>
          <w:lang w:val="en-US" w:eastAsia="en-US"/>
        </w:rPr>
        <w:t>Aktobe</w:t>
      </w:r>
      <w:proofErr w:type="spellEnd"/>
      <w:r w:rsidRPr="00EB1D83">
        <w:rPr>
          <w:rFonts w:ascii="Times New Roman" w:eastAsiaTheme="minorHAnsi" w:hAnsi="Times New Roman"/>
          <w:sz w:val="28"/>
          <w:szCs w:val="22"/>
          <w:lang w:val="en-US" w:eastAsia="en-US"/>
        </w:rPr>
        <w:t xml:space="preserve"> region amounted to 96.7%, </w:t>
      </w:r>
      <w:proofErr w:type="spellStart"/>
      <w:r w:rsidRPr="00EB1D83">
        <w:rPr>
          <w:rFonts w:ascii="Times New Roman" w:eastAsiaTheme="minorHAnsi" w:hAnsi="Times New Roman"/>
          <w:sz w:val="28"/>
          <w:szCs w:val="22"/>
          <w:lang w:val="en-US" w:eastAsia="en-US"/>
        </w:rPr>
        <w:t>Mangistau</w:t>
      </w:r>
      <w:proofErr w:type="spellEnd"/>
      <w:r w:rsidRPr="00EB1D83">
        <w:rPr>
          <w:rFonts w:ascii="Times New Roman" w:eastAsiaTheme="minorHAnsi" w:hAnsi="Times New Roman"/>
          <w:sz w:val="28"/>
          <w:szCs w:val="22"/>
          <w:lang w:val="en-US" w:eastAsia="en-US"/>
        </w:rPr>
        <w:t xml:space="preserve"> region 95.5% and </w:t>
      </w:r>
      <w:proofErr w:type="spellStart"/>
      <w:r w:rsidRPr="00EB1D83">
        <w:rPr>
          <w:rFonts w:ascii="Times New Roman" w:eastAsiaTheme="minorHAnsi" w:hAnsi="Times New Roman"/>
          <w:sz w:val="28"/>
          <w:szCs w:val="22"/>
          <w:lang w:val="en-US" w:eastAsia="en-US"/>
        </w:rPr>
        <w:t>Kyzylorda</w:t>
      </w:r>
      <w:proofErr w:type="spellEnd"/>
      <w:r w:rsidRPr="00EB1D83">
        <w:rPr>
          <w:rFonts w:ascii="Times New Roman" w:eastAsiaTheme="minorHAnsi" w:hAnsi="Times New Roman"/>
          <w:sz w:val="28"/>
          <w:szCs w:val="22"/>
          <w:lang w:val="en-US" w:eastAsia="en-US"/>
        </w:rPr>
        <w:t xml:space="preserve"> region 89.6% mainly due to the decrease in crude oil production</w:t>
      </w:r>
      <w:r w:rsidR="0098244C" w:rsidRPr="0098244C">
        <w:rPr>
          <w:rFonts w:ascii="Times New Roman" w:eastAsiaTheme="minorHAnsi" w:hAnsi="Times New Roman"/>
          <w:sz w:val="28"/>
          <w:szCs w:val="22"/>
          <w:lang w:val="en-US" w:eastAsia="en-US"/>
        </w:rPr>
        <w:t>.</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2208A5" w:rsidP="001248FB">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January-</w:t>
      </w:r>
      <w:r w:rsidR="00410AF2">
        <w:rPr>
          <w:rFonts w:ascii="Times New Roman" w:eastAsiaTheme="minorHAnsi" w:hAnsi="Times New Roman"/>
          <w:sz w:val="28"/>
          <w:szCs w:val="22"/>
          <w:lang w:val="en-US" w:eastAsia="en-US"/>
        </w:rPr>
        <w:t>July</w:t>
      </w:r>
      <w:r w:rsidRPr="002208A5">
        <w:rPr>
          <w:rFonts w:ascii="Times New Roman" w:eastAsiaTheme="minorHAnsi" w:hAnsi="Times New Roman"/>
          <w:sz w:val="28"/>
          <w:szCs w:val="22"/>
          <w:lang w:val="en-US" w:eastAsia="en-US"/>
        </w:rPr>
        <w:t xml:space="preserve"> 2020, electricity consumption b</w:t>
      </w:r>
      <w:r w:rsidR="0098244C">
        <w:rPr>
          <w:rFonts w:ascii="Times New Roman" w:eastAsiaTheme="minorHAnsi" w:hAnsi="Times New Roman"/>
          <w:sz w:val="28"/>
          <w:szCs w:val="22"/>
          <w:lang w:val="en-US" w:eastAsia="en-US"/>
        </w:rPr>
        <w:t>y large consumers decreased by 2</w:t>
      </w:r>
      <w:r w:rsidR="00EB1D83">
        <w:rPr>
          <w:rFonts w:ascii="Times New Roman" w:eastAsiaTheme="minorHAnsi" w:hAnsi="Times New Roman"/>
          <w:sz w:val="28"/>
          <w:szCs w:val="22"/>
          <w:lang w:val="en-US" w:eastAsia="en-US"/>
        </w:rPr>
        <w:t>.6</w:t>
      </w:r>
      <w:r w:rsidRPr="002208A5">
        <w:rPr>
          <w:rFonts w:ascii="Times New Roman" w:eastAsiaTheme="minorHAnsi" w:hAnsi="Times New Roman"/>
          <w:sz w:val="28"/>
          <w:szCs w:val="22"/>
          <w:lang w:val="en-US" w:eastAsia="en-US"/>
        </w:rPr>
        <w:t>% comp</w:t>
      </w:r>
      <w:r>
        <w:rPr>
          <w:rFonts w:ascii="Times New Roman" w:eastAsiaTheme="minorHAnsi" w:hAnsi="Times New Roman"/>
          <w:sz w:val="28"/>
          <w:szCs w:val="22"/>
          <w:lang w:val="en-US" w:eastAsia="en-US"/>
        </w:rPr>
        <w:t>ared to the same period in 2019</w:t>
      </w:r>
      <w:r w:rsidR="00EC1ADE" w:rsidRPr="00EC1ADE">
        <w:rPr>
          <w:rFonts w:ascii="Times New Roman" w:eastAsiaTheme="minorHAnsi" w:hAnsi="Times New Roman"/>
          <w:sz w:val="28"/>
          <w:szCs w:val="22"/>
          <w:lang w:val="en-US" w:eastAsia="en-US"/>
        </w:rPr>
        <w:t>.</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410AF2">
              <w:rPr>
                <w:rFonts w:ascii="Times New Roman" w:hAnsi="Times New Roman" w:cs="Times New Roman"/>
                <w:b/>
                <w:sz w:val="24"/>
                <w:szCs w:val="24"/>
                <w:lang w:val="en-US"/>
              </w:rPr>
              <w:t>July</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2 146,1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2 172,9</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3 396,3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3 257,1</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4%</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697,3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687,4</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1 662,3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1 691,3</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-2%</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965,6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1 041,6</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-7%</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750,5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705,2</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6%</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1 846,1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1 836,4</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125,1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112,3</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1 262,4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1 250,3</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1 104,0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1 092,4</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130,1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97,8</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33%</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499,1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490,5</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2%</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1 076,4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1 125,9</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-4%</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558,1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552,2</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EB1D83" w:rsidRPr="001E184B" w:rsidRDefault="00EB1D83" w:rsidP="00EB1D83">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2 192,4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2 183,7</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0%</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814,5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919,9</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-11%</w:t>
            </w:r>
          </w:p>
        </w:tc>
      </w:tr>
      <w:tr w:rsidR="00EB1D83" w:rsidRPr="00967209" w:rsidTr="0098244C">
        <w:trPr>
          <w:trHeight w:val="360"/>
          <w:jc w:val="center"/>
        </w:trPr>
        <w:tc>
          <w:tcPr>
            <w:tcW w:w="567" w:type="dxa"/>
            <w:vAlign w:val="center"/>
          </w:tcPr>
          <w:p w:rsidR="00EB1D83" w:rsidRPr="00967209" w:rsidRDefault="00EB1D83" w:rsidP="00EB1D83">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EB1D83" w:rsidRPr="00967209" w:rsidRDefault="00EB1D83" w:rsidP="00EB1D83">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2 500,0 </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3 040,9</w:t>
            </w:r>
          </w:p>
        </w:tc>
        <w:tc>
          <w:tcPr>
            <w:tcW w:w="1087" w:type="dxa"/>
            <w:vAlign w:val="bottom"/>
          </w:tcPr>
          <w:p w:rsidR="00EB1D83" w:rsidRPr="00BE0F2B" w:rsidRDefault="00EB1D83" w:rsidP="00EB1D83">
            <w:pPr>
              <w:pStyle w:val="a3"/>
              <w:ind w:left="0"/>
              <w:rPr>
                <w:rFonts w:ascii="Times New Roman" w:hAnsi="Times New Roman" w:cs="Times New Roman"/>
                <w:sz w:val="24"/>
                <w:szCs w:val="24"/>
              </w:rPr>
            </w:pPr>
            <w:r w:rsidRPr="00BE0F2B">
              <w:rPr>
                <w:rFonts w:ascii="Times New Roman" w:hAnsi="Times New Roman" w:cs="Times New Roman"/>
                <w:sz w:val="24"/>
                <w:szCs w:val="24"/>
              </w:rPr>
              <w:t>-18%</w:t>
            </w:r>
          </w:p>
        </w:tc>
      </w:tr>
      <w:tr w:rsidR="00EB1D83" w:rsidRPr="00967209" w:rsidTr="001248FB">
        <w:trPr>
          <w:trHeight w:val="360"/>
          <w:jc w:val="center"/>
        </w:trPr>
        <w:tc>
          <w:tcPr>
            <w:tcW w:w="6663" w:type="dxa"/>
            <w:gridSpan w:val="2"/>
            <w:vAlign w:val="center"/>
          </w:tcPr>
          <w:p w:rsidR="00EB1D83" w:rsidRPr="00967209" w:rsidRDefault="00EB1D83" w:rsidP="00EB1D83">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EB1D83" w:rsidRPr="00BE0F2B" w:rsidRDefault="00EB1D83" w:rsidP="00EB1D83">
            <w:pPr>
              <w:pStyle w:val="a3"/>
              <w:ind w:left="0"/>
              <w:rPr>
                <w:rFonts w:ascii="Times New Roman" w:hAnsi="Times New Roman" w:cs="Times New Roman"/>
                <w:b/>
                <w:sz w:val="24"/>
                <w:szCs w:val="24"/>
              </w:rPr>
            </w:pPr>
            <w:r w:rsidRPr="00BE0F2B">
              <w:rPr>
                <w:rFonts w:ascii="Times New Roman" w:hAnsi="Times New Roman" w:cs="Times New Roman"/>
                <w:b/>
                <w:sz w:val="24"/>
                <w:szCs w:val="24"/>
              </w:rPr>
              <w:t>20 622,2</w:t>
            </w:r>
          </w:p>
        </w:tc>
        <w:tc>
          <w:tcPr>
            <w:tcW w:w="1087" w:type="dxa"/>
            <w:vAlign w:val="center"/>
          </w:tcPr>
          <w:p w:rsidR="00EB1D83" w:rsidRPr="00BE0F2B" w:rsidRDefault="00EB1D83" w:rsidP="00EB1D83">
            <w:pPr>
              <w:pStyle w:val="a3"/>
              <w:ind w:left="0"/>
              <w:rPr>
                <w:rFonts w:ascii="Times New Roman" w:hAnsi="Times New Roman" w:cs="Times New Roman"/>
                <w:b/>
                <w:sz w:val="24"/>
                <w:szCs w:val="24"/>
              </w:rPr>
            </w:pPr>
            <w:r w:rsidRPr="00BE0F2B">
              <w:rPr>
                <w:rFonts w:ascii="Times New Roman" w:hAnsi="Times New Roman" w:cs="Times New Roman"/>
                <w:b/>
                <w:sz w:val="24"/>
                <w:szCs w:val="24"/>
              </w:rPr>
              <w:t>21 165,4</w:t>
            </w:r>
          </w:p>
        </w:tc>
        <w:tc>
          <w:tcPr>
            <w:tcW w:w="1087" w:type="dxa"/>
            <w:vAlign w:val="center"/>
          </w:tcPr>
          <w:p w:rsidR="00EB1D83" w:rsidRPr="00BE0F2B" w:rsidRDefault="00EB1D83" w:rsidP="00EB1D83">
            <w:pPr>
              <w:pStyle w:val="a3"/>
              <w:ind w:left="0"/>
              <w:rPr>
                <w:rFonts w:ascii="Times New Roman" w:hAnsi="Times New Roman" w:cs="Times New Roman"/>
                <w:sz w:val="20"/>
                <w:szCs w:val="20"/>
              </w:rPr>
            </w:pPr>
            <w:r w:rsidRPr="00BE0F2B">
              <w:rPr>
                <w:rFonts w:ascii="Times New Roman" w:hAnsi="Times New Roman" w:cs="Times New Roman"/>
                <w:b/>
                <w:sz w:val="24"/>
                <w:szCs w:val="24"/>
              </w:rPr>
              <w:t>-2,57%</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proofErr w:type="spellStart"/>
      <w:r w:rsidRPr="00967209">
        <w:rPr>
          <w:rFonts w:ascii="Times New Roman" w:hAnsi="Times New Roman" w:cs="Times New Roman"/>
          <w:b/>
          <w:color w:val="auto"/>
        </w:rPr>
        <w:t>Coal</w:t>
      </w:r>
      <w:bookmarkEnd w:id="15"/>
      <w:proofErr w:type="spellEnd"/>
    </w:p>
    <w:p w:rsidR="00EC1ADE" w:rsidRPr="00EC1ADE" w:rsidRDefault="00EC1ADE" w:rsidP="00EC1ADE">
      <w:pPr>
        <w:pStyle w:val="1"/>
        <w:spacing w:before="0" w:line="240" w:lineRule="auto"/>
        <w:jc w:val="center"/>
        <w:rPr>
          <w:rFonts w:ascii="Times New Roman" w:hAnsi="Times New Roman" w:cs="Times New Roman"/>
          <w:i/>
          <w:color w:val="auto"/>
          <w:sz w:val="28"/>
        </w:rPr>
      </w:pPr>
      <w:proofErr w:type="spellStart"/>
      <w:r w:rsidRPr="00EC1ADE">
        <w:rPr>
          <w:rFonts w:ascii="Times New Roman" w:hAnsi="Times New Roman" w:cs="Times New Roman"/>
          <w:i/>
          <w:color w:val="auto"/>
          <w:sz w:val="28"/>
        </w:rPr>
        <w:t>Steam</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coal</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production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in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Kazakhstan</w:t>
      </w:r>
      <w:proofErr w:type="spellEnd"/>
    </w:p>
    <w:p w:rsidR="00EC1ADE" w:rsidRPr="0098244C" w:rsidRDefault="00F22FD5" w:rsidP="0098244C">
      <w:pPr>
        <w:ind w:firstLine="709"/>
        <w:jc w:val="both"/>
        <w:rPr>
          <w:rFonts w:ascii="Times New Roman" w:hAnsi="Times New Roman" w:cs="Times New Roman"/>
          <w:sz w:val="28"/>
          <w:szCs w:val="28"/>
          <w:lang w:val="en-US"/>
        </w:rPr>
      </w:pPr>
      <w:r w:rsidRPr="00F22FD5">
        <w:rPr>
          <w:rFonts w:ascii="Times New Roman" w:hAnsi="Times New Roman" w:cs="Times New Roman"/>
          <w:sz w:val="28"/>
          <w:szCs w:val="28"/>
          <w:lang w:val="en-US"/>
        </w:rPr>
        <w:t xml:space="preserve">According to information from the Statistics Committee of the Ministry of Energy of Kazakhstan, Kazakhstan produced </w:t>
      </w:r>
      <w:r w:rsidR="00EB1D83" w:rsidRPr="00EB1D83">
        <w:rPr>
          <w:rFonts w:ascii="Times New Roman" w:hAnsi="Times New Roman" w:cs="Times New Roman"/>
          <w:sz w:val="28"/>
          <w:szCs w:val="28"/>
          <w:lang w:val="en-US"/>
        </w:rPr>
        <w:t xml:space="preserve">60 690,5 </w:t>
      </w:r>
      <w:r w:rsidRPr="00F22FD5">
        <w:rPr>
          <w:rFonts w:ascii="Times New Roman" w:hAnsi="Times New Roman" w:cs="Times New Roman"/>
          <w:sz w:val="28"/>
          <w:szCs w:val="28"/>
          <w:lang w:val="en-US"/>
        </w:rPr>
        <w:t>thousand tons of hard coal in the period January-</w:t>
      </w:r>
      <w:r w:rsidR="00410AF2">
        <w:rPr>
          <w:rFonts w:ascii="Times New Roman" w:hAnsi="Times New Roman" w:cs="Times New Roman"/>
          <w:sz w:val="28"/>
          <w:szCs w:val="28"/>
          <w:lang w:val="en-US"/>
        </w:rPr>
        <w:t>July</w:t>
      </w:r>
      <w:r w:rsidR="00EB1D83">
        <w:rPr>
          <w:rFonts w:ascii="Times New Roman" w:hAnsi="Times New Roman" w:cs="Times New Roman"/>
          <w:sz w:val="28"/>
          <w:szCs w:val="28"/>
          <w:lang w:val="en-US"/>
        </w:rPr>
        <w:t xml:space="preserve"> 2020, which is 1</w:t>
      </w:r>
      <w:r w:rsidRPr="00F22FD5">
        <w:rPr>
          <w:rFonts w:ascii="Times New Roman" w:hAnsi="Times New Roman" w:cs="Times New Roman"/>
          <w:sz w:val="28"/>
          <w:szCs w:val="28"/>
          <w:lang w:val="en-US"/>
        </w:rPr>
        <w:t>% higher than the same period in 2019 (</w:t>
      </w:r>
      <w:r w:rsidR="00EB1D83" w:rsidRPr="00EB1D83">
        <w:rPr>
          <w:rFonts w:ascii="Times New Roman" w:hAnsi="Times New Roman" w:cs="Times New Roman"/>
          <w:sz w:val="28"/>
          <w:szCs w:val="28"/>
          <w:lang w:val="en-US"/>
        </w:rPr>
        <w:t xml:space="preserve">59 966,1 </w:t>
      </w:r>
      <w:r w:rsidRPr="00F22FD5">
        <w:rPr>
          <w:rFonts w:ascii="Times New Roman" w:hAnsi="Times New Roman" w:cs="Times New Roman"/>
          <w:sz w:val="28"/>
          <w:szCs w:val="28"/>
          <w:lang w:val="en-US"/>
        </w:rPr>
        <w:t>thousand tons)</w:t>
      </w:r>
      <w:r w:rsidR="0098244C" w:rsidRPr="0098244C">
        <w:rPr>
          <w:rFonts w:ascii="Times New Roman" w:hAnsi="Times New Roman" w:cs="Times New Roman"/>
          <w:sz w:val="28"/>
          <w:szCs w:val="28"/>
          <w:lang w:val="en-US"/>
        </w:rPr>
        <w:t>.</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lastRenderedPageBreak/>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410AF2">
              <w:rPr>
                <w:rFonts w:ascii="Times New Roman" w:eastAsia="Times New Roman" w:hAnsi="Times New Roman" w:cs="Times New Roman"/>
                <w:b/>
                <w:bCs/>
                <w:color w:val="000000"/>
                <w:lang w:val="en-US" w:eastAsia="ru-RU"/>
              </w:rPr>
              <w:t>July</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EB1D83" w:rsidRPr="002208A5" w:rsidTr="0098244C">
        <w:trPr>
          <w:trHeight w:val="333"/>
        </w:trPr>
        <w:tc>
          <w:tcPr>
            <w:tcW w:w="566" w:type="dxa"/>
            <w:vAlign w:val="center"/>
          </w:tcPr>
          <w:p w:rsidR="00EB1D83" w:rsidRPr="002208A5" w:rsidRDefault="00EB1D83" w:rsidP="00EB1D83">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EB1D83" w:rsidRPr="00EC1ADE" w:rsidRDefault="00EB1D83" w:rsidP="00EB1D83">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Pavlodarskaya</w:t>
            </w:r>
            <w:proofErr w:type="spellEnd"/>
          </w:p>
        </w:tc>
        <w:tc>
          <w:tcPr>
            <w:tcW w:w="1938" w:type="dxa"/>
            <w:vAlign w:val="bottom"/>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37 949,6</w:t>
            </w:r>
          </w:p>
        </w:tc>
        <w:tc>
          <w:tcPr>
            <w:tcW w:w="1938" w:type="dxa"/>
            <w:vAlign w:val="bottom"/>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38 038,5</w:t>
            </w:r>
          </w:p>
        </w:tc>
        <w:tc>
          <w:tcPr>
            <w:tcW w:w="1938" w:type="dxa"/>
            <w:vAlign w:val="center"/>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100%</w:t>
            </w:r>
          </w:p>
        </w:tc>
      </w:tr>
      <w:tr w:rsidR="00EB1D83" w:rsidRPr="00543C7D" w:rsidTr="00410AF2">
        <w:trPr>
          <w:trHeight w:val="333"/>
        </w:trPr>
        <w:tc>
          <w:tcPr>
            <w:tcW w:w="566" w:type="dxa"/>
            <w:vAlign w:val="center"/>
          </w:tcPr>
          <w:p w:rsidR="00EB1D83" w:rsidRPr="002208A5" w:rsidRDefault="00EB1D83" w:rsidP="00EB1D83">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2</w:t>
            </w:r>
          </w:p>
        </w:tc>
        <w:tc>
          <w:tcPr>
            <w:tcW w:w="3685" w:type="dxa"/>
            <w:vAlign w:val="center"/>
          </w:tcPr>
          <w:p w:rsidR="00EB1D83" w:rsidRPr="00EC1ADE" w:rsidRDefault="00EB1D83" w:rsidP="00EB1D83">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Karagandinskaya</w:t>
            </w:r>
            <w:proofErr w:type="spellEnd"/>
          </w:p>
        </w:tc>
        <w:tc>
          <w:tcPr>
            <w:tcW w:w="1938" w:type="dxa"/>
            <w:vAlign w:val="bottom"/>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18 063,7</w:t>
            </w:r>
          </w:p>
        </w:tc>
        <w:tc>
          <w:tcPr>
            <w:tcW w:w="1938" w:type="dxa"/>
            <w:vAlign w:val="bottom"/>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18 865,8</w:t>
            </w:r>
          </w:p>
        </w:tc>
        <w:tc>
          <w:tcPr>
            <w:tcW w:w="1938" w:type="dxa"/>
            <w:vAlign w:val="center"/>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104%</w:t>
            </w:r>
          </w:p>
        </w:tc>
      </w:tr>
      <w:tr w:rsidR="00EB1D83" w:rsidRPr="00543C7D" w:rsidTr="0098244C">
        <w:trPr>
          <w:trHeight w:val="333"/>
        </w:trPr>
        <w:tc>
          <w:tcPr>
            <w:tcW w:w="566" w:type="dxa"/>
            <w:vAlign w:val="center"/>
          </w:tcPr>
          <w:p w:rsidR="00EB1D83" w:rsidRPr="00543C7D" w:rsidRDefault="00EB1D83" w:rsidP="00EB1D83">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EB1D83" w:rsidRPr="00EC1ADE" w:rsidRDefault="00EB1D83" w:rsidP="00EB1D83">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bottom"/>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3 801,3</w:t>
            </w:r>
          </w:p>
        </w:tc>
        <w:tc>
          <w:tcPr>
            <w:tcW w:w="1938" w:type="dxa"/>
            <w:vAlign w:val="bottom"/>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3 721,3</w:t>
            </w:r>
          </w:p>
        </w:tc>
        <w:tc>
          <w:tcPr>
            <w:tcW w:w="1938" w:type="dxa"/>
            <w:vAlign w:val="center"/>
          </w:tcPr>
          <w:p w:rsidR="00EB1D83" w:rsidRPr="00BE0F2B" w:rsidRDefault="00EB1D83" w:rsidP="00EB1D83">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98%</w:t>
            </w:r>
          </w:p>
        </w:tc>
      </w:tr>
      <w:tr w:rsidR="00EB1D83" w:rsidRPr="00543C7D" w:rsidTr="00410AF2">
        <w:trPr>
          <w:trHeight w:val="333"/>
        </w:trPr>
        <w:tc>
          <w:tcPr>
            <w:tcW w:w="566" w:type="dxa"/>
            <w:vAlign w:val="center"/>
          </w:tcPr>
          <w:p w:rsidR="00EB1D83" w:rsidRPr="00543C7D" w:rsidRDefault="00EB1D83" w:rsidP="00EB1D83">
            <w:pPr>
              <w:pStyle w:val="a3"/>
              <w:ind w:left="0"/>
              <w:jc w:val="center"/>
              <w:rPr>
                <w:rFonts w:ascii="Times New Roman" w:hAnsi="Times New Roman" w:cs="Times New Roman"/>
                <w:sz w:val="24"/>
                <w:szCs w:val="24"/>
              </w:rPr>
            </w:pPr>
          </w:p>
        </w:tc>
        <w:tc>
          <w:tcPr>
            <w:tcW w:w="3685" w:type="dxa"/>
            <w:vAlign w:val="center"/>
          </w:tcPr>
          <w:p w:rsidR="00EB1D83" w:rsidRPr="00EC1ADE" w:rsidRDefault="00EB1D83" w:rsidP="00EB1D83">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in </w:t>
            </w:r>
            <w:proofErr w:type="spellStart"/>
            <w:r>
              <w:rPr>
                <w:rFonts w:ascii="Times New Roman" w:hAnsi="Times New Roman" w:cs="Times New Roman"/>
                <w:b/>
                <w:sz w:val="24"/>
                <w:szCs w:val="24"/>
                <w:lang w:val="en-US"/>
              </w:rPr>
              <w:t>RoK</w:t>
            </w:r>
            <w:proofErr w:type="spellEnd"/>
          </w:p>
        </w:tc>
        <w:tc>
          <w:tcPr>
            <w:tcW w:w="1938" w:type="dxa"/>
            <w:vAlign w:val="bottom"/>
          </w:tcPr>
          <w:p w:rsidR="00EB1D83" w:rsidRPr="00BE0F2B" w:rsidRDefault="00EB1D83" w:rsidP="00EB1D83">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59 966,1</w:t>
            </w:r>
          </w:p>
        </w:tc>
        <w:tc>
          <w:tcPr>
            <w:tcW w:w="1938" w:type="dxa"/>
            <w:vAlign w:val="bottom"/>
          </w:tcPr>
          <w:p w:rsidR="00EB1D83" w:rsidRPr="00BE0F2B" w:rsidRDefault="00EB1D83" w:rsidP="00EB1D83">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60 690,5</w:t>
            </w:r>
          </w:p>
        </w:tc>
        <w:tc>
          <w:tcPr>
            <w:tcW w:w="1938" w:type="dxa"/>
            <w:vAlign w:val="center"/>
          </w:tcPr>
          <w:p w:rsidR="00EB1D83" w:rsidRPr="00BE0F2B" w:rsidRDefault="00EB1D83" w:rsidP="00EB1D83">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101%</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410AF2">
        <w:rPr>
          <w:rFonts w:ascii="Times New Roman" w:hAnsi="Times New Roman" w:cs="Times New Roman"/>
          <w:sz w:val="28"/>
          <w:szCs w:val="28"/>
          <w:lang w:val="en-US"/>
        </w:rPr>
        <w:t>July</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EB1D83" w:rsidRPr="00EB1D83">
        <w:rPr>
          <w:rFonts w:ascii="Times New Roman" w:hAnsi="Times New Roman" w:cs="Times New Roman"/>
          <w:sz w:val="28"/>
          <w:szCs w:val="28"/>
          <w:lang w:val="en-US"/>
        </w:rPr>
        <w:t>24 899</w:t>
      </w:r>
      <w:r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EB1D83">
        <w:rPr>
          <w:rFonts w:ascii="Times New Roman" w:hAnsi="Times New Roman" w:cs="Times New Roman"/>
          <w:sz w:val="28"/>
          <w:szCs w:val="28"/>
          <w:lang w:val="en-US"/>
        </w:rPr>
        <w:t>1.4</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more</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EB1D83" w:rsidRPr="00EB1D83">
        <w:rPr>
          <w:rFonts w:ascii="Times New Roman" w:hAnsi="Times New Roman" w:cs="Times New Roman"/>
          <w:sz w:val="28"/>
          <w:szCs w:val="28"/>
          <w:lang w:val="en-US"/>
        </w:rPr>
        <w:t>24 564</w:t>
      </w:r>
      <w:r w:rsidR="00EC1AD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410AF2">
        <w:rPr>
          <w:rFonts w:ascii="Times New Roman" w:hAnsi="Times New Roman" w:cs="Times New Roman"/>
          <w:sz w:val="28"/>
          <w:szCs w:val="28"/>
          <w:lang w:val="en-US"/>
        </w:rPr>
        <w:t>July</w:t>
      </w:r>
      <w:r>
        <w:rPr>
          <w:rFonts w:ascii="Times New Roman" w:hAnsi="Times New Roman" w:cs="Times New Roman"/>
          <w:sz w:val="28"/>
          <w:szCs w:val="28"/>
          <w:lang w:val="en-US"/>
        </w:rPr>
        <w:t xml:space="preserve"> 2020, </w:t>
      </w:r>
      <w:r w:rsidR="00EB1D83" w:rsidRPr="00EB1D83">
        <w:rPr>
          <w:rFonts w:ascii="Times New Roman" w:hAnsi="Times New Roman" w:cs="Times New Roman"/>
          <w:sz w:val="28"/>
          <w:szCs w:val="28"/>
          <w:lang w:val="en-US"/>
        </w:rPr>
        <w:t>24 816</w:t>
      </w:r>
      <w:r w:rsidR="001248FB"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EB1D83">
        <w:rPr>
          <w:rFonts w:ascii="Times New Roman" w:hAnsi="Times New Roman" w:cs="Times New Roman"/>
          <w:sz w:val="28"/>
          <w:szCs w:val="28"/>
          <w:lang w:val="en-US"/>
        </w:rPr>
        <w:t>18 921</w:t>
      </w:r>
      <w:r w:rsidRPr="001E184B">
        <w:rPr>
          <w:rFonts w:ascii="Times New Roman" w:hAnsi="Times New Roman" w:cs="Times New Roman"/>
          <w:sz w:val="28"/>
          <w:szCs w:val="28"/>
          <w:lang w:val="en-US"/>
        </w:rPr>
        <w:t xml:space="preserve"> thousand tons were delivered to the domestic market of the Repu</w:t>
      </w:r>
      <w:r w:rsidR="00B47E62">
        <w:rPr>
          <w:rFonts w:ascii="Times New Roman" w:hAnsi="Times New Roman" w:cs="Times New Roman"/>
          <w:sz w:val="28"/>
          <w:szCs w:val="28"/>
          <w:lang w:val="en-US"/>
        </w:rPr>
        <w:t xml:space="preserve">blic of Kazakhstan, which is </w:t>
      </w:r>
      <w:r w:rsidR="00EB1D83">
        <w:rPr>
          <w:rFonts w:ascii="Times New Roman" w:hAnsi="Times New Roman" w:cs="Times New Roman"/>
          <w:sz w:val="28"/>
          <w:szCs w:val="28"/>
          <w:lang w:val="en-US"/>
        </w:rPr>
        <w:t>3.2</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EB1D83">
        <w:rPr>
          <w:rFonts w:ascii="Times New Roman" w:hAnsi="Times New Roman" w:cs="Times New Roman"/>
          <w:sz w:val="28"/>
          <w:szCs w:val="28"/>
          <w:lang w:val="en-US"/>
        </w:rPr>
        <w:t>18 338</w:t>
      </w:r>
      <w:r w:rsidR="0098244C">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EB1D83">
        <w:rPr>
          <w:rFonts w:ascii="Times New Roman" w:hAnsi="Times New Roman" w:cs="Times New Roman"/>
          <w:sz w:val="28"/>
          <w:szCs w:val="28"/>
          <w:lang w:val="en-US"/>
        </w:rPr>
        <w:t>5 894</w:t>
      </w:r>
      <w:r w:rsidRPr="001E184B">
        <w:rPr>
          <w:rFonts w:ascii="Times New Roman" w:hAnsi="Times New Roman" w:cs="Times New Roman"/>
          <w:sz w:val="28"/>
          <w:szCs w:val="28"/>
          <w:lang w:val="en-US"/>
        </w:rPr>
        <w:t xml:space="preserve"> million tons, which is </w:t>
      </w:r>
      <w:r w:rsidR="00EB1D83">
        <w:rPr>
          <w:rFonts w:ascii="Times New Roman" w:hAnsi="Times New Roman" w:cs="Times New Roman"/>
          <w:sz w:val="28"/>
          <w:szCs w:val="28"/>
          <w:lang w:val="en-US"/>
        </w:rPr>
        <w:t>3</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EB1D83">
        <w:rPr>
          <w:rFonts w:ascii="Times New Roman" w:hAnsi="Times New Roman" w:cs="Times New Roman"/>
          <w:sz w:val="28"/>
          <w:szCs w:val="28"/>
          <w:lang w:val="en-US"/>
        </w:rPr>
        <w:t>6 076</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410AF2">
              <w:rPr>
                <w:rFonts w:ascii="Times New Roman" w:hAnsi="Times New Roman" w:cs="Times New Roman"/>
                <w:b/>
                <w:sz w:val="24"/>
                <w:szCs w:val="24"/>
                <w:lang w:val="en-US"/>
              </w:rPr>
              <w:t>July</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410AF2">
              <w:rPr>
                <w:rFonts w:ascii="Times New Roman" w:hAnsi="Times New Roman" w:cs="Times New Roman"/>
                <w:b/>
                <w:sz w:val="24"/>
                <w:szCs w:val="24"/>
                <w:lang w:val="en-US"/>
              </w:rPr>
              <w:t>July</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5D2EF0" w:rsidRPr="00967209" w:rsidTr="0098244C">
        <w:trPr>
          <w:trHeight w:val="315"/>
        </w:trPr>
        <w:tc>
          <w:tcPr>
            <w:tcW w:w="4252" w:type="dxa"/>
            <w:gridSpan w:val="2"/>
            <w:shd w:val="clear" w:color="auto" w:fill="auto"/>
            <w:vAlign w:val="center"/>
          </w:tcPr>
          <w:p w:rsidR="005D2EF0" w:rsidRPr="0098244C" w:rsidRDefault="005D2EF0" w:rsidP="005D2EF0">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bottom"/>
          </w:tcPr>
          <w:p w:rsidR="005D2EF0" w:rsidRPr="00BE0F2B" w:rsidRDefault="005D2EF0" w:rsidP="005D2EF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18 338</w:t>
            </w:r>
          </w:p>
        </w:tc>
        <w:tc>
          <w:tcPr>
            <w:tcW w:w="1938" w:type="dxa"/>
            <w:shd w:val="clear" w:color="auto" w:fill="auto"/>
            <w:vAlign w:val="bottom"/>
          </w:tcPr>
          <w:p w:rsidR="005D2EF0" w:rsidRPr="00BE0F2B" w:rsidRDefault="005D2EF0" w:rsidP="005D2EF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18 921</w:t>
            </w:r>
          </w:p>
        </w:tc>
        <w:tc>
          <w:tcPr>
            <w:tcW w:w="1938" w:type="dxa"/>
            <w:shd w:val="clear" w:color="auto" w:fill="auto"/>
            <w:vAlign w:val="bottom"/>
          </w:tcPr>
          <w:p w:rsidR="005D2EF0" w:rsidRPr="00BE0F2B" w:rsidRDefault="005D2EF0" w:rsidP="005D2EF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103,2%</w:t>
            </w:r>
          </w:p>
        </w:tc>
      </w:tr>
      <w:tr w:rsidR="005D2EF0" w:rsidRPr="00967209" w:rsidTr="0098244C">
        <w:trPr>
          <w:trHeight w:val="315"/>
        </w:trPr>
        <w:tc>
          <w:tcPr>
            <w:tcW w:w="4252" w:type="dxa"/>
            <w:gridSpan w:val="2"/>
            <w:shd w:val="clear" w:color="auto" w:fill="auto"/>
            <w:vAlign w:val="center"/>
          </w:tcPr>
          <w:p w:rsidR="005D2EF0" w:rsidRPr="0098244C" w:rsidRDefault="005D2EF0" w:rsidP="005D2EF0">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5D2EF0" w:rsidRPr="00BE0F2B" w:rsidRDefault="005D2EF0" w:rsidP="005D2EF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6 076</w:t>
            </w:r>
          </w:p>
        </w:tc>
        <w:tc>
          <w:tcPr>
            <w:tcW w:w="1938" w:type="dxa"/>
            <w:shd w:val="clear" w:color="auto" w:fill="auto"/>
            <w:vAlign w:val="center"/>
          </w:tcPr>
          <w:p w:rsidR="005D2EF0" w:rsidRPr="00BE0F2B" w:rsidRDefault="005D2EF0" w:rsidP="005D2EF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5 894</w:t>
            </w:r>
          </w:p>
        </w:tc>
        <w:tc>
          <w:tcPr>
            <w:tcW w:w="1938" w:type="dxa"/>
            <w:shd w:val="clear" w:color="auto" w:fill="auto"/>
            <w:vAlign w:val="center"/>
          </w:tcPr>
          <w:p w:rsidR="005D2EF0" w:rsidRPr="00BE0F2B" w:rsidRDefault="005D2EF0" w:rsidP="005D2EF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97%</w:t>
            </w:r>
          </w:p>
        </w:tc>
      </w:tr>
    </w:tbl>
    <w:p w:rsidR="003F0FFA" w:rsidRPr="00F22FD5" w:rsidRDefault="003F0FFA" w:rsidP="00512A3A">
      <w:pPr>
        <w:pStyle w:val="a3"/>
        <w:spacing w:after="0" w:line="240" w:lineRule="auto"/>
        <w:ind w:left="0" w:firstLine="567"/>
        <w:jc w:val="both"/>
        <w:rPr>
          <w:rFonts w:ascii="Times New Roman" w:hAnsi="Times New Roman" w:cs="Times New Roman"/>
          <w:sz w:val="28"/>
          <w:szCs w:val="28"/>
          <w:lang w:val="en-US"/>
        </w:rPr>
      </w:pPr>
    </w:p>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w:t>
      </w:r>
      <w:r w:rsidR="00410AF2">
        <w:rPr>
          <w:rFonts w:ascii="Times New Roman" w:hAnsi="Times New Roman" w:cs="Times New Roman"/>
          <w:sz w:val="28"/>
          <w:szCs w:val="28"/>
          <w:lang w:val="en-US"/>
        </w:rPr>
        <w:t>July</w:t>
      </w:r>
      <w:r w:rsidRPr="0098244C">
        <w:rPr>
          <w:rFonts w:ascii="Times New Roman" w:hAnsi="Times New Roman" w:cs="Times New Roman"/>
          <w:sz w:val="28"/>
          <w:szCs w:val="28"/>
          <w:lang w:val="en-US"/>
        </w:rPr>
        <w:t xml:space="preserve"> 2020, as compared to the same period in 2019, the Company has seen an increase in coal sales</w:t>
      </w:r>
      <w:r w:rsidR="00F22FD5">
        <w:rPr>
          <w:rFonts w:ascii="Times New Roman" w:hAnsi="Times New Roman" w:cs="Times New Roman"/>
          <w:sz w:val="28"/>
          <w:szCs w:val="28"/>
          <w:lang w:val="en-US"/>
        </w:rPr>
        <w:t xml:space="preserve"> by </w:t>
      </w:r>
      <w:r w:rsidR="005D2EF0">
        <w:rPr>
          <w:rFonts w:ascii="Times New Roman" w:hAnsi="Times New Roman" w:cs="Times New Roman"/>
          <w:sz w:val="28"/>
          <w:szCs w:val="28"/>
          <w:lang w:val="en-US"/>
        </w:rPr>
        <w:t>1.6</w:t>
      </w:r>
      <w:r w:rsidR="00F22FD5">
        <w:rPr>
          <w:rFonts w:ascii="Times New Roman" w:hAnsi="Times New Roman" w:cs="Times New Roman"/>
          <w:sz w:val="28"/>
          <w:szCs w:val="28"/>
          <w:lang w:val="en-US"/>
        </w:rPr>
        <w:t>%</w:t>
      </w:r>
      <w:r w:rsidRPr="0098244C">
        <w:rPr>
          <w:rFonts w:ascii="Times New Roman" w:hAnsi="Times New Roman" w:cs="Times New Roman"/>
          <w:sz w:val="28"/>
          <w:szCs w:val="28"/>
          <w:lang w:val="en-US"/>
        </w:rPr>
        <w:t>.</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1"/>
      <w:bookmarkEnd w:id="22"/>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410AF2">
        <w:rPr>
          <w:rFonts w:ascii="Times New Roman" w:hAnsi="Times New Roman" w:cs="Times New Roman"/>
          <w:sz w:val="28"/>
          <w:lang w:val="en-US"/>
        </w:rPr>
        <w:t>July</w:t>
      </w:r>
      <w:r w:rsidRPr="001E184B">
        <w:rPr>
          <w:rFonts w:ascii="Times New Roman" w:hAnsi="Times New Roman" w:cs="Times New Roman"/>
          <w:sz w:val="28"/>
          <w:lang w:val="en-US"/>
        </w:rPr>
        <w:t xml:space="preserve"> 2020 amounted to </w:t>
      </w:r>
      <w:r w:rsidR="005D2EF0">
        <w:rPr>
          <w:rFonts w:ascii="Times New Roman" w:hAnsi="Times New Roman" w:cs="Times New Roman"/>
          <w:sz w:val="28"/>
          <w:lang w:val="en-US"/>
        </w:rPr>
        <w:t>1 784</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410AF2">
        <w:rPr>
          <w:rFonts w:ascii="Times New Roman" w:hAnsi="Times New Roman" w:cs="Times New Roman"/>
          <w:sz w:val="28"/>
          <w:lang w:val="en-US"/>
        </w:rPr>
        <w:t>July</w:t>
      </w:r>
      <w:r w:rsidRPr="00B47E62">
        <w:rPr>
          <w:rFonts w:ascii="Times New Roman" w:hAnsi="Times New Roman" w:cs="Times New Roman"/>
          <w:sz w:val="28"/>
          <w:lang w:val="en-US"/>
        </w:rPr>
        <w:t xml:space="preserve"> 2019 (</w:t>
      </w:r>
      <w:r w:rsidR="005D2EF0">
        <w:rPr>
          <w:rFonts w:ascii="Times New Roman" w:hAnsi="Times New Roman" w:cs="Times New Roman"/>
          <w:sz w:val="28"/>
          <w:lang w:val="en-US"/>
        </w:rPr>
        <w:t>1032.2</w:t>
      </w:r>
      <w:r w:rsidRPr="00B47E62">
        <w:rPr>
          <w:rFonts w:ascii="Times New Roman" w:hAnsi="Times New Roman" w:cs="Times New Roman"/>
          <w:sz w:val="28"/>
          <w:lang w:val="en-US"/>
        </w:rPr>
        <w:t xml:space="preserve"> million kWh), the increase was </w:t>
      </w:r>
      <w:r w:rsidR="005D2EF0">
        <w:rPr>
          <w:rFonts w:ascii="Times New Roman" w:hAnsi="Times New Roman" w:cs="Times New Roman"/>
          <w:sz w:val="28"/>
          <w:lang w:val="en-US"/>
        </w:rPr>
        <w:t>72</w:t>
      </w:r>
      <w:r w:rsidR="0098244C">
        <w:rPr>
          <w:rFonts w:ascii="Times New Roman" w:hAnsi="Times New Roman" w:cs="Times New Roman"/>
          <w:sz w:val="28"/>
          <w:lang w:val="en-US"/>
        </w:rPr>
        <w:t>.</w:t>
      </w:r>
      <w:r w:rsidR="006672F5">
        <w:rPr>
          <w:rFonts w:ascii="Times New Roman" w:hAnsi="Times New Roman" w:cs="Times New Roman"/>
          <w:sz w:val="28"/>
          <w:lang w:val="en-US"/>
        </w:rPr>
        <w:t>8</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991"/>
        <w:gridCol w:w="1190"/>
        <w:gridCol w:w="1503"/>
        <w:gridCol w:w="1301"/>
        <w:gridCol w:w="1503"/>
        <w:gridCol w:w="1037"/>
        <w:gridCol w:w="956"/>
      </w:tblGrid>
      <w:tr w:rsidR="001248FB" w:rsidRPr="006672F5" w:rsidTr="00B47E6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0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B47E6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190"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410AF2">
              <w:rPr>
                <w:rFonts w:ascii="Times New Roman" w:hAnsi="Times New Roman" w:cs="Times New Roman"/>
                <w:b/>
                <w:bCs/>
                <w:sz w:val="24"/>
                <w:szCs w:val="24"/>
                <w:lang w:val="en-US"/>
              </w:rPr>
              <w:t>July</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410AF2">
              <w:rPr>
                <w:rFonts w:ascii="Times New Roman" w:hAnsi="Times New Roman" w:cs="Times New Roman"/>
                <w:b/>
                <w:bCs/>
                <w:sz w:val="24"/>
                <w:szCs w:val="24"/>
                <w:lang w:val="en-US"/>
              </w:rPr>
              <w:t>July</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5D2EF0"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sz w:val="24"/>
                <w:lang w:eastAsia="ru-RU"/>
              </w:rPr>
            </w:pPr>
          </w:p>
        </w:tc>
        <w:tc>
          <w:tcPr>
            <w:tcW w:w="1991" w:type="dxa"/>
            <w:tcBorders>
              <w:top w:val="nil"/>
              <w:left w:val="nil"/>
              <w:bottom w:val="single" w:sz="4" w:space="0" w:color="auto"/>
              <w:right w:val="single" w:sz="4" w:space="0" w:color="auto"/>
            </w:tcBorders>
            <w:shd w:val="clear" w:color="auto" w:fill="auto"/>
            <w:vAlign w:val="bottom"/>
            <w:hideMark/>
          </w:tcPr>
          <w:p w:rsidR="005D2EF0" w:rsidRPr="001E184B" w:rsidRDefault="005D2EF0" w:rsidP="005D2EF0">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90"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60425,7</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100%</w:t>
            </w:r>
          </w:p>
        </w:tc>
        <w:tc>
          <w:tcPr>
            <w:tcW w:w="1301" w:type="dxa"/>
            <w:tcBorders>
              <w:top w:val="nil"/>
              <w:left w:val="nil"/>
              <w:bottom w:val="single" w:sz="4" w:space="0" w:color="auto"/>
              <w:right w:val="single" w:sz="4" w:space="0" w:color="auto"/>
            </w:tcBorders>
            <w:shd w:val="clear" w:color="auto" w:fill="auto"/>
            <w:vAlign w:val="center"/>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61472,8</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100,0%</w:t>
            </w:r>
          </w:p>
        </w:tc>
        <w:tc>
          <w:tcPr>
            <w:tcW w:w="103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1047,1</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r>
      <w:tr w:rsidR="005D2EF0"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991" w:type="dxa"/>
            <w:tcBorders>
              <w:top w:val="nil"/>
              <w:left w:val="nil"/>
              <w:bottom w:val="single" w:sz="4" w:space="0" w:color="auto"/>
              <w:right w:val="single" w:sz="4" w:space="0" w:color="auto"/>
            </w:tcBorders>
            <w:shd w:val="clear" w:color="auto" w:fill="auto"/>
            <w:vAlign w:val="bottom"/>
            <w:hideMark/>
          </w:tcPr>
          <w:p w:rsidR="005D2EF0" w:rsidRPr="001E184B" w:rsidRDefault="005D2EF0" w:rsidP="005D2EF0">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w:t>
            </w:r>
            <w:r w:rsidRPr="001E184B">
              <w:rPr>
                <w:rFonts w:ascii="Times New Roman" w:eastAsia="Times New Roman" w:hAnsi="Times New Roman" w:cs="Times New Roman"/>
                <w:b/>
                <w:bCs/>
                <w:sz w:val="24"/>
                <w:lang w:val="en-US" w:eastAsia="ru-RU"/>
              </w:rPr>
              <w:lastRenderedPageBreak/>
              <w:t xml:space="preserve">Republic of Kazakhstan, including by zones </w:t>
            </w:r>
          </w:p>
        </w:tc>
        <w:tc>
          <w:tcPr>
            <w:tcW w:w="1190"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lastRenderedPageBreak/>
              <w:t>1032,2</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c>
          <w:tcPr>
            <w:tcW w:w="1301"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1784,0</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2,9%</w:t>
            </w:r>
          </w:p>
        </w:tc>
        <w:tc>
          <w:tcPr>
            <w:tcW w:w="103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751,8</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72,8%</w:t>
            </w:r>
          </w:p>
        </w:tc>
      </w:tr>
      <w:tr w:rsidR="005D2EF0"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lastRenderedPageBreak/>
              <w:t>1.</w:t>
            </w:r>
          </w:p>
        </w:tc>
        <w:tc>
          <w:tcPr>
            <w:tcW w:w="1991" w:type="dxa"/>
            <w:tcBorders>
              <w:top w:val="nil"/>
              <w:left w:val="nil"/>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278,7</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27,0%</w:t>
            </w:r>
          </w:p>
        </w:tc>
        <w:tc>
          <w:tcPr>
            <w:tcW w:w="1301"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617,6</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34,6%</w:t>
            </w:r>
          </w:p>
        </w:tc>
        <w:tc>
          <w:tcPr>
            <w:tcW w:w="1037"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338,9</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121,6%</w:t>
            </w:r>
          </w:p>
        </w:tc>
      </w:tr>
      <w:tr w:rsidR="005D2EF0"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622,4</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60,3%</w:t>
            </w:r>
          </w:p>
        </w:tc>
        <w:tc>
          <w:tcPr>
            <w:tcW w:w="1301"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943,9</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52,9%</w:t>
            </w:r>
          </w:p>
        </w:tc>
        <w:tc>
          <w:tcPr>
            <w:tcW w:w="1037"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321,5</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51,7%</w:t>
            </w:r>
          </w:p>
        </w:tc>
      </w:tr>
      <w:tr w:rsidR="005D2EF0"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nil"/>
              <w:left w:val="nil"/>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131,1</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0,0%</w:t>
            </w:r>
          </w:p>
        </w:tc>
        <w:tc>
          <w:tcPr>
            <w:tcW w:w="1301"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222,5</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12,5%</w:t>
            </w:r>
          </w:p>
        </w:tc>
        <w:tc>
          <w:tcPr>
            <w:tcW w:w="1037"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91,4</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0,0%</w:t>
            </w:r>
          </w:p>
        </w:tc>
      </w:tr>
      <w:tr w:rsidR="005D2EF0"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991" w:type="dxa"/>
            <w:tcBorders>
              <w:top w:val="nil"/>
              <w:left w:val="nil"/>
              <w:bottom w:val="single" w:sz="4" w:space="0" w:color="auto"/>
              <w:right w:val="single" w:sz="4" w:space="0" w:color="auto"/>
            </w:tcBorders>
            <w:shd w:val="clear" w:color="auto" w:fill="auto"/>
            <w:vAlign w:val="bottom"/>
            <w:hideMark/>
          </w:tcPr>
          <w:p w:rsidR="005D2EF0" w:rsidRPr="001E184B" w:rsidRDefault="005D2EF0" w:rsidP="005D2EF0">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190"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1032,2</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c>
          <w:tcPr>
            <w:tcW w:w="1301"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1784,0</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2,9%</w:t>
            </w:r>
          </w:p>
        </w:tc>
        <w:tc>
          <w:tcPr>
            <w:tcW w:w="103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751,8</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72,8%</w:t>
            </w:r>
          </w:p>
        </w:tc>
      </w:tr>
      <w:tr w:rsidR="005D2EF0"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9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194,0</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18,8%</w:t>
            </w:r>
          </w:p>
        </w:tc>
        <w:tc>
          <w:tcPr>
            <w:tcW w:w="1301"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802,2</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45,0%</w:t>
            </w:r>
          </w:p>
        </w:tc>
        <w:tc>
          <w:tcPr>
            <w:tcW w:w="1037"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608,2</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313,5%</w:t>
            </w:r>
          </w:p>
        </w:tc>
      </w:tr>
      <w:tr w:rsidR="005D2EF0"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5D2EF0" w:rsidRPr="00D23157" w:rsidRDefault="005D2EF0" w:rsidP="005D2EF0">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9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349,5</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33,9%</w:t>
            </w:r>
          </w:p>
        </w:tc>
        <w:tc>
          <w:tcPr>
            <w:tcW w:w="1301"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559,7</w:t>
            </w:r>
          </w:p>
        </w:tc>
        <w:tc>
          <w:tcPr>
            <w:tcW w:w="150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31,4%</w:t>
            </w:r>
          </w:p>
        </w:tc>
        <w:tc>
          <w:tcPr>
            <w:tcW w:w="1037"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210,2</w:t>
            </w:r>
          </w:p>
        </w:tc>
        <w:tc>
          <w:tcPr>
            <w:tcW w:w="95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60,1%</w:t>
            </w:r>
          </w:p>
        </w:tc>
      </w:tr>
      <w:tr w:rsidR="005D2EF0"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486,7</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47,2%</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419,5</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23,5%</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-67,2</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-13,8%</w:t>
            </w:r>
          </w:p>
        </w:tc>
      </w:tr>
      <w:tr w:rsidR="005D2EF0"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5D2EF0" w:rsidRPr="00967209" w:rsidRDefault="005D2EF0" w:rsidP="005D2EF0">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991" w:type="dxa"/>
            <w:tcBorders>
              <w:top w:val="single" w:sz="4" w:space="0" w:color="auto"/>
              <w:left w:val="nil"/>
              <w:bottom w:val="single" w:sz="4" w:space="0" w:color="auto"/>
              <w:right w:val="single" w:sz="4" w:space="0" w:color="auto"/>
            </w:tcBorders>
            <w:shd w:val="clear" w:color="auto" w:fill="auto"/>
            <w:vAlign w:val="bottom"/>
          </w:tcPr>
          <w:p w:rsidR="005D2EF0" w:rsidRPr="00967209" w:rsidRDefault="005D2EF0" w:rsidP="005D2EF0">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2,0</w:t>
            </w:r>
          </w:p>
        </w:tc>
        <w:tc>
          <w:tcPr>
            <w:tcW w:w="1503" w:type="dxa"/>
            <w:tcBorders>
              <w:top w:val="single" w:sz="4" w:space="0" w:color="auto"/>
              <w:left w:val="nil"/>
              <w:bottom w:val="single" w:sz="4" w:space="0" w:color="auto"/>
              <w:right w:val="single" w:sz="4" w:space="0" w:color="auto"/>
            </w:tcBorders>
            <w:shd w:val="clear" w:color="auto" w:fill="auto"/>
            <w:vAlign w:val="bottom"/>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0,2%</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2,6</w:t>
            </w:r>
          </w:p>
        </w:tc>
        <w:tc>
          <w:tcPr>
            <w:tcW w:w="1503" w:type="dxa"/>
            <w:tcBorders>
              <w:top w:val="single" w:sz="4" w:space="0" w:color="auto"/>
              <w:left w:val="nil"/>
              <w:bottom w:val="single" w:sz="4" w:space="0" w:color="auto"/>
              <w:right w:val="single" w:sz="4" w:space="0" w:color="auto"/>
            </w:tcBorders>
            <w:shd w:val="clear" w:color="auto" w:fill="auto"/>
            <w:vAlign w:val="bottom"/>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0,6</w:t>
            </w:r>
          </w:p>
        </w:tc>
        <w:tc>
          <w:tcPr>
            <w:tcW w:w="956" w:type="dxa"/>
            <w:tcBorders>
              <w:top w:val="single" w:sz="4" w:space="0" w:color="auto"/>
              <w:left w:val="nil"/>
              <w:bottom w:val="single" w:sz="4" w:space="0" w:color="auto"/>
              <w:right w:val="single" w:sz="4" w:space="0" w:color="auto"/>
            </w:tcBorders>
            <w:shd w:val="clear" w:color="auto" w:fill="auto"/>
            <w:vAlign w:val="bottom"/>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0,0%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410AF2">
        <w:rPr>
          <w:rFonts w:ascii="Times New Roman" w:hAnsi="Times New Roman" w:cs="Times New Roman"/>
          <w:sz w:val="28"/>
          <w:lang w:val="en-US"/>
        </w:rPr>
        <w:t>July</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21"/>
        <w:gridCol w:w="2966"/>
        <w:gridCol w:w="1113"/>
        <w:gridCol w:w="1396"/>
        <w:gridCol w:w="1113"/>
        <w:gridCol w:w="1396"/>
        <w:gridCol w:w="922"/>
        <w:gridCol w:w="957"/>
      </w:tblGrid>
      <w:tr w:rsidR="001248FB" w:rsidRPr="00967209" w:rsidTr="00B11F8C">
        <w:trPr>
          <w:trHeight w:val="28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79"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B11F8C">
        <w:trPr>
          <w:trHeight w:val="57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410AF2">
              <w:rPr>
                <w:rFonts w:ascii="Times New Roman" w:hAnsi="Times New Roman" w:cs="Times New Roman"/>
                <w:b/>
                <w:bCs/>
                <w:lang w:val="en-US"/>
              </w:rPr>
              <w:t>July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410AF2">
              <w:rPr>
                <w:rFonts w:ascii="Times New Roman" w:hAnsi="Times New Roman" w:cs="Times New Roman"/>
                <w:b/>
                <w:bCs/>
                <w:lang w:val="en-US"/>
              </w:rPr>
              <w:t>July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2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5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5D2EF0" w:rsidRPr="00967209" w:rsidTr="00B11F8C">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rPr>
                <w:rFonts w:ascii="Times New Roman" w:eastAsia="Times New Roman" w:hAnsi="Times New Roman" w:cs="Times New Roman"/>
                <w:b/>
                <w:i/>
                <w:lang w:eastAsia="ru-RU"/>
              </w:rPr>
            </w:pPr>
          </w:p>
        </w:tc>
        <w:tc>
          <w:tcPr>
            <w:tcW w:w="2966" w:type="dxa"/>
            <w:tcBorders>
              <w:top w:val="nil"/>
              <w:left w:val="nil"/>
              <w:bottom w:val="single" w:sz="4" w:space="0" w:color="auto"/>
              <w:right w:val="single" w:sz="4" w:space="0" w:color="auto"/>
            </w:tcBorders>
            <w:shd w:val="clear" w:color="auto" w:fill="auto"/>
            <w:vAlign w:val="bottom"/>
            <w:hideMark/>
          </w:tcPr>
          <w:p w:rsidR="005D2EF0" w:rsidRPr="001E184B" w:rsidRDefault="005D2EF0" w:rsidP="005D2EF0">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60425,7</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100,0%</w:t>
            </w:r>
          </w:p>
        </w:tc>
        <w:tc>
          <w:tcPr>
            <w:tcW w:w="111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61472,8</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100%</w:t>
            </w:r>
          </w:p>
        </w:tc>
        <w:tc>
          <w:tcPr>
            <w:tcW w:w="922"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1047,1</w:t>
            </w:r>
          </w:p>
        </w:tc>
        <w:tc>
          <w:tcPr>
            <w:tcW w:w="95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r>
      <w:tr w:rsidR="005D2EF0" w:rsidRPr="00967209" w:rsidTr="00B11F8C">
        <w:trPr>
          <w:trHeight w:val="7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D2EF0" w:rsidRPr="00967209" w:rsidRDefault="005D2EF0" w:rsidP="005D2EF0">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966" w:type="dxa"/>
            <w:tcBorders>
              <w:top w:val="nil"/>
              <w:left w:val="nil"/>
              <w:bottom w:val="single" w:sz="4" w:space="0" w:color="auto"/>
              <w:right w:val="single" w:sz="4" w:space="0" w:color="auto"/>
            </w:tcBorders>
            <w:shd w:val="clear" w:color="auto" w:fill="auto"/>
            <w:hideMark/>
          </w:tcPr>
          <w:p w:rsidR="005D2EF0" w:rsidRPr="001E184B" w:rsidRDefault="005D2EF0" w:rsidP="005D2EF0">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6338,2</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10,5%</w:t>
            </w:r>
          </w:p>
        </w:tc>
        <w:tc>
          <w:tcPr>
            <w:tcW w:w="111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1701,6</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2,8%</w:t>
            </w:r>
          </w:p>
        </w:tc>
        <w:tc>
          <w:tcPr>
            <w:tcW w:w="922"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-4636,6</w:t>
            </w:r>
          </w:p>
        </w:tc>
        <w:tc>
          <w:tcPr>
            <w:tcW w:w="95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-73,2%</w:t>
            </w:r>
          </w:p>
        </w:tc>
      </w:tr>
      <w:tr w:rsidR="005D2EF0" w:rsidRPr="00967209" w:rsidTr="00B11F8C">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D2EF0" w:rsidRPr="00967209" w:rsidRDefault="005D2EF0" w:rsidP="005D2EF0">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966" w:type="dxa"/>
            <w:tcBorders>
              <w:top w:val="nil"/>
              <w:left w:val="nil"/>
              <w:bottom w:val="single" w:sz="4" w:space="0" w:color="auto"/>
              <w:right w:val="single" w:sz="4" w:space="0" w:color="auto"/>
            </w:tcBorders>
            <w:shd w:val="clear" w:color="auto" w:fill="auto"/>
            <w:hideMark/>
          </w:tcPr>
          <w:p w:rsidR="005D2EF0" w:rsidRPr="001E184B" w:rsidRDefault="005D2EF0" w:rsidP="005D2EF0">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1032,200</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1,7%</w:t>
            </w:r>
          </w:p>
        </w:tc>
        <w:tc>
          <w:tcPr>
            <w:tcW w:w="1113"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1784,0</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2,9%</w:t>
            </w:r>
          </w:p>
        </w:tc>
        <w:tc>
          <w:tcPr>
            <w:tcW w:w="922"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751,8</w:t>
            </w:r>
          </w:p>
        </w:tc>
        <w:tc>
          <w:tcPr>
            <w:tcW w:w="95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72,8%</w:t>
            </w:r>
          </w:p>
        </w:tc>
      </w:tr>
    </w:tbl>
    <w:p w:rsidR="001248FB" w:rsidRPr="00967209" w:rsidRDefault="001248FB" w:rsidP="001248FB">
      <w:pPr>
        <w:spacing w:after="0" w:line="240" w:lineRule="auto"/>
        <w:rPr>
          <w:rFonts w:ascii="Times New Roman" w:hAnsi="Times New Roman" w:cs="Times New Roman"/>
          <w:sz w:val="24"/>
        </w:rPr>
      </w:pPr>
    </w:p>
    <w:p w:rsidR="005D2EF0" w:rsidRPr="005D2EF0" w:rsidRDefault="005D2EF0" w:rsidP="005D2EF0">
      <w:pPr>
        <w:spacing w:after="0" w:line="240" w:lineRule="auto"/>
        <w:ind w:firstLine="708"/>
        <w:jc w:val="both"/>
        <w:rPr>
          <w:rFonts w:ascii="Times New Roman" w:hAnsi="Times New Roman" w:cs="Times New Roman"/>
          <w:sz w:val="28"/>
          <w:lang w:val="en-US"/>
        </w:rPr>
      </w:pPr>
      <w:proofErr w:type="gramStart"/>
      <w:r w:rsidRPr="005D2EF0">
        <w:rPr>
          <w:rFonts w:ascii="Times New Roman" w:hAnsi="Times New Roman" w:cs="Times New Roman"/>
          <w:sz w:val="28"/>
          <w:lang w:val="en-US"/>
        </w:rPr>
        <w:t xml:space="preserve">Electricity generation by RES facilities of </w:t>
      </w:r>
      <w:proofErr w:type="spellStart"/>
      <w:r w:rsidRPr="005D2EF0">
        <w:rPr>
          <w:rFonts w:ascii="Times New Roman" w:hAnsi="Times New Roman" w:cs="Times New Roman"/>
          <w:sz w:val="28"/>
          <w:lang w:val="en-US"/>
        </w:rPr>
        <w:t>Samruk</w:t>
      </w:r>
      <w:proofErr w:type="spellEnd"/>
      <w:r w:rsidRPr="005D2EF0">
        <w:rPr>
          <w:rFonts w:ascii="Times New Roman" w:hAnsi="Times New Roman" w:cs="Times New Roman"/>
          <w:sz w:val="28"/>
          <w:lang w:val="en-US"/>
        </w:rPr>
        <w:t xml:space="preserve">-Energy JSC (SES, WES, small HPPs) in January-July 2020 amounted to 191.5 </w:t>
      </w:r>
      <w:proofErr w:type="spellStart"/>
      <w:r w:rsidRPr="005D2EF0">
        <w:rPr>
          <w:rFonts w:ascii="Times New Roman" w:hAnsi="Times New Roman" w:cs="Times New Roman"/>
          <w:sz w:val="28"/>
          <w:lang w:val="en-US"/>
        </w:rPr>
        <w:t>mln</w:t>
      </w:r>
      <w:proofErr w:type="spellEnd"/>
      <w:r w:rsidRPr="005D2EF0">
        <w:rPr>
          <w:rFonts w:ascii="Times New Roman" w:hAnsi="Times New Roman" w:cs="Times New Roman"/>
          <w:sz w:val="28"/>
          <w:lang w:val="en-US"/>
        </w:rPr>
        <w:t xml:space="preserve"> kWh or 10.7% of the total volume of electricity generated by RES facilities, which is lower by -4.3% compared to the same period of 2019 (in January-July 2019, RES generation of the Company amounted to 200.2 </w:t>
      </w:r>
      <w:proofErr w:type="spellStart"/>
      <w:r w:rsidRPr="005D2EF0">
        <w:rPr>
          <w:rFonts w:ascii="Times New Roman" w:hAnsi="Times New Roman" w:cs="Times New Roman"/>
          <w:sz w:val="28"/>
          <w:lang w:val="en-US"/>
        </w:rPr>
        <w:t>mln</w:t>
      </w:r>
      <w:proofErr w:type="spellEnd"/>
      <w:r w:rsidRPr="005D2EF0">
        <w:rPr>
          <w:rFonts w:ascii="Times New Roman" w:hAnsi="Times New Roman" w:cs="Times New Roman"/>
          <w:sz w:val="28"/>
          <w:lang w:val="en-US"/>
        </w:rPr>
        <w:t xml:space="preserve"> kWh, and the share of RES of the Company was 19.4%).</w:t>
      </w:r>
      <w:proofErr w:type="gramEnd"/>
    </w:p>
    <w:p w:rsidR="005D2EF0" w:rsidRPr="005D2EF0" w:rsidRDefault="005D2EF0" w:rsidP="005D2EF0">
      <w:pPr>
        <w:spacing w:after="0" w:line="240" w:lineRule="auto"/>
        <w:ind w:firstLine="708"/>
        <w:jc w:val="both"/>
        <w:rPr>
          <w:rFonts w:ascii="Times New Roman" w:hAnsi="Times New Roman" w:cs="Times New Roman"/>
          <w:sz w:val="28"/>
          <w:lang w:val="en-US"/>
        </w:rPr>
      </w:pPr>
      <w:r w:rsidRPr="005D2EF0">
        <w:rPr>
          <w:rFonts w:ascii="Times New Roman" w:hAnsi="Times New Roman" w:cs="Times New Roman"/>
          <w:sz w:val="28"/>
          <w:lang w:val="en-US"/>
        </w:rPr>
        <w:t xml:space="preserve">The main decrease in the share of the Company's RES power generation is the commissioning of new RES capacities in the </w:t>
      </w:r>
      <w:proofErr w:type="spellStart"/>
      <w:r w:rsidRPr="005D2EF0">
        <w:rPr>
          <w:rFonts w:ascii="Times New Roman" w:hAnsi="Times New Roman" w:cs="Times New Roman"/>
          <w:sz w:val="28"/>
          <w:lang w:val="en-US"/>
        </w:rPr>
        <w:t>RoK</w:t>
      </w:r>
      <w:proofErr w:type="spellEnd"/>
      <w:r w:rsidRPr="005D2EF0">
        <w:rPr>
          <w:rFonts w:ascii="Times New Roman" w:hAnsi="Times New Roman" w:cs="Times New Roman"/>
          <w:sz w:val="28"/>
          <w:lang w:val="en-US"/>
        </w:rPr>
        <w:t>.</w:t>
      </w:r>
    </w:p>
    <w:p w:rsidR="001248FB" w:rsidRPr="003A1A53" w:rsidRDefault="005D2EF0" w:rsidP="005D2EF0">
      <w:pPr>
        <w:spacing w:after="0" w:line="240" w:lineRule="auto"/>
        <w:ind w:firstLine="708"/>
        <w:jc w:val="both"/>
        <w:rPr>
          <w:rFonts w:ascii="Times New Roman" w:hAnsi="Times New Roman" w:cs="Times New Roman"/>
          <w:sz w:val="28"/>
          <w:lang w:val="en-US"/>
        </w:rPr>
      </w:pPr>
      <w:r w:rsidRPr="005D2EF0">
        <w:rPr>
          <w:rFonts w:ascii="Times New Roman" w:hAnsi="Times New Roman" w:cs="Times New Roman"/>
          <w:sz w:val="28"/>
          <w:lang w:val="en-US"/>
        </w:rPr>
        <w:t xml:space="preserve">The Company's share in the production of "clean" electricity (SES, WES, small and large HPPs) for January-July 2020 decreased by -4.2% (1,701.6 </w:t>
      </w:r>
      <w:proofErr w:type="spellStart"/>
      <w:r w:rsidRPr="005D2EF0">
        <w:rPr>
          <w:rFonts w:ascii="Times New Roman" w:hAnsi="Times New Roman" w:cs="Times New Roman"/>
          <w:sz w:val="28"/>
          <w:lang w:val="en-US"/>
        </w:rPr>
        <w:t>mln</w:t>
      </w:r>
      <w:proofErr w:type="spellEnd"/>
      <w:r w:rsidRPr="005D2EF0">
        <w:rPr>
          <w:rFonts w:ascii="Times New Roman" w:hAnsi="Times New Roman" w:cs="Times New Roman"/>
          <w:sz w:val="28"/>
          <w:lang w:val="en-US"/>
        </w:rPr>
        <w:t xml:space="preserve"> kWh) compared to the same period of 2019. (1,776.4 </w:t>
      </w:r>
      <w:proofErr w:type="spellStart"/>
      <w:r w:rsidRPr="005D2EF0">
        <w:rPr>
          <w:rFonts w:ascii="Times New Roman" w:hAnsi="Times New Roman" w:cs="Times New Roman"/>
          <w:sz w:val="28"/>
          <w:lang w:val="en-US"/>
        </w:rPr>
        <w:t>mln</w:t>
      </w:r>
      <w:proofErr w:type="spellEnd"/>
      <w:r w:rsidRPr="005D2EF0">
        <w:rPr>
          <w:rFonts w:ascii="Times New Roman" w:hAnsi="Times New Roman" w:cs="Times New Roman"/>
          <w:sz w:val="28"/>
          <w:lang w:val="en-US"/>
        </w:rPr>
        <w:t xml:space="preserve"> kWh).</w:t>
      </w: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3A1A5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3A1A5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410AF2">
              <w:rPr>
                <w:rFonts w:ascii="Times New Roman" w:hAnsi="Times New Roman" w:cs="Times New Roman"/>
                <w:b/>
                <w:bCs/>
                <w:lang w:val="en-US"/>
              </w:rPr>
              <w:t>July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410AF2">
              <w:rPr>
                <w:rFonts w:ascii="Times New Roman" w:hAnsi="Times New Roman" w:cs="Times New Roman"/>
                <w:b/>
                <w:bCs/>
                <w:lang w:val="en-US"/>
              </w:rPr>
              <w:t>July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6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5D2EF0" w:rsidRPr="00967209" w:rsidTr="0098244C">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D2EF0" w:rsidRPr="00967209" w:rsidRDefault="005D2EF0" w:rsidP="005D2EF0">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810" w:type="dxa"/>
            <w:tcBorders>
              <w:top w:val="nil"/>
              <w:left w:val="nil"/>
              <w:bottom w:val="single" w:sz="4" w:space="0" w:color="auto"/>
              <w:right w:val="single" w:sz="4" w:space="0" w:color="auto"/>
            </w:tcBorders>
            <w:shd w:val="clear" w:color="auto" w:fill="auto"/>
            <w:hideMark/>
          </w:tcPr>
          <w:p w:rsidR="005D2EF0" w:rsidRPr="001E184B" w:rsidRDefault="005D2EF0" w:rsidP="005D2EF0">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1776,4</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28,0%</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1701,6</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-74,8</w:t>
            </w:r>
          </w:p>
        </w:tc>
        <w:tc>
          <w:tcPr>
            <w:tcW w:w="86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-4,2%</w:t>
            </w:r>
          </w:p>
        </w:tc>
      </w:tr>
      <w:tr w:rsidR="005D2EF0" w:rsidRPr="00967209" w:rsidTr="0098244C">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D2EF0" w:rsidRPr="00967209" w:rsidRDefault="005D2EF0" w:rsidP="005D2EF0">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810" w:type="dxa"/>
            <w:tcBorders>
              <w:top w:val="nil"/>
              <w:left w:val="nil"/>
              <w:bottom w:val="single" w:sz="4" w:space="0" w:color="auto"/>
              <w:right w:val="single" w:sz="4" w:space="0" w:color="auto"/>
            </w:tcBorders>
            <w:shd w:val="clear" w:color="auto" w:fill="auto"/>
            <w:hideMark/>
          </w:tcPr>
          <w:p w:rsidR="005D2EF0" w:rsidRPr="001E184B" w:rsidRDefault="005D2EF0" w:rsidP="005D2EF0">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200,2</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19,4%</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191,5</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10,7%</w:t>
            </w:r>
          </w:p>
        </w:tc>
        <w:tc>
          <w:tcPr>
            <w:tcW w:w="96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-8,7</w:t>
            </w:r>
          </w:p>
        </w:tc>
        <w:tc>
          <w:tcPr>
            <w:tcW w:w="86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rPr>
            </w:pPr>
            <w:r w:rsidRPr="00BE0F2B">
              <w:rPr>
                <w:rFonts w:ascii="Times New Roman" w:hAnsi="Times New Roman" w:cs="Times New Roman"/>
              </w:rPr>
              <w:t>-4,3%</w:t>
            </w:r>
          </w:p>
        </w:tc>
      </w:tr>
      <w:tr w:rsidR="005D2EF0"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D2EF0" w:rsidRPr="00967209" w:rsidRDefault="005D2EF0" w:rsidP="005D2EF0">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810" w:type="dxa"/>
            <w:tcBorders>
              <w:top w:val="nil"/>
              <w:left w:val="nil"/>
              <w:bottom w:val="single" w:sz="4" w:space="0" w:color="auto"/>
              <w:right w:val="single" w:sz="4" w:space="0" w:color="auto"/>
            </w:tcBorders>
            <w:shd w:val="clear" w:color="auto" w:fill="auto"/>
            <w:vAlign w:val="bottom"/>
            <w:hideMark/>
          </w:tcPr>
          <w:p w:rsidR="005D2EF0" w:rsidRPr="001E184B" w:rsidRDefault="005D2EF0" w:rsidP="005D2EF0">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112,0</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10,9%</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96,4</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5,4%</w:t>
            </w:r>
          </w:p>
        </w:tc>
        <w:tc>
          <w:tcPr>
            <w:tcW w:w="96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-15,6</w:t>
            </w:r>
          </w:p>
        </w:tc>
        <w:tc>
          <w:tcPr>
            <w:tcW w:w="86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-13,9%</w:t>
            </w:r>
          </w:p>
        </w:tc>
      </w:tr>
      <w:tr w:rsidR="005D2EF0"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D2EF0" w:rsidRPr="00967209" w:rsidRDefault="005D2EF0" w:rsidP="005D2EF0">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810" w:type="dxa"/>
            <w:tcBorders>
              <w:top w:val="nil"/>
              <w:left w:val="nil"/>
              <w:bottom w:val="single" w:sz="4" w:space="0" w:color="auto"/>
              <w:right w:val="single" w:sz="4" w:space="0" w:color="auto"/>
            </w:tcBorders>
            <w:shd w:val="clear" w:color="auto" w:fill="auto"/>
            <w:vAlign w:val="bottom"/>
            <w:hideMark/>
          </w:tcPr>
          <w:p w:rsidR="005D2EF0" w:rsidRPr="00967209" w:rsidRDefault="005D2EF0" w:rsidP="005D2EF0">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2,1</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2,4</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0,3</w:t>
            </w:r>
          </w:p>
        </w:tc>
        <w:tc>
          <w:tcPr>
            <w:tcW w:w="86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14,7%</w:t>
            </w:r>
          </w:p>
        </w:tc>
      </w:tr>
      <w:tr w:rsidR="005D2EF0" w:rsidRPr="00967209" w:rsidTr="0098244C">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D2EF0" w:rsidRPr="00967209" w:rsidRDefault="005D2EF0" w:rsidP="005D2EF0">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810" w:type="dxa"/>
            <w:tcBorders>
              <w:top w:val="nil"/>
              <w:left w:val="nil"/>
              <w:bottom w:val="single" w:sz="4" w:space="0" w:color="auto"/>
              <w:right w:val="single" w:sz="4" w:space="0" w:color="auto"/>
            </w:tcBorders>
            <w:shd w:val="clear" w:color="auto" w:fill="auto"/>
            <w:vAlign w:val="bottom"/>
            <w:hideMark/>
          </w:tcPr>
          <w:p w:rsidR="005D2EF0" w:rsidRPr="001E184B" w:rsidRDefault="005D2EF0" w:rsidP="005D2EF0">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86,1</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8,3%</w:t>
            </w:r>
          </w:p>
        </w:tc>
        <w:tc>
          <w:tcPr>
            <w:tcW w:w="1114"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92,7</w:t>
            </w:r>
          </w:p>
        </w:tc>
        <w:tc>
          <w:tcPr>
            <w:tcW w:w="1396"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5,2%</w:t>
            </w:r>
          </w:p>
        </w:tc>
        <w:tc>
          <w:tcPr>
            <w:tcW w:w="960" w:type="dxa"/>
            <w:tcBorders>
              <w:top w:val="nil"/>
              <w:left w:val="nil"/>
              <w:bottom w:val="single" w:sz="4" w:space="0" w:color="auto"/>
              <w:right w:val="single" w:sz="4" w:space="0" w:color="auto"/>
            </w:tcBorders>
            <w:shd w:val="clear" w:color="000000" w:fill="FFFFFF"/>
            <w:noWrap/>
            <w:vAlign w:val="bottom"/>
            <w:hideMark/>
          </w:tcPr>
          <w:p w:rsidR="005D2EF0" w:rsidRPr="00BE0F2B" w:rsidRDefault="005D2EF0" w:rsidP="005D2EF0">
            <w:pPr>
              <w:spacing w:after="0" w:line="240" w:lineRule="auto"/>
              <w:jc w:val="right"/>
              <w:rPr>
                <w:rFonts w:ascii="Times New Roman" w:hAnsi="Times New Roman" w:cs="Times New Roman"/>
                <w:i/>
                <w:iCs/>
              </w:rPr>
            </w:pPr>
            <w:r w:rsidRPr="00BE0F2B">
              <w:rPr>
                <w:rFonts w:ascii="Times New Roman" w:hAnsi="Times New Roman" w:cs="Times New Roman"/>
                <w:i/>
                <w:iCs/>
              </w:rPr>
              <w:t>6,6</w:t>
            </w:r>
          </w:p>
        </w:tc>
        <w:tc>
          <w:tcPr>
            <w:tcW w:w="867" w:type="dxa"/>
            <w:tcBorders>
              <w:top w:val="nil"/>
              <w:left w:val="nil"/>
              <w:bottom w:val="single" w:sz="4" w:space="0" w:color="auto"/>
              <w:right w:val="single" w:sz="4" w:space="0" w:color="auto"/>
            </w:tcBorders>
            <w:shd w:val="clear" w:color="auto" w:fill="auto"/>
            <w:vAlign w:val="bottom"/>
            <w:hideMark/>
          </w:tcPr>
          <w:p w:rsidR="005D2EF0" w:rsidRPr="00BE0F2B" w:rsidRDefault="005D2EF0" w:rsidP="005D2EF0">
            <w:pPr>
              <w:spacing w:after="0" w:line="240" w:lineRule="auto"/>
              <w:jc w:val="center"/>
              <w:rPr>
                <w:rFonts w:ascii="Times New Roman" w:hAnsi="Times New Roman" w:cs="Times New Roman"/>
                <w:i/>
                <w:iCs/>
              </w:rPr>
            </w:pPr>
            <w:r w:rsidRPr="00BE0F2B">
              <w:rPr>
                <w:rFonts w:ascii="Times New Roman" w:hAnsi="Times New Roman" w:cs="Times New Roman"/>
                <w:i/>
                <w:iCs/>
              </w:rPr>
              <w:t>7,7%</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32C2F" w:rsidRPr="0098244C" w:rsidRDefault="00132C2F" w:rsidP="00132C2F">
      <w:pPr>
        <w:spacing w:line="240" w:lineRule="auto"/>
        <w:ind w:firstLine="709"/>
        <w:jc w:val="both"/>
        <w:outlineLvl w:val="0"/>
        <w:rPr>
          <w:rFonts w:ascii="Times New Roman" w:hAnsi="Times New Roman" w:cs="Times New Roman"/>
          <w:i/>
          <w:sz w:val="28"/>
          <w:szCs w:val="28"/>
          <w:lang w:val="en-US"/>
        </w:rPr>
      </w:pPr>
      <w:r w:rsidRPr="0098244C">
        <w:rPr>
          <w:rFonts w:ascii="Times New Roman" w:hAnsi="Times New Roman" w:cs="Times New Roman"/>
          <w:i/>
          <w:sz w:val="28"/>
          <w:szCs w:val="28"/>
          <w:lang w:val="en-US"/>
        </w:rPr>
        <w:t>General results of the trades</w:t>
      </w:r>
    </w:p>
    <w:p w:rsidR="005D2EF0" w:rsidRPr="005D2EF0" w:rsidRDefault="005D2EF0" w:rsidP="005D2EF0">
      <w:pPr>
        <w:tabs>
          <w:tab w:val="left" w:pos="993"/>
        </w:tabs>
        <w:spacing w:after="0" w:line="240" w:lineRule="auto"/>
        <w:ind w:firstLine="709"/>
        <w:jc w:val="both"/>
        <w:rPr>
          <w:rFonts w:ascii="Times New Roman" w:hAnsi="Times New Roman" w:cs="Times New Roman"/>
          <w:sz w:val="28"/>
          <w:szCs w:val="28"/>
          <w:lang w:val="en-US"/>
        </w:rPr>
      </w:pPr>
      <w:r w:rsidRPr="005D2EF0">
        <w:rPr>
          <w:rFonts w:ascii="Times New Roman" w:hAnsi="Times New Roman" w:cs="Times New Roman"/>
          <w:sz w:val="28"/>
          <w:szCs w:val="28"/>
          <w:lang w:val="en-US"/>
        </w:rPr>
        <w:t xml:space="preserve">According to the results of centralized electricity trading in June 2020, 17 transactions were concluded in the volume of 115,824 thousand kWh for a total amount of 849,300 thousand </w:t>
      </w:r>
      <w:proofErr w:type="spellStart"/>
      <w:r w:rsidRPr="005D2EF0">
        <w:rPr>
          <w:rFonts w:ascii="Times New Roman" w:hAnsi="Times New Roman" w:cs="Times New Roman"/>
          <w:sz w:val="28"/>
          <w:szCs w:val="28"/>
          <w:lang w:val="en-US"/>
        </w:rPr>
        <w:t>tenge</w:t>
      </w:r>
      <w:proofErr w:type="spellEnd"/>
      <w:r w:rsidRPr="005D2EF0">
        <w:rPr>
          <w:rFonts w:ascii="Times New Roman" w:hAnsi="Times New Roman" w:cs="Times New Roman"/>
          <w:sz w:val="28"/>
          <w:szCs w:val="28"/>
          <w:lang w:val="en-US"/>
        </w:rPr>
        <w:t xml:space="preserve"> (excluding VAT), (including, </w:t>
      </w:r>
      <w:proofErr w:type="gramStart"/>
      <w:r w:rsidRPr="005D2EF0">
        <w:rPr>
          <w:rFonts w:ascii="Times New Roman" w:hAnsi="Times New Roman" w:cs="Times New Roman"/>
          <w:sz w:val="28"/>
          <w:szCs w:val="28"/>
          <w:lang w:val="en-US"/>
        </w:rPr>
        <w:t>in</w:t>
      </w:r>
      <w:proofErr w:type="gramEnd"/>
      <w:r w:rsidRPr="005D2EF0">
        <w:rPr>
          <w:rFonts w:ascii="Times New Roman" w:hAnsi="Times New Roman" w:cs="Times New Roman"/>
          <w:sz w:val="28"/>
          <w:szCs w:val="28"/>
          <w:lang w:val="en-US"/>
        </w:rPr>
        <w:t xml:space="preserve"> the "day-ahead" mode and trading for medium and long-term periods), including:</w:t>
      </w:r>
    </w:p>
    <w:p w:rsidR="005D2EF0" w:rsidRPr="005D2EF0" w:rsidRDefault="005D2EF0" w:rsidP="005D2EF0">
      <w:pPr>
        <w:tabs>
          <w:tab w:val="left" w:pos="993"/>
        </w:tabs>
        <w:spacing w:after="0" w:line="240" w:lineRule="auto"/>
        <w:ind w:firstLine="709"/>
        <w:jc w:val="both"/>
        <w:rPr>
          <w:rFonts w:ascii="Times New Roman" w:hAnsi="Times New Roman" w:cs="Times New Roman"/>
          <w:sz w:val="28"/>
          <w:szCs w:val="28"/>
          <w:lang w:val="en-US"/>
        </w:rPr>
      </w:pPr>
      <w:r w:rsidRPr="005D2EF0">
        <w:rPr>
          <w:rFonts w:ascii="Times New Roman" w:hAnsi="Times New Roman" w:cs="Times New Roman"/>
          <w:sz w:val="28"/>
          <w:szCs w:val="28"/>
          <w:lang w:val="en-US"/>
        </w:rPr>
        <w:t xml:space="preserve">- </w:t>
      </w:r>
      <w:proofErr w:type="gramStart"/>
      <w:r w:rsidRPr="005D2EF0">
        <w:rPr>
          <w:rFonts w:ascii="Times New Roman" w:hAnsi="Times New Roman" w:cs="Times New Roman"/>
          <w:sz w:val="28"/>
          <w:szCs w:val="28"/>
          <w:lang w:val="en-US"/>
        </w:rPr>
        <w:t>spot</w:t>
      </w:r>
      <w:proofErr w:type="gramEnd"/>
      <w:r w:rsidRPr="005D2EF0">
        <w:rPr>
          <w:rFonts w:ascii="Times New Roman" w:hAnsi="Times New Roman" w:cs="Times New Roman"/>
          <w:sz w:val="28"/>
          <w:szCs w:val="28"/>
          <w:lang w:val="en-US"/>
        </w:rPr>
        <w:t xml:space="preserve"> trades in "day-ahead" mode - 15 deals were concluded in the volume of 55,584 thousand kWh for the total amount of 404,916 thousand </w:t>
      </w:r>
      <w:proofErr w:type="spellStart"/>
      <w:r w:rsidRPr="005D2EF0">
        <w:rPr>
          <w:rFonts w:ascii="Times New Roman" w:hAnsi="Times New Roman" w:cs="Times New Roman"/>
          <w:sz w:val="28"/>
          <w:szCs w:val="28"/>
          <w:lang w:val="en-US"/>
        </w:rPr>
        <w:t>tenge</w:t>
      </w:r>
      <w:proofErr w:type="spellEnd"/>
      <w:r w:rsidRPr="005D2EF0">
        <w:rPr>
          <w:rFonts w:ascii="Times New Roman" w:hAnsi="Times New Roman" w:cs="Times New Roman"/>
          <w:sz w:val="28"/>
          <w:szCs w:val="28"/>
          <w:lang w:val="en-US"/>
        </w:rPr>
        <w:t xml:space="preserve">. The minimum price at spot trades in "day-ahead" mode amounted to 7.2 </w:t>
      </w:r>
      <w:proofErr w:type="spellStart"/>
      <w:r w:rsidRPr="005D2EF0">
        <w:rPr>
          <w:rFonts w:ascii="Times New Roman" w:hAnsi="Times New Roman" w:cs="Times New Roman"/>
          <w:sz w:val="28"/>
          <w:szCs w:val="28"/>
          <w:lang w:val="en-US"/>
        </w:rPr>
        <w:t>tenge</w:t>
      </w:r>
      <w:proofErr w:type="spellEnd"/>
      <w:r w:rsidRPr="005D2EF0">
        <w:rPr>
          <w:rFonts w:ascii="Times New Roman" w:hAnsi="Times New Roman" w:cs="Times New Roman"/>
          <w:sz w:val="28"/>
          <w:szCs w:val="28"/>
          <w:lang w:val="en-US"/>
        </w:rPr>
        <w:t xml:space="preserve">/kWh (excluding VAT), and the maximum price amounted to 7.3 </w:t>
      </w:r>
      <w:proofErr w:type="spellStart"/>
      <w:r w:rsidRPr="005D2EF0">
        <w:rPr>
          <w:rFonts w:ascii="Times New Roman" w:hAnsi="Times New Roman" w:cs="Times New Roman"/>
          <w:sz w:val="28"/>
          <w:szCs w:val="28"/>
          <w:lang w:val="en-US"/>
        </w:rPr>
        <w:t>tenge</w:t>
      </w:r>
      <w:proofErr w:type="spellEnd"/>
      <w:r w:rsidRPr="005D2EF0">
        <w:rPr>
          <w:rFonts w:ascii="Times New Roman" w:hAnsi="Times New Roman" w:cs="Times New Roman"/>
          <w:sz w:val="28"/>
          <w:szCs w:val="28"/>
          <w:lang w:val="en-US"/>
        </w:rPr>
        <w:t>/kWh (excluding VAT);</w:t>
      </w:r>
    </w:p>
    <w:p w:rsidR="005D2EF0" w:rsidRPr="005D2EF0" w:rsidRDefault="005D2EF0" w:rsidP="005D2EF0">
      <w:pPr>
        <w:tabs>
          <w:tab w:val="left" w:pos="993"/>
        </w:tabs>
        <w:spacing w:after="0" w:line="240" w:lineRule="auto"/>
        <w:ind w:firstLine="709"/>
        <w:jc w:val="both"/>
        <w:rPr>
          <w:rFonts w:ascii="Times New Roman" w:hAnsi="Times New Roman" w:cs="Times New Roman"/>
          <w:sz w:val="28"/>
          <w:szCs w:val="28"/>
          <w:lang w:val="en-US"/>
        </w:rPr>
      </w:pPr>
      <w:r w:rsidRPr="005D2EF0">
        <w:rPr>
          <w:rFonts w:ascii="Times New Roman" w:hAnsi="Times New Roman" w:cs="Times New Roman"/>
          <w:sz w:val="28"/>
          <w:szCs w:val="28"/>
          <w:lang w:val="en-US"/>
        </w:rPr>
        <w:t xml:space="preserve">- </w:t>
      </w:r>
      <w:proofErr w:type="gramStart"/>
      <w:r w:rsidRPr="005D2EF0">
        <w:rPr>
          <w:rFonts w:ascii="Times New Roman" w:hAnsi="Times New Roman" w:cs="Times New Roman"/>
          <w:sz w:val="28"/>
          <w:szCs w:val="28"/>
          <w:lang w:val="en-US"/>
        </w:rPr>
        <w:t>spot</w:t>
      </w:r>
      <w:proofErr w:type="gramEnd"/>
      <w:r w:rsidRPr="005D2EF0">
        <w:rPr>
          <w:rFonts w:ascii="Times New Roman" w:hAnsi="Times New Roman" w:cs="Times New Roman"/>
          <w:sz w:val="28"/>
          <w:szCs w:val="28"/>
          <w:lang w:val="en-US"/>
        </w:rPr>
        <w:t xml:space="preserve"> trades "during the operational day" - no deals were concluded.</w:t>
      </w:r>
    </w:p>
    <w:p w:rsidR="005D2EF0" w:rsidRPr="005D2EF0" w:rsidRDefault="005D2EF0" w:rsidP="005D2EF0">
      <w:pPr>
        <w:tabs>
          <w:tab w:val="left" w:pos="993"/>
        </w:tabs>
        <w:spacing w:after="0" w:line="240" w:lineRule="auto"/>
        <w:ind w:firstLine="709"/>
        <w:jc w:val="both"/>
        <w:rPr>
          <w:rFonts w:ascii="Times New Roman" w:hAnsi="Times New Roman" w:cs="Times New Roman"/>
          <w:sz w:val="28"/>
          <w:szCs w:val="28"/>
          <w:lang w:val="en-US"/>
        </w:rPr>
      </w:pPr>
      <w:r w:rsidRPr="005D2EF0">
        <w:rPr>
          <w:rFonts w:ascii="Times New Roman" w:hAnsi="Times New Roman" w:cs="Times New Roman"/>
          <w:sz w:val="28"/>
          <w:szCs w:val="28"/>
          <w:lang w:val="en-US"/>
        </w:rPr>
        <w:t xml:space="preserve">- </w:t>
      </w:r>
      <w:proofErr w:type="gramStart"/>
      <w:r w:rsidRPr="005D2EF0">
        <w:rPr>
          <w:rFonts w:ascii="Times New Roman" w:hAnsi="Times New Roman" w:cs="Times New Roman"/>
          <w:sz w:val="28"/>
          <w:szCs w:val="28"/>
          <w:lang w:val="en-US"/>
        </w:rPr>
        <w:t>trades</w:t>
      </w:r>
      <w:proofErr w:type="gramEnd"/>
      <w:r w:rsidRPr="005D2EF0">
        <w:rPr>
          <w:rFonts w:ascii="Times New Roman" w:hAnsi="Times New Roman" w:cs="Times New Roman"/>
          <w:sz w:val="28"/>
          <w:szCs w:val="28"/>
          <w:lang w:val="en-US"/>
        </w:rPr>
        <w:t xml:space="preserve"> in electricity for medium- and long-term periods - 2 deals were concluded in the volume of 60,240 thousand kWh for a total amount of 444,384 thousand </w:t>
      </w:r>
      <w:proofErr w:type="spellStart"/>
      <w:r w:rsidRPr="005D2EF0">
        <w:rPr>
          <w:rFonts w:ascii="Times New Roman" w:hAnsi="Times New Roman" w:cs="Times New Roman"/>
          <w:sz w:val="28"/>
          <w:szCs w:val="28"/>
          <w:lang w:val="en-US"/>
        </w:rPr>
        <w:t>tenge</w:t>
      </w:r>
      <w:proofErr w:type="spellEnd"/>
      <w:r w:rsidRPr="005D2EF0">
        <w:rPr>
          <w:rFonts w:ascii="Times New Roman" w:hAnsi="Times New Roman" w:cs="Times New Roman"/>
          <w:sz w:val="28"/>
          <w:szCs w:val="28"/>
          <w:lang w:val="en-US"/>
        </w:rPr>
        <w:t xml:space="preserve"> (excluding VAT). The minimum price for this type of centralized bidding was 1.1 </w:t>
      </w:r>
      <w:proofErr w:type="spellStart"/>
      <w:r w:rsidRPr="005D2EF0">
        <w:rPr>
          <w:rFonts w:ascii="Times New Roman" w:hAnsi="Times New Roman" w:cs="Times New Roman"/>
          <w:sz w:val="28"/>
          <w:szCs w:val="28"/>
          <w:lang w:val="en-US"/>
        </w:rPr>
        <w:t>tenge</w:t>
      </w:r>
      <w:proofErr w:type="spellEnd"/>
      <w:r w:rsidRPr="005D2EF0">
        <w:rPr>
          <w:rFonts w:ascii="Times New Roman" w:hAnsi="Times New Roman" w:cs="Times New Roman"/>
          <w:sz w:val="28"/>
          <w:szCs w:val="28"/>
          <w:lang w:val="en-US"/>
        </w:rPr>
        <w:t xml:space="preserve">/kWh (excluding VAT), and the maximum price was 7.95 </w:t>
      </w:r>
      <w:proofErr w:type="spellStart"/>
      <w:r w:rsidRPr="005D2EF0">
        <w:rPr>
          <w:rFonts w:ascii="Times New Roman" w:hAnsi="Times New Roman" w:cs="Times New Roman"/>
          <w:sz w:val="28"/>
          <w:szCs w:val="28"/>
          <w:lang w:val="en-US"/>
        </w:rPr>
        <w:t>tenge</w:t>
      </w:r>
      <w:proofErr w:type="spellEnd"/>
      <w:r w:rsidRPr="005D2EF0">
        <w:rPr>
          <w:rFonts w:ascii="Times New Roman" w:hAnsi="Times New Roman" w:cs="Times New Roman"/>
          <w:sz w:val="28"/>
          <w:szCs w:val="28"/>
          <w:lang w:val="en-US"/>
        </w:rPr>
        <w:t>/kWh (excluding VAT).</w:t>
      </w:r>
    </w:p>
    <w:p w:rsidR="001248FB" w:rsidRDefault="005D2EF0" w:rsidP="005D2EF0">
      <w:pPr>
        <w:tabs>
          <w:tab w:val="left" w:pos="993"/>
        </w:tabs>
        <w:spacing w:after="0" w:line="240" w:lineRule="auto"/>
        <w:ind w:firstLine="709"/>
        <w:jc w:val="both"/>
        <w:rPr>
          <w:rFonts w:ascii="Times New Roman" w:hAnsi="Times New Roman" w:cs="Times New Roman"/>
          <w:sz w:val="28"/>
          <w:szCs w:val="28"/>
          <w:lang w:val="en-US"/>
        </w:rPr>
      </w:pPr>
      <w:r w:rsidRPr="005D2EF0">
        <w:rPr>
          <w:rFonts w:ascii="Times New Roman" w:hAnsi="Times New Roman" w:cs="Times New Roman"/>
          <w:sz w:val="28"/>
          <w:szCs w:val="28"/>
          <w:lang w:val="en-US"/>
        </w:rPr>
        <w:t>For the same period of 2019, the total volume of centralized bidding amounted to 3,745,272 thousand kWh. The table below shows the dynamics of transaction prices concluded at centralized bidding in June 2019-2020.</w:t>
      </w:r>
    </w:p>
    <w:p w:rsidR="00132C2F"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r w:rsidRPr="0098244C">
        <w:rPr>
          <w:rFonts w:ascii="Times New Roman" w:eastAsia="Times New Roman" w:hAnsi="Times New Roman" w:cs="Times New Roman"/>
          <w:b/>
          <w:sz w:val="28"/>
          <w:szCs w:val="28"/>
          <w:lang w:val="en-US" w:eastAsia="ru-RU"/>
        </w:rPr>
        <w:t xml:space="preserve">Dynamics of prices formed </w:t>
      </w:r>
      <w:proofErr w:type="gramStart"/>
      <w:r w:rsidRPr="0098244C">
        <w:rPr>
          <w:rFonts w:ascii="Times New Roman" w:eastAsia="Times New Roman" w:hAnsi="Times New Roman" w:cs="Times New Roman"/>
          <w:b/>
          <w:sz w:val="28"/>
          <w:szCs w:val="28"/>
          <w:lang w:val="en-US" w:eastAsia="ru-RU"/>
        </w:rPr>
        <w:t>as a result</w:t>
      </w:r>
      <w:proofErr w:type="gramEnd"/>
      <w:r w:rsidRPr="0098244C">
        <w:rPr>
          <w:rFonts w:ascii="Times New Roman" w:eastAsia="Times New Roman" w:hAnsi="Times New Roman" w:cs="Times New Roman"/>
          <w:b/>
          <w:sz w:val="28"/>
          <w:szCs w:val="28"/>
          <w:lang w:val="en-US" w:eastAsia="ru-RU"/>
        </w:rPr>
        <w:t xml:space="preserve"> of centralized trades</w:t>
      </w:r>
    </w:p>
    <w:p w:rsidR="0098244C" w:rsidRPr="0098244C"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98244C">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5D2EF0" w:rsidP="0098244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June</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within</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the</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operational</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day</w:t>
            </w:r>
            <w:proofErr w:type="spellEnd"/>
          </w:p>
        </w:tc>
      </w:tr>
      <w:tr w:rsidR="00132C2F" w:rsidRPr="004334A0" w:rsidTr="009824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98244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98244C">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tg</w:t>
            </w:r>
            <w:proofErr w:type="spellEnd"/>
            <w:r w:rsidRPr="00132C2F">
              <w:rPr>
                <w:rFonts w:ascii="Times New Roman" w:hAnsi="Times New Roman" w:cs="Times New Roman"/>
                <w:b/>
                <w:bCs/>
                <w:sz w:val="20"/>
                <w:szCs w:val="20"/>
              </w:rPr>
              <w:t>/</w:t>
            </w:r>
            <w:proofErr w:type="spellStart"/>
            <w:r w:rsidRPr="00132C2F">
              <w:rPr>
                <w:rFonts w:ascii="Times New Roman" w:hAnsi="Times New Roman" w:cs="Times New Roman"/>
                <w:b/>
                <w:bCs/>
                <w:sz w:val="20"/>
                <w:szCs w:val="20"/>
              </w:rPr>
              <w:t>kWh</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excluding</w:t>
            </w:r>
            <w:proofErr w:type="spellEnd"/>
            <w:r w:rsidRPr="00132C2F">
              <w:rPr>
                <w:rFonts w:ascii="Times New Roman" w:hAnsi="Times New Roman" w:cs="Times New Roman"/>
                <w:b/>
                <w:bCs/>
                <w:sz w:val="20"/>
                <w:szCs w:val="20"/>
              </w:rPr>
              <w:t xml:space="preserve"> VAT)</w:t>
            </w:r>
          </w:p>
        </w:tc>
      </w:tr>
      <w:tr w:rsidR="005D2EF0"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5D2EF0" w:rsidRPr="004334A0" w:rsidRDefault="005D2EF0" w:rsidP="005D2EF0">
            <w:pPr>
              <w:pStyle w:val="Default"/>
              <w:spacing w:line="276" w:lineRule="auto"/>
              <w:jc w:val="center"/>
              <w:rPr>
                <w:sz w:val="20"/>
                <w:szCs w:val="20"/>
              </w:rPr>
            </w:pPr>
            <w:r w:rsidRPr="004334A0">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hideMark/>
          </w:tcPr>
          <w:p w:rsidR="005D2EF0" w:rsidRPr="00BE0F2B" w:rsidRDefault="005D2EF0" w:rsidP="005D2EF0">
            <w:pPr>
              <w:pStyle w:val="Default"/>
              <w:jc w:val="center"/>
              <w:rPr>
                <w:b/>
                <w:bCs/>
                <w:sz w:val="20"/>
                <w:szCs w:val="20"/>
              </w:rPr>
            </w:pPr>
            <w:r w:rsidRPr="00BE0F2B">
              <w:rPr>
                <w:b/>
                <w:bCs/>
                <w:sz w:val="20"/>
                <w:szCs w:val="20"/>
              </w:rPr>
              <w:t>5</w:t>
            </w:r>
          </w:p>
        </w:tc>
        <w:tc>
          <w:tcPr>
            <w:tcW w:w="1276" w:type="dxa"/>
            <w:tcBorders>
              <w:top w:val="nil"/>
              <w:left w:val="nil"/>
              <w:bottom w:val="single" w:sz="4" w:space="0" w:color="auto"/>
              <w:right w:val="single" w:sz="4" w:space="0" w:color="auto"/>
            </w:tcBorders>
            <w:shd w:val="clear" w:color="auto" w:fill="FFFF00"/>
            <w:vAlign w:val="center"/>
            <w:hideMark/>
          </w:tcPr>
          <w:p w:rsidR="005D2EF0" w:rsidRPr="00BE0F2B" w:rsidRDefault="005D2EF0" w:rsidP="005D2EF0">
            <w:pPr>
              <w:pStyle w:val="Default"/>
              <w:jc w:val="center"/>
              <w:rPr>
                <w:b/>
                <w:bCs/>
                <w:sz w:val="20"/>
                <w:szCs w:val="20"/>
              </w:rPr>
            </w:pPr>
            <w:r w:rsidRPr="00BE0F2B">
              <w:rPr>
                <w:b/>
                <w:bCs/>
                <w:sz w:val="20"/>
                <w:szCs w:val="20"/>
              </w:rPr>
              <w:t>7,22</w:t>
            </w:r>
          </w:p>
        </w:tc>
        <w:tc>
          <w:tcPr>
            <w:tcW w:w="1276" w:type="dxa"/>
            <w:tcBorders>
              <w:top w:val="nil"/>
              <w:left w:val="nil"/>
              <w:bottom w:val="single" w:sz="4" w:space="0" w:color="auto"/>
              <w:right w:val="single" w:sz="4" w:space="0" w:color="auto"/>
            </w:tcBorders>
            <w:shd w:val="clear" w:color="auto" w:fill="FFFF00"/>
            <w:vAlign w:val="center"/>
            <w:hideMark/>
          </w:tcPr>
          <w:p w:rsidR="005D2EF0" w:rsidRPr="00BE0F2B" w:rsidRDefault="005D2EF0" w:rsidP="005D2EF0">
            <w:pPr>
              <w:pStyle w:val="Default"/>
              <w:jc w:val="center"/>
              <w:rPr>
                <w:b/>
                <w:bCs/>
                <w:sz w:val="20"/>
                <w:szCs w:val="20"/>
              </w:rPr>
            </w:pPr>
            <w:r w:rsidRPr="00BE0F2B">
              <w:rPr>
                <w:b/>
                <w:bCs/>
                <w:sz w:val="20"/>
                <w:szCs w:val="20"/>
              </w:rPr>
              <w:t>5,76</w:t>
            </w:r>
          </w:p>
        </w:tc>
        <w:tc>
          <w:tcPr>
            <w:tcW w:w="1276" w:type="dxa"/>
            <w:tcBorders>
              <w:top w:val="nil"/>
              <w:left w:val="nil"/>
              <w:bottom w:val="single" w:sz="4" w:space="0" w:color="auto"/>
              <w:right w:val="single" w:sz="4" w:space="0" w:color="auto"/>
            </w:tcBorders>
            <w:shd w:val="clear" w:color="auto" w:fill="FFFF00"/>
            <w:vAlign w:val="center"/>
            <w:hideMark/>
          </w:tcPr>
          <w:p w:rsidR="005D2EF0" w:rsidRPr="00BE0F2B" w:rsidRDefault="005D2EF0" w:rsidP="005D2EF0">
            <w:pPr>
              <w:pStyle w:val="Default"/>
              <w:jc w:val="center"/>
              <w:rPr>
                <w:b/>
                <w:bCs/>
                <w:sz w:val="20"/>
                <w:szCs w:val="20"/>
              </w:rPr>
            </w:pPr>
            <w:r w:rsidRPr="00BE0F2B">
              <w:rPr>
                <w:b/>
                <w:bCs/>
                <w:sz w:val="20"/>
                <w:szCs w:val="20"/>
              </w:rPr>
              <w:t>8,4</w:t>
            </w:r>
          </w:p>
        </w:tc>
        <w:tc>
          <w:tcPr>
            <w:tcW w:w="1134" w:type="dxa"/>
            <w:tcBorders>
              <w:top w:val="nil"/>
              <w:left w:val="nil"/>
              <w:bottom w:val="single" w:sz="4" w:space="0" w:color="auto"/>
              <w:right w:val="single" w:sz="4" w:space="0" w:color="auto"/>
            </w:tcBorders>
            <w:shd w:val="clear" w:color="auto" w:fill="FFFF00"/>
            <w:vAlign w:val="center"/>
            <w:hideMark/>
          </w:tcPr>
          <w:p w:rsidR="005D2EF0" w:rsidRPr="004334A0" w:rsidRDefault="005D2EF0" w:rsidP="005D2EF0">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FF00"/>
            <w:vAlign w:val="center"/>
            <w:hideMark/>
          </w:tcPr>
          <w:p w:rsidR="005D2EF0" w:rsidRPr="004334A0" w:rsidRDefault="005D2EF0" w:rsidP="005D2EF0">
            <w:pPr>
              <w:pStyle w:val="Default"/>
              <w:spacing w:line="276" w:lineRule="auto"/>
              <w:jc w:val="center"/>
              <w:rPr>
                <w:b/>
                <w:bCs/>
                <w:sz w:val="20"/>
                <w:szCs w:val="20"/>
              </w:rPr>
            </w:pPr>
            <w:r w:rsidRPr="004334A0">
              <w:rPr>
                <w:b/>
                <w:bCs/>
                <w:sz w:val="20"/>
                <w:szCs w:val="20"/>
              </w:rPr>
              <w:t>-</w:t>
            </w:r>
          </w:p>
        </w:tc>
      </w:tr>
      <w:tr w:rsidR="005D2EF0"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5D2EF0" w:rsidRPr="004334A0" w:rsidRDefault="005D2EF0" w:rsidP="005D2EF0">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5D2EF0" w:rsidRPr="00BE0F2B" w:rsidRDefault="005D2EF0" w:rsidP="005D2EF0">
            <w:pPr>
              <w:pStyle w:val="Default"/>
              <w:jc w:val="center"/>
              <w:rPr>
                <w:b/>
                <w:bCs/>
                <w:sz w:val="20"/>
                <w:szCs w:val="20"/>
              </w:rPr>
            </w:pPr>
            <w:r w:rsidRPr="00BE0F2B">
              <w:rPr>
                <w:b/>
                <w:bCs/>
                <w:sz w:val="20"/>
                <w:szCs w:val="20"/>
              </w:rPr>
              <w:t>7,2</w:t>
            </w:r>
          </w:p>
        </w:tc>
        <w:tc>
          <w:tcPr>
            <w:tcW w:w="1276" w:type="dxa"/>
            <w:tcBorders>
              <w:top w:val="nil"/>
              <w:left w:val="nil"/>
              <w:bottom w:val="single" w:sz="4" w:space="0" w:color="auto"/>
              <w:right w:val="single" w:sz="4" w:space="0" w:color="auto"/>
            </w:tcBorders>
            <w:shd w:val="clear" w:color="auto" w:fill="FFC000"/>
            <w:vAlign w:val="center"/>
            <w:hideMark/>
          </w:tcPr>
          <w:p w:rsidR="005D2EF0" w:rsidRPr="00BE0F2B" w:rsidRDefault="005D2EF0" w:rsidP="005D2EF0">
            <w:pPr>
              <w:pStyle w:val="Default"/>
              <w:jc w:val="center"/>
              <w:rPr>
                <w:b/>
                <w:bCs/>
                <w:sz w:val="20"/>
                <w:szCs w:val="20"/>
              </w:rPr>
            </w:pPr>
            <w:r w:rsidRPr="00BE0F2B">
              <w:rPr>
                <w:b/>
                <w:bCs/>
                <w:sz w:val="20"/>
                <w:szCs w:val="20"/>
              </w:rPr>
              <w:t>7,3</w:t>
            </w:r>
          </w:p>
        </w:tc>
        <w:tc>
          <w:tcPr>
            <w:tcW w:w="1276" w:type="dxa"/>
            <w:tcBorders>
              <w:top w:val="nil"/>
              <w:left w:val="nil"/>
              <w:bottom w:val="single" w:sz="4" w:space="0" w:color="auto"/>
              <w:right w:val="single" w:sz="4" w:space="0" w:color="auto"/>
            </w:tcBorders>
            <w:shd w:val="clear" w:color="auto" w:fill="FFC000"/>
            <w:vAlign w:val="center"/>
            <w:hideMark/>
          </w:tcPr>
          <w:p w:rsidR="005D2EF0" w:rsidRPr="00BE0F2B" w:rsidRDefault="005D2EF0" w:rsidP="005D2EF0">
            <w:pPr>
              <w:pStyle w:val="Default"/>
              <w:jc w:val="center"/>
              <w:rPr>
                <w:b/>
                <w:bCs/>
                <w:sz w:val="20"/>
                <w:szCs w:val="20"/>
              </w:rPr>
            </w:pPr>
            <w:r w:rsidRPr="00BE0F2B">
              <w:rPr>
                <w:b/>
                <w:bCs/>
                <w:sz w:val="20"/>
                <w:szCs w:val="20"/>
              </w:rPr>
              <w:t>1,1</w:t>
            </w:r>
          </w:p>
        </w:tc>
        <w:tc>
          <w:tcPr>
            <w:tcW w:w="1276" w:type="dxa"/>
            <w:tcBorders>
              <w:top w:val="nil"/>
              <w:left w:val="nil"/>
              <w:bottom w:val="single" w:sz="4" w:space="0" w:color="auto"/>
              <w:right w:val="single" w:sz="4" w:space="0" w:color="auto"/>
            </w:tcBorders>
            <w:shd w:val="clear" w:color="auto" w:fill="FFC000"/>
            <w:vAlign w:val="center"/>
            <w:hideMark/>
          </w:tcPr>
          <w:p w:rsidR="005D2EF0" w:rsidRPr="00BE0F2B" w:rsidRDefault="005D2EF0" w:rsidP="005D2EF0">
            <w:pPr>
              <w:pStyle w:val="Default"/>
              <w:jc w:val="center"/>
              <w:rPr>
                <w:b/>
                <w:bCs/>
                <w:sz w:val="20"/>
                <w:szCs w:val="20"/>
              </w:rPr>
            </w:pPr>
            <w:r w:rsidRPr="00BE0F2B">
              <w:rPr>
                <w:b/>
                <w:bCs/>
                <w:sz w:val="20"/>
                <w:szCs w:val="20"/>
              </w:rPr>
              <w:t>7,95</w:t>
            </w:r>
          </w:p>
        </w:tc>
        <w:tc>
          <w:tcPr>
            <w:tcW w:w="1134" w:type="dxa"/>
            <w:tcBorders>
              <w:top w:val="nil"/>
              <w:left w:val="nil"/>
              <w:bottom w:val="single" w:sz="4" w:space="0" w:color="auto"/>
              <w:right w:val="single" w:sz="4" w:space="0" w:color="auto"/>
            </w:tcBorders>
            <w:shd w:val="clear" w:color="auto" w:fill="FFC000"/>
            <w:vAlign w:val="center"/>
            <w:hideMark/>
          </w:tcPr>
          <w:p w:rsidR="005D2EF0" w:rsidRPr="004334A0" w:rsidRDefault="005D2EF0" w:rsidP="005D2EF0">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5D2EF0" w:rsidRPr="004334A0" w:rsidRDefault="005D2EF0" w:rsidP="005D2EF0">
            <w:pPr>
              <w:pStyle w:val="Default"/>
              <w:spacing w:line="276" w:lineRule="auto"/>
              <w:jc w:val="center"/>
              <w:rPr>
                <w:b/>
                <w:bCs/>
                <w:sz w:val="20"/>
                <w:szCs w:val="20"/>
              </w:rPr>
            </w:pPr>
            <w:r w:rsidRPr="004334A0">
              <w:rPr>
                <w:b/>
                <w:bCs/>
                <w:sz w:val="20"/>
                <w:szCs w:val="20"/>
              </w:rPr>
              <w:t>-</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4928A9" w:rsidRDefault="00132C2F" w:rsidP="00132C2F">
      <w:pPr>
        <w:pStyle w:val="1"/>
        <w:spacing w:before="0" w:line="240" w:lineRule="auto"/>
        <w:ind w:firstLine="709"/>
        <w:rPr>
          <w:rFonts w:ascii="Times New Roman" w:hAnsi="Times New Roman" w:cs="Times New Roman"/>
          <w:b/>
          <w:i/>
          <w:color w:val="auto"/>
          <w:sz w:val="28"/>
          <w:lang w:val="en-US"/>
        </w:rPr>
      </w:pPr>
      <w:r w:rsidRPr="004928A9">
        <w:rPr>
          <w:rFonts w:ascii="Times New Roman" w:hAnsi="Times New Roman" w:cs="Times New Roman"/>
          <w:b/>
          <w:i/>
          <w:color w:val="auto"/>
          <w:sz w:val="28"/>
          <w:lang w:val="en-US"/>
        </w:rPr>
        <w:t>Results of spot trading in the "day-ahead" mode</w:t>
      </w:r>
    </w:p>
    <w:p w:rsidR="005D2EF0" w:rsidRPr="005D2EF0" w:rsidRDefault="005D2EF0" w:rsidP="005D2EF0">
      <w:pPr>
        <w:pStyle w:val="Default"/>
        <w:ind w:firstLine="709"/>
        <w:rPr>
          <w:sz w:val="28"/>
          <w:szCs w:val="28"/>
          <w:lang w:val="en-US"/>
        </w:rPr>
      </w:pPr>
      <w:r w:rsidRPr="005D2EF0">
        <w:rPr>
          <w:sz w:val="28"/>
          <w:szCs w:val="28"/>
          <w:lang w:val="en-US"/>
        </w:rPr>
        <w:t xml:space="preserve">According to the results of spot trades held in June 2020, 15 transactions in the volume of 55,584 thousand kWh were concluded, the minimum clearing price at spot trades in the "day-ahead" mode was 7.2 </w:t>
      </w:r>
      <w:proofErr w:type="spellStart"/>
      <w:r w:rsidRPr="005D2EF0">
        <w:rPr>
          <w:sz w:val="28"/>
          <w:szCs w:val="28"/>
          <w:lang w:val="en-US"/>
        </w:rPr>
        <w:t>Tg</w:t>
      </w:r>
      <w:proofErr w:type="spellEnd"/>
      <w:r w:rsidRPr="005D2EF0">
        <w:rPr>
          <w:sz w:val="28"/>
          <w:szCs w:val="28"/>
          <w:lang w:val="en-US"/>
        </w:rPr>
        <w:t xml:space="preserve">/kWh (excluding VAT), and the maximum was 7.3 </w:t>
      </w:r>
      <w:proofErr w:type="spellStart"/>
      <w:r w:rsidRPr="005D2EF0">
        <w:rPr>
          <w:sz w:val="28"/>
          <w:szCs w:val="28"/>
          <w:lang w:val="en-US"/>
        </w:rPr>
        <w:t>Tg</w:t>
      </w:r>
      <w:proofErr w:type="spellEnd"/>
      <w:r w:rsidRPr="005D2EF0">
        <w:rPr>
          <w:sz w:val="28"/>
          <w:szCs w:val="28"/>
          <w:lang w:val="en-US"/>
        </w:rPr>
        <w:t>/kWh (excluding VAT).</w:t>
      </w:r>
    </w:p>
    <w:p w:rsidR="00132C2F" w:rsidRPr="00B02D8C" w:rsidRDefault="005D2EF0" w:rsidP="005D2EF0">
      <w:pPr>
        <w:pStyle w:val="Default"/>
        <w:ind w:firstLine="709"/>
        <w:rPr>
          <w:sz w:val="28"/>
          <w:szCs w:val="28"/>
          <w:lang w:val="en-US"/>
        </w:rPr>
      </w:pPr>
      <w:r w:rsidRPr="005D2EF0">
        <w:rPr>
          <w:sz w:val="28"/>
          <w:szCs w:val="28"/>
          <w:lang w:val="en-US"/>
        </w:rPr>
        <w:t xml:space="preserve">The table below summarizes volumes and bid-ask prices and </w:t>
      </w:r>
      <w:proofErr w:type="gramStart"/>
      <w:r w:rsidRPr="005D2EF0">
        <w:rPr>
          <w:sz w:val="28"/>
          <w:szCs w:val="28"/>
          <w:lang w:val="en-US"/>
        </w:rPr>
        <w:t>final results</w:t>
      </w:r>
      <w:proofErr w:type="gramEnd"/>
      <w:r w:rsidRPr="005D2EF0">
        <w:rPr>
          <w:sz w:val="28"/>
          <w:szCs w:val="28"/>
          <w:lang w:val="en-US"/>
        </w:rPr>
        <w:t xml:space="preserve"> of spot trades in th</w:t>
      </w:r>
      <w:r>
        <w:rPr>
          <w:sz w:val="28"/>
          <w:szCs w:val="28"/>
          <w:lang w:val="en-US"/>
        </w:rPr>
        <w:t>e "day-ahead" mode in June 2020</w:t>
      </w:r>
      <w:r w:rsidR="00132C2F" w:rsidRPr="00B02D8C">
        <w:rPr>
          <w:sz w:val="28"/>
          <w:szCs w:val="28"/>
          <w:lang w:val="en-US"/>
        </w:rPr>
        <w:t>.</w:t>
      </w:r>
    </w:p>
    <w:p w:rsidR="00132C2F" w:rsidRDefault="005D2EF0" w:rsidP="00132C2F">
      <w:pPr>
        <w:pStyle w:val="a3"/>
        <w:spacing w:after="0" w:line="240" w:lineRule="auto"/>
        <w:ind w:left="0" w:firstLine="993"/>
        <w:rPr>
          <w:rFonts w:ascii="Times New Roman" w:eastAsia="Times New Roman" w:hAnsi="Times New Roman" w:cs="Times New Roman"/>
          <w:sz w:val="28"/>
          <w:szCs w:val="28"/>
          <w:lang w:eastAsia="ru-RU"/>
        </w:rPr>
      </w:pPr>
      <w:r w:rsidRPr="00BE0F2B">
        <w:rPr>
          <w:rFonts w:ascii="Times New Roman" w:hAnsi="Times New Roman" w:cs="Times New Roman"/>
          <w:noProof/>
          <w:sz w:val="28"/>
          <w:szCs w:val="28"/>
          <w:lang w:eastAsia="ru-RU"/>
        </w:rPr>
        <w:drawing>
          <wp:inline distT="0" distB="0" distL="0" distR="0" wp14:anchorId="7D9831CA" wp14:editId="52BAFF1A">
            <wp:extent cx="5523751" cy="541464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5027" cy="5415896"/>
                    </a:xfrm>
                    <a:prstGeom prst="rect">
                      <a:avLst/>
                    </a:prstGeom>
                    <a:noFill/>
                    <a:ln>
                      <a:noFill/>
                    </a:ln>
                  </pic:spPr>
                </pic:pic>
              </a:graphicData>
            </a:graphic>
          </wp:inline>
        </w:drawing>
      </w:r>
    </w:p>
    <w:p w:rsidR="006672F5" w:rsidRDefault="006672F5"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5D2EF0" w:rsidRPr="005D2EF0" w:rsidRDefault="005D2EF0" w:rsidP="005D2EF0">
      <w:pPr>
        <w:pStyle w:val="a3"/>
        <w:spacing w:after="0" w:line="240" w:lineRule="auto"/>
        <w:ind w:left="0" w:firstLine="709"/>
        <w:jc w:val="both"/>
        <w:rPr>
          <w:rFonts w:ascii="Times New Roman" w:eastAsia="Times New Roman" w:hAnsi="Times New Roman" w:cs="Times New Roman"/>
          <w:sz w:val="28"/>
          <w:szCs w:val="28"/>
          <w:lang w:eastAsia="ru-RU"/>
        </w:rPr>
      </w:pPr>
      <w:r w:rsidRPr="005D2EF0">
        <w:rPr>
          <w:rFonts w:ascii="Times New Roman" w:eastAsia="Times New Roman" w:hAnsi="Times New Roman" w:cs="Times New Roman"/>
          <w:sz w:val="28"/>
          <w:szCs w:val="28"/>
          <w:lang w:eastAsia="ru-RU"/>
        </w:rPr>
        <w:t xml:space="preserve">The table shows that the total demand amounted to 95,544 thousand kWh, while the total supply amounted to 60,393 thousand kWh. The unsatisfied demand volume in June 2020 amounted to 38,664 thousand kWh, while the unsatisfied supply volume amounted to 4,809 thousand kWh. In the process of spot trading, the total number of bids accepted into the trading system was -110, including 95 bids from buyers and 15 bids from sellers. </w:t>
      </w:r>
    </w:p>
    <w:p w:rsidR="005D2EF0" w:rsidRPr="005D2EF0" w:rsidRDefault="005D2EF0" w:rsidP="005D2EF0">
      <w:pPr>
        <w:pStyle w:val="a3"/>
        <w:spacing w:after="0" w:line="240" w:lineRule="auto"/>
        <w:ind w:left="0" w:firstLine="709"/>
        <w:jc w:val="both"/>
        <w:rPr>
          <w:rFonts w:ascii="Times New Roman" w:eastAsia="Times New Roman" w:hAnsi="Times New Roman" w:cs="Times New Roman"/>
          <w:b/>
          <w:sz w:val="28"/>
          <w:szCs w:val="28"/>
          <w:lang w:eastAsia="ru-RU"/>
        </w:rPr>
      </w:pPr>
      <w:r w:rsidRPr="005D2EF0">
        <w:rPr>
          <w:rFonts w:ascii="Times New Roman" w:eastAsia="Times New Roman" w:hAnsi="Times New Roman" w:cs="Times New Roman"/>
          <w:b/>
          <w:sz w:val="28"/>
          <w:szCs w:val="28"/>
          <w:lang w:eastAsia="ru-RU"/>
        </w:rPr>
        <w:t>Results of spot trading "during the operational day"</w:t>
      </w:r>
    </w:p>
    <w:p w:rsidR="0068574B" w:rsidRPr="005D2EF0" w:rsidRDefault="005D2EF0" w:rsidP="005D2EF0">
      <w:pPr>
        <w:pStyle w:val="a3"/>
        <w:spacing w:after="0" w:line="240" w:lineRule="auto"/>
        <w:ind w:left="0" w:firstLine="709"/>
        <w:jc w:val="both"/>
        <w:rPr>
          <w:rFonts w:ascii="Times New Roman" w:eastAsia="Times New Roman" w:hAnsi="Times New Roman" w:cs="Times New Roman"/>
          <w:sz w:val="28"/>
          <w:szCs w:val="28"/>
          <w:lang w:eastAsia="ru-RU"/>
        </w:rPr>
      </w:pPr>
      <w:r w:rsidRPr="005D2EF0">
        <w:rPr>
          <w:rFonts w:ascii="Times New Roman" w:eastAsia="Times New Roman" w:hAnsi="Times New Roman" w:cs="Times New Roman"/>
          <w:sz w:val="28"/>
          <w:szCs w:val="28"/>
          <w:lang w:eastAsia="ru-RU"/>
        </w:rPr>
        <w:lastRenderedPageBreak/>
        <w:t xml:space="preserve">According to the results of the trades held in June 2020, no deals were concluded. According to the results of trades held in June 2019, similar to the current period, no deals </w:t>
      </w:r>
      <w:proofErr w:type="gramStart"/>
      <w:r w:rsidRPr="005D2EF0">
        <w:rPr>
          <w:rFonts w:ascii="Times New Roman" w:eastAsia="Times New Roman" w:hAnsi="Times New Roman" w:cs="Times New Roman"/>
          <w:sz w:val="28"/>
          <w:szCs w:val="28"/>
          <w:lang w:eastAsia="ru-RU"/>
        </w:rPr>
        <w:t>were concluded</w:t>
      </w:r>
      <w:proofErr w:type="gramEnd"/>
      <w:r w:rsidRPr="005D2EF0">
        <w:rPr>
          <w:rFonts w:ascii="Times New Roman" w:eastAsia="Times New Roman" w:hAnsi="Times New Roman" w:cs="Times New Roman"/>
          <w:sz w:val="28"/>
          <w:szCs w:val="28"/>
          <w:lang w:eastAsia="ru-RU"/>
        </w:rPr>
        <w:t>.</w:t>
      </w:r>
    </w:p>
    <w:p w:rsidR="0068574B" w:rsidRPr="005D2EF0" w:rsidRDefault="0068574B"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p>
    <w:p w:rsidR="00132C2F" w:rsidRPr="004928A9" w:rsidRDefault="00132C2F"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4928A9">
        <w:rPr>
          <w:rFonts w:ascii="Times New Roman" w:eastAsia="Times New Roman" w:hAnsi="Times New Roman" w:cs="Times New Roman"/>
          <w:b/>
          <w:sz w:val="28"/>
          <w:szCs w:val="28"/>
          <w:lang w:val="en-US" w:eastAsia="ru-RU"/>
        </w:rPr>
        <w:t>Results of trades for medium- and long-term period</w:t>
      </w:r>
    </w:p>
    <w:p w:rsidR="005D2EF0" w:rsidRPr="005D2EF0" w:rsidRDefault="005D2EF0" w:rsidP="005D2EF0">
      <w:pPr>
        <w:spacing w:after="0" w:line="240" w:lineRule="auto"/>
        <w:ind w:firstLine="709"/>
        <w:contextualSpacing/>
        <w:jc w:val="both"/>
        <w:rPr>
          <w:rFonts w:ascii="Times New Roman" w:eastAsia="Times New Roman" w:hAnsi="Times New Roman" w:cs="Times New Roman"/>
          <w:sz w:val="28"/>
          <w:szCs w:val="28"/>
          <w:lang w:val="en-US" w:eastAsia="ru-RU"/>
        </w:rPr>
      </w:pPr>
      <w:r w:rsidRPr="005D2EF0">
        <w:rPr>
          <w:rFonts w:ascii="Times New Roman" w:eastAsia="Times New Roman" w:hAnsi="Times New Roman" w:cs="Times New Roman"/>
          <w:sz w:val="28"/>
          <w:szCs w:val="28"/>
          <w:lang w:val="en-US" w:eastAsia="ru-RU"/>
        </w:rPr>
        <w:t xml:space="preserve">According to the results of bidding for medium- and long-term periods in June 2020, 2 deals </w:t>
      </w:r>
      <w:proofErr w:type="gramStart"/>
      <w:r w:rsidRPr="005D2EF0">
        <w:rPr>
          <w:rFonts w:ascii="Times New Roman" w:eastAsia="Times New Roman" w:hAnsi="Times New Roman" w:cs="Times New Roman"/>
          <w:sz w:val="28"/>
          <w:szCs w:val="28"/>
          <w:lang w:val="en-US" w:eastAsia="ru-RU"/>
        </w:rPr>
        <w:t>were concluded</w:t>
      </w:r>
      <w:proofErr w:type="gramEnd"/>
      <w:r w:rsidRPr="005D2EF0">
        <w:rPr>
          <w:rFonts w:ascii="Times New Roman" w:eastAsia="Times New Roman" w:hAnsi="Times New Roman" w:cs="Times New Roman"/>
          <w:sz w:val="28"/>
          <w:szCs w:val="28"/>
          <w:lang w:val="en-US" w:eastAsia="ru-RU"/>
        </w:rPr>
        <w:t xml:space="preserve"> in the volume of 60,240 thousand kWh for a total amount of 444,384 thousand </w:t>
      </w:r>
      <w:proofErr w:type="spellStart"/>
      <w:r w:rsidRPr="005D2EF0">
        <w:rPr>
          <w:rFonts w:ascii="Times New Roman" w:eastAsia="Times New Roman" w:hAnsi="Times New Roman" w:cs="Times New Roman"/>
          <w:sz w:val="28"/>
          <w:szCs w:val="28"/>
          <w:lang w:val="en-US" w:eastAsia="ru-RU"/>
        </w:rPr>
        <w:t>tenge</w:t>
      </w:r>
      <w:proofErr w:type="spellEnd"/>
      <w:r w:rsidRPr="005D2EF0">
        <w:rPr>
          <w:rFonts w:ascii="Times New Roman" w:eastAsia="Times New Roman" w:hAnsi="Times New Roman" w:cs="Times New Roman"/>
          <w:sz w:val="28"/>
          <w:szCs w:val="28"/>
          <w:lang w:val="en-US" w:eastAsia="ru-RU"/>
        </w:rPr>
        <w:t xml:space="preserve"> (excluding VAT). The minimum price for this type of centralized bidding was 1.1 </w:t>
      </w:r>
      <w:proofErr w:type="spellStart"/>
      <w:r w:rsidRPr="005D2EF0">
        <w:rPr>
          <w:rFonts w:ascii="Times New Roman" w:eastAsia="Times New Roman" w:hAnsi="Times New Roman" w:cs="Times New Roman"/>
          <w:sz w:val="28"/>
          <w:szCs w:val="28"/>
          <w:lang w:val="en-US" w:eastAsia="ru-RU"/>
        </w:rPr>
        <w:t>tenge</w:t>
      </w:r>
      <w:proofErr w:type="spellEnd"/>
      <w:r w:rsidRPr="005D2EF0">
        <w:rPr>
          <w:rFonts w:ascii="Times New Roman" w:eastAsia="Times New Roman" w:hAnsi="Times New Roman" w:cs="Times New Roman"/>
          <w:sz w:val="28"/>
          <w:szCs w:val="28"/>
          <w:lang w:val="en-US" w:eastAsia="ru-RU"/>
        </w:rPr>
        <w:t xml:space="preserve">/kWh (excluding VAT), and the maximum price was 7.95 </w:t>
      </w:r>
      <w:proofErr w:type="spellStart"/>
      <w:r w:rsidRPr="005D2EF0">
        <w:rPr>
          <w:rFonts w:ascii="Times New Roman" w:eastAsia="Times New Roman" w:hAnsi="Times New Roman" w:cs="Times New Roman"/>
          <w:sz w:val="28"/>
          <w:szCs w:val="28"/>
          <w:lang w:val="en-US" w:eastAsia="ru-RU"/>
        </w:rPr>
        <w:t>tenge</w:t>
      </w:r>
      <w:proofErr w:type="spellEnd"/>
      <w:r w:rsidRPr="005D2EF0">
        <w:rPr>
          <w:rFonts w:ascii="Times New Roman" w:eastAsia="Times New Roman" w:hAnsi="Times New Roman" w:cs="Times New Roman"/>
          <w:sz w:val="28"/>
          <w:szCs w:val="28"/>
          <w:lang w:val="en-US" w:eastAsia="ru-RU"/>
        </w:rPr>
        <w:t xml:space="preserve">/kWh (excluding VAT). One transaction </w:t>
      </w:r>
      <w:proofErr w:type="gramStart"/>
      <w:r w:rsidRPr="005D2EF0">
        <w:rPr>
          <w:rFonts w:ascii="Times New Roman" w:eastAsia="Times New Roman" w:hAnsi="Times New Roman" w:cs="Times New Roman"/>
          <w:sz w:val="28"/>
          <w:szCs w:val="28"/>
          <w:lang w:val="en-US" w:eastAsia="ru-RU"/>
        </w:rPr>
        <w:t>was registered</w:t>
      </w:r>
      <w:proofErr w:type="gramEnd"/>
      <w:r w:rsidRPr="005D2EF0">
        <w:rPr>
          <w:rFonts w:ascii="Times New Roman" w:eastAsia="Times New Roman" w:hAnsi="Times New Roman" w:cs="Times New Roman"/>
          <w:sz w:val="28"/>
          <w:szCs w:val="28"/>
          <w:lang w:val="en-US" w:eastAsia="ru-RU"/>
        </w:rPr>
        <w:t xml:space="preserve"> based on the results of centralized trading in electricity with a delivery period of a week, and one transaction was registered with a delivery period of electricity of a quarter.</w:t>
      </w:r>
    </w:p>
    <w:p w:rsidR="005D2EF0" w:rsidRPr="005D2EF0" w:rsidRDefault="005D2EF0" w:rsidP="005D2EF0">
      <w:pPr>
        <w:spacing w:after="0" w:line="240" w:lineRule="auto"/>
        <w:ind w:firstLine="709"/>
        <w:contextualSpacing/>
        <w:jc w:val="both"/>
        <w:rPr>
          <w:rFonts w:ascii="Times New Roman" w:eastAsia="Times New Roman" w:hAnsi="Times New Roman" w:cs="Times New Roman"/>
          <w:sz w:val="28"/>
          <w:szCs w:val="28"/>
          <w:lang w:val="en-US" w:eastAsia="ru-RU"/>
        </w:rPr>
      </w:pPr>
      <w:r w:rsidRPr="005D2EF0">
        <w:rPr>
          <w:rFonts w:ascii="Times New Roman" w:eastAsia="Times New Roman" w:hAnsi="Times New Roman" w:cs="Times New Roman"/>
          <w:sz w:val="28"/>
          <w:szCs w:val="28"/>
          <w:lang w:val="en-US" w:eastAsia="ru-RU"/>
        </w:rPr>
        <w:t>Compared to the same period of 2019, in June 2020, there was a 98.4% decrease in the volume of trades for the medium- and long-term period.</w:t>
      </w:r>
    </w:p>
    <w:p w:rsidR="00132C2F" w:rsidRPr="00B02D8C" w:rsidRDefault="005D2EF0" w:rsidP="005D2EF0">
      <w:pPr>
        <w:spacing w:after="0" w:line="240" w:lineRule="auto"/>
        <w:ind w:firstLine="709"/>
        <w:contextualSpacing/>
        <w:jc w:val="both"/>
        <w:rPr>
          <w:rFonts w:ascii="Times New Roman" w:eastAsia="Times New Roman" w:hAnsi="Times New Roman" w:cs="Times New Roman"/>
          <w:sz w:val="28"/>
          <w:szCs w:val="28"/>
          <w:lang w:val="en-US" w:eastAsia="ru-RU"/>
        </w:rPr>
      </w:pPr>
      <w:r w:rsidRPr="005D2EF0">
        <w:rPr>
          <w:rFonts w:ascii="Times New Roman" w:eastAsia="Times New Roman" w:hAnsi="Times New Roman" w:cs="Times New Roman"/>
          <w:sz w:val="28"/>
          <w:szCs w:val="28"/>
          <w:lang w:val="en-US" w:eastAsia="ru-RU"/>
        </w:rPr>
        <w:t xml:space="preserve">In June 2019, 55 transactions with the volume of 3,730,368 thousand kWh </w:t>
      </w:r>
      <w:proofErr w:type="gramStart"/>
      <w:r w:rsidRPr="005D2EF0">
        <w:rPr>
          <w:rFonts w:ascii="Times New Roman" w:eastAsia="Times New Roman" w:hAnsi="Times New Roman" w:cs="Times New Roman"/>
          <w:sz w:val="28"/>
          <w:szCs w:val="28"/>
          <w:lang w:val="en-US" w:eastAsia="ru-RU"/>
        </w:rPr>
        <w:t>were concluded</w:t>
      </w:r>
      <w:proofErr w:type="gramEnd"/>
      <w:r w:rsidRPr="005D2EF0">
        <w:rPr>
          <w:rFonts w:ascii="Times New Roman" w:eastAsia="Times New Roman" w:hAnsi="Times New Roman" w:cs="Times New Roman"/>
          <w:sz w:val="28"/>
          <w:szCs w:val="28"/>
          <w:lang w:val="en-US" w:eastAsia="ru-RU"/>
        </w:rPr>
        <w:t xml:space="preserve"> in the bidding for the medium- and long-term period. The minimum price for this type of centralized bidding was 5.76 </w:t>
      </w:r>
      <w:proofErr w:type="spellStart"/>
      <w:r w:rsidRPr="005D2EF0">
        <w:rPr>
          <w:rFonts w:ascii="Times New Roman" w:eastAsia="Times New Roman" w:hAnsi="Times New Roman" w:cs="Times New Roman"/>
          <w:sz w:val="28"/>
          <w:szCs w:val="28"/>
          <w:lang w:val="en-US" w:eastAsia="ru-RU"/>
        </w:rPr>
        <w:t>tg</w:t>
      </w:r>
      <w:proofErr w:type="spellEnd"/>
      <w:r w:rsidRPr="005D2EF0">
        <w:rPr>
          <w:rFonts w:ascii="Times New Roman" w:eastAsia="Times New Roman" w:hAnsi="Times New Roman" w:cs="Times New Roman"/>
          <w:sz w:val="28"/>
          <w:szCs w:val="28"/>
          <w:lang w:val="en-US" w:eastAsia="ru-RU"/>
        </w:rPr>
        <w:t>/kWh (excluding VAT)</w:t>
      </w:r>
      <w:proofErr w:type="gramStart"/>
      <w:r w:rsidRPr="005D2EF0">
        <w:rPr>
          <w:rFonts w:ascii="Times New Roman" w:eastAsia="Times New Roman" w:hAnsi="Times New Roman" w:cs="Times New Roman"/>
          <w:sz w:val="28"/>
          <w:szCs w:val="28"/>
          <w:lang w:val="en-US" w:eastAsia="ru-RU"/>
        </w:rPr>
        <w:t>,</w:t>
      </w:r>
      <w:proofErr w:type="gramEnd"/>
      <w:r w:rsidRPr="005D2EF0">
        <w:rPr>
          <w:rFonts w:ascii="Times New Roman" w:eastAsia="Times New Roman" w:hAnsi="Times New Roman" w:cs="Times New Roman"/>
          <w:sz w:val="28"/>
          <w:szCs w:val="28"/>
          <w:lang w:val="en-US" w:eastAsia="ru-RU"/>
        </w:rPr>
        <w:t xml:space="preserve"> the maximum price was 8.4 </w:t>
      </w:r>
      <w:proofErr w:type="spellStart"/>
      <w:r w:rsidRPr="005D2EF0">
        <w:rPr>
          <w:rFonts w:ascii="Times New Roman" w:eastAsia="Times New Roman" w:hAnsi="Times New Roman" w:cs="Times New Roman"/>
          <w:sz w:val="28"/>
          <w:szCs w:val="28"/>
          <w:lang w:val="en-US" w:eastAsia="ru-RU"/>
        </w:rPr>
        <w:t>tg</w:t>
      </w:r>
      <w:proofErr w:type="spellEnd"/>
      <w:r w:rsidRPr="005D2EF0">
        <w:rPr>
          <w:rFonts w:ascii="Times New Roman" w:eastAsia="Times New Roman" w:hAnsi="Times New Roman" w:cs="Times New Roman"/>
          <w:sz w:val="28"/>
          <w:szCs w:val="28"/>
          <w:lang w:val="en-US" w:eastAsia="ru-RU"/>
        </w:rPr>
        <w:t>/kWh (excluding VAT).</w:t>
      </w:r>
    </w:p>
    <w:p w:rsidR="00132C2F" w:rsidRPr="004928A9" w:rsidRDefault="00132C2F"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410AF2">
        <w:rPr>
          <w:rFonts w:ascii="Times New Roman" w:hAnsi="Times New Roman" w:cs="Times New Roman"/>
          <w:sz w:val="28"/>
          <w:szCs w:val="28"/>
          <w:lang w:val="en-US"/>
        </w:rPr>
        <w:t>July</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5D2EF0">
        <w:rPr>
          <w:rFonts w:ascii="Times New Roman" w:hAnsi="Times New Roman" w:cs="Times New Roman"/>
          <w:sz w:val="28"/>
          <w:szCs w:val="28"/>
          <w:lang w:val="en-US"/>
        </w:rPr>
        <w:t>576.7</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003074E2">
        <w:rPr>
          <w:rFonts w:ascii="Times New Roman" w:hAnsi="Times New Roman" w:cs="Times New Roman"/>
          <w:sz w:val="28"/>
          <w:szCs w:val="28"/>
          <w:lang w:val="en-US"/>
        </w:rPr>
        <w:t>643.4</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3074E2">
        <w:rPr>
          <w:rFonts w:ascii="Times New Roman" w:hAnsi="Times New Roman" w:cs="Times New Roman"/>
          <w:sz w:val="28"/>
          <w:szCs w:val="28"/>
          <w:lang w:val="en-US"/>
        </w:rPr>
        <w:t>543.8</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3074E2">
        <w:rPr>
          <w:rFonts w:ascii="Times New Roman" w:hAnsi="Times New Roman" w:cs="Times New Roman"/>
          <w:sz w:val="28"/>
          <w:szCs w:val="28"/>
          <w:lang w:val="en-US"/>
        </w:rPr>
        <w:t>494.9</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410AF2">
              <w:rPr>
                <w:rFonts w:ascii="Times New Roman" w:eastAsia="Times New Roman" w:hAnsi="Times New Roman" w:cs="Times New Roman"/>
                <w:b/>
                <w:bCs/>
                <w:sz w:val="24"/>
                <w:szCs w:val="24"/>
                <w:lang w:val="en-US" w:eastAsia="ru-RU"/>
              </w:rPr>
              <w:t>July</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3074E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3074E2" w:rsidRPr="00967209" w:rsidRDefault="003074E2" w:rsidP="003074E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3 878,9</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1 036,5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-2 842,4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-73,3%</w:t>
            </w:r>
          </w:p>
        </w:tc>
      </w:tr>
      <w:tr w:rsidR="003074E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074E2" w:rsidRPr="00967209" w:rsidRDefault="003074E2" w:rsidP="003074E2">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3 876,0</w:t>
            </w:r>
          </w:p>
        </w:tc>
        <w:tc>
          <w:tcPr>
            <w:tcW w:w="1241"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576,7</w:t>
            </w:r>
          </w:p>
        </w:tc>
        <w:tc>
          <w:tcPr>
            <w:tcW w:w="1275"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-3 299,3</w:t>
            </w:r>
          </w:p>
        </w:tc>
        <w:tc>
          <w:tcPr>
            <w:tcW w:w="1134"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-85,1%</w:t>
            </w:r>
          </w:p>
        </w:tc>
      </w:tr>
      <w:tr w:rsidR="003074E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074E2" w:rsidRPr="00967209" w:rsidRDefault="003074E2" w:rsidP="003074E2">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459,8</w:t>
            </w:r>
          </w:p>
        </w:tc>
        <w:tc>
          <w:tcPr>
            <w:tcW w:w="1275"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456,9</w:t>
            </w:r>
          </w:p>
        </w:tc>
        <w:tc>
          <w:tcPr>
            <w:tcW w:w="1134"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rPr>
                <w:rFonts w:ascii="Times New Roman" w:hAnsi="Times New Roman" w:cs="Times New Roman"/>
                <w:bCs/>
                <w:i/>
                <w:color w:val="000000" w:themeColor="text1"/>
              </w:rPr>
            </w:pPr>
            <w:r w:rsidRPr="00BE0F2B">
              <w:rPr>
                <w:rFonts w:ascii="Times New Roman" w:hAnsi="Times New Roman" w:cs="Times New Roman"/>
                <w:bCs/>
                <w:i/>
                <w:color w:val="000000" w:themeColor="text1"/>
              </w:rPr>
              <w:t>15690%</w:t>
            </w:r>
          </w:p>
        </w:tc>
      </w:tr>
      <w:tr w:rsidR="003074E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3074E2" w:rsidRPr="00967209" w:rsidRDefault="003074E2" w:rsidP="003074E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790,1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844,1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54,0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6,8%</w:t>
            </w:r>
          </w:p>
        </w:tc>
      </w:tr>
      <w:tr w:rsidR="003074E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074E2" w:rsidRPr="00967209" w:rsidRDefault="003074E2" w:rsidP="003074E2">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784,7</w:t>
            </w:r>
          </w:p>
        </w:tc>
        <w:tc>
          <w:tcPr>
            <w:tcW w:w="1241"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643,4</w:t>
            </w:r>
          </w:p>
        </w:tc>
        <w:tc>
          <w:tcPr>
            <w:tcW w:w="1275"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-141,4</w:t>
            </w:r>
          </w:p>
        </w:tc>
        <w:tc>
          <w:tcPr>
            <w:tcW w:w="1134"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-18,0%</w:t>
            </w:r>
          </w:p>
        </w:tc>
      </w:tr>
      <w:tr w:rsidR="003074E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074E2" w:rsidRPr="00967209" w:rsidRDefault="003074E2" w:rsidP="003074E2">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5,4</w:t>
            </w:r>
          </w:p>
        </w:tc>
        <w:tc>
          <w:tcPr>
            <w:tcW w:w="1241" w:type="dxa"/>
            <w:tcBorders>
              <w:top w:val="nil"/>
              <w:left w:val="nil"/>
              <w:bottom w:val="single" w:sz="4" w:space="0" w:color="auto"/>
              <w:right w:val="single" w:sz="4" w:space="0" w:color="auto"/>
            </w:tcBorders>
            <w:shd w:val="clear" w:color="auto" w:fill="auto"/>
            <w:noWrap/>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200,7</w:t>
            </w:r>
          </w:p>
        </w:tc>
        <w:tc>
          <w:tcPr>
            <w:tcW w:w="1275"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195,3</w:t>
            </w:r>
          </w:p>
        </w:tc>
        <w:tc>
          <w:tcPr>
            <w:tcW w:w="1134" w:type="dxa"/>
            <w:tcBorders>
              <w:top w:val="nil"/>
              <w:left w:val="nil"/>
              <w:bottom w:val="single" w:sz="4" w:space="0" w:color="auto"/>
              <w:right w:val="single" w:sz="4" w:space="0" w:color="auto"/>
            </w:tcBorders>
            <w:vAlign w:val="center"/>
          </w:tcPr>
          <w:p w:rsidR="003074E2" w:rsidRPr="00BE0F2B" w:rsidRDefault="003074E2" w:rsidP="003074E2">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3643,7%</w:t>
            </w:r>
          </w:p>
        </w:tc>
      </w:tr>
      <w:tr w:rsidR="003074E2"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3074E2" w:rsidRPr="00967209" w:rsidRDefault="003074E2" w:rsidP="003074E2">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-3 088,8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-192,4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2 896,4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074E2" w:rsidRPr="00BE0F2B" w:rsidRDefault="003074E2" w:rsidP="003074E2">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-93,8%</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The common electricity market of the Eurasian Economic Union </w:t>
      </w:r>
      <w:proofErr w:type="gramStart"/>
      <w:r w:rsidRPr="0068574B">
        <w:rPr>
          <w:rFonts w:ascii="Times New Roman" w:hAnsi="Times New Roman" w:cs="Times New Roman"/>
          <w:sz w:val="28"/>
          <w:lang w:val="en-US"/>
        </w:rPr>
        <w:t>is planned to be formed</w:t>
      </w:r>
      <w:proofErr w:type="gramEnd"/>
      <w:r w:rsidRPr="0068574B">
        <w:rPr>
          <w:rFonts w:ascii="Times New Roman" w:hAnsi="Times New Roman" w:cs="Times New Roman"/>
          <w:sz w:val="28"/>
          <w:lang w:val="en-US"/>
        </w:rPr>
        <w:t xml:space="preserve"> by integrating the national electricity markets of </w:t>
      </w:r>
      <w:r w:rsidRPr="003074E2">
        <w:rPr>
          <w:rFonts w:ascii="Times New Roman" w:hAnsi="Times New Roman" w:cs="Times New Roman"/>
          <w:b/>
          <w:sz w:val="28"/>
          <w:lang w:val="en-US"/>
        </w:rPr>
        <w:t>Armenia, Belarus, Kazakhstan, Kyrgyzstan and Russia</w:t>
      </w:r>
      <w:r w:rsidRPr="0068574B">
        <w:rPr>
          <w:rFonts w:ascii="Times New Roman" w:hAnsi="Times New Roman" w:cs="Times New Roman"/>
          <w:sz w:val="28"/>
          <w:lang w:val="en-US"/>
        </w:rPr>
        <w:t xml:space="preserve">. The EAEU member states are gradually forming the common electric power market of the Union </w:t>
      </w:r>
      <w:proofErr w:type="gramStart"/>
      <w:r w:rsidRPr="0068574B">
        <w:rPr>
          <w:rFonts w:ascii="Times New Roman" w:hAnsi="Times New Roman" w:cs="Times New Roman"/>
          <w:sz w:val="28"/>
          <w:lang w:val="en-US"/>
        </w:rPr>
        <w:t>on the basis of</w:t>
      </w:r>
      <w:proofErr w:type="gramEnd"/>
      <w:r w:rsidRPr="0068574B">
        <w:rPr>
          <w:rFonts w:ascii="Times New Roman" w:hAnsi="Times New Roman" w:cs="Times New Roman"/>
          <w:sz w:val="28"/>
          <w:lang w:val="en-US"/>
        </w:rPr>
        <w:t xml:space="preserve"> power systems operating in parallel, taking into account the priority provision of electricity to domestic consumers of the member states.</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At the same time, the balance of economic interests of producers and consumers of electric energy, as well as other subjects of the EAEU EDM </w:t>
      </w:r>
      <w:proofErr w:type="gramStart"/>
      <w:r w:rsidRPr="0068574B">
        <w:rPr>
          <w:rFonts w:ascii="Times New Roman" w:hAnsi="Times New Roman" w:cs="Times New Roman"/>
          <w:sz w:val="28"/>
          <w:lang w:val="en-US"/>
        </w:rPr>
        <w:t>will be observed</w:t>
      </w:r>
      <w:proofErr w:type="gramEnd"/>
      <w:r w:rsidRPr="0068574B">
        <w:rPr>
          <w:rFonts w:ascii="Times New Roman" w:hAnsi="Times New Roman" w:cs="Times New Roman"/>
          <w:sz w:val="28"/>
          <w:lang w:val="en-US"/>
        </w:rPr>
        <w:t>.</w:t>
      </w:r>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 xml:space="preserve">On </w:t>
      </w:r>
      <w:r w:rsidR="00410AF2">
        <w:rPr>
          <w:rFonts w:ascii="Times New Roman" w:hAnsi="Times New Roman" w:cs="Times New Roman"/>
          <w:sz w:val="28"/>
          <w:lang w:val="en-US"/>
        </w:rPr>
        <w:t>July</w:t>
      </w:r>
      <w:r w:rsidRPr="0068574B">
        <w:rPr>
          <w:rFonts w:ascii="Times New Roman" w:hAnsi="Times New Roman" w:cs="Times New Roman"/>
          <w:sz w:val="28"/>
          <w:lang w:val="en-US"/>
        </w:rPr>
        <w:t xml:space="preserve"> 29, 2019, as part of the celebration of the fifth anniversary of the signing of the Treaty on the Eurasian Economic Union, the Supreme Council signed an international treaty on the formation of a common electric power market of the Union in the form of the Protocol on Amendments to the Treaty on the Eurasian Economic Union of </w:t>
      </w:r>
      <w:r w:rsidR="00410AF2">
        <w:rPr>
          <w:rFonts w:ascii="Times New Roman" w:hAnsi="Times New Roman" w:cs="Times New Roman"/>
          <w:sz w:val="28"/>
          <w:lang w:val="en-US"/>
        </w:rPr>
        <w:t>July</w:t>
      </w:r>
      <w:r w:rsidRPr="0068574B">
        <w:rPr>
          <w:rFonts w:ascii="Times New Roman" w:hAnsi="Times New Roman" w:cs="Times New Roman"/>
          <w:sz w:val="28"/>
          <w:lang w:val="en-US"/>
        </w:rPr>
        <w:t xml:space="preserve"> 29, 2014 (in terms of the formation of a common electric power market of the Eurasian Economic Union).</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On December 20, 2019, the High Council adopted Decision No. 31 "On the plan of measures aimed at the formation of a common electric power market of the Eurasian Economic Union", which establishes, among other things, the deadlines for the approval and entry into force of the rules for the functioning of the common electric power market of the Union, as well as other acts stipulated by the said Protocol.</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In 2020, the 13th meeting of the Advisory Committee on Electricity under the EEC Collegium in absentia (</w:t>
      </w:r>
      <w:r w:rsidR="00410AF2">
        <w:rPr>
          <w:rFonts w:ascii="Times New Roman" w:hAnsi="Times New Roman" w:cs="Times New Roman"/>
          <w:sz w:val="28"/>
          <w:lang w:val="en-US"/>
        </w:rPr>
        <w:t>July</w:t>
      </w:r>
      <w:r w:rsidRPr="0068574B">
        <w:rPr>
          <w:rFonts w:ascii="Times New Roman" w:hAnsi="Times New Roman" w:cs="Times New Roman"/>
          <w:sz w:val="28"/>
          <w:lang w:val="en-US"/>
        </w:rPr>
        <w:t xml:space="preserve"> 26, 2020), two meetings of the Subcommittee on the formation of the EEU EDM of the Advisory Committee on Electricity under the EEC Collegium are held, the work on the development and agreement by the EAEU member states of the rules of functioning of the EAEU EDM is carried out (49th meeting on January 23-24, 2020, 50th meeting on </w:t>
      </w:r>
      <w:r w:rsidR="003074E2">
        <w:rPr>
          <w:rFonts w:ascii="Times New Roman" w:hAnsi="Times New Roman" w:cs="Times New Roman"/>
          <w:sz w:val="28"/>
          <w:lang w:val="en-US"/>
        </w:rPr>
        <w:t>May</w:t>
      </w:r>
      <w:r w:rsidRPr="0068574B">
        <w:rPr>
          <w:rFonts w:ascii="Times New Roman" w:hAnsi="Times New Roman" w:cs="Times New Roman"/>
          <w:sz w:val="28"/>
          <w:lang w:val="en-US"/>
        </w:rPr>
        <w:t xml:space="preserve"> 29, 2020</w:t>
      </w:r>
      <w:r w:rsidR="003074E2">
        <w:rPr>
          <w:rFonts w:ascii="Times New Roman" w:hAnsi="Times New Roman" w:cs="Times New Roman"/>
          <w:sz w:val="28"/>
          <w:lang w:val="en-US"/>
        </w:rPr>
        <w:t xml:space="preserve">, </w:t>
      </w:r>
      <w:r w:rsidR="003074E2" w:rsidRPr="003074E2">
        <w:rPr>
          <w:rFonts w:ascii="Times New Roman" w:hAnsi="Times New Roman" w:cs="Times New Roman"/>
          <w:sz w:val="28"/>
          <w:lang w:val="en-US"/>
        </w:rPr>
        <w:t>51st meeting on July 02, 2020) and one meeting of the Subcommittee members (February 20-21, 2020</w:t>
      </w:r>
      <w:r w:rsidR="003074E2">
        <w:rPr>
          <w:rFonts w:ascii="Times New Roman" w:hAnsi="Times New Roman" w:cs="Times New Roman"/>
          <w:sz w:val="28"/>
          <w:lang w:val="en-US"/>
        </w:rPr>
        <w:t>).</w:t>
      </w:r>
      <w:proofErr w:type="gramEnd"/>
      <w:r w:rsidR="003074E2">
        <w:rPr>
          <w:rFonts w:ascii="Times New Roman" w:hAnsi="Times New Roman" w:cs="Times New Roman"/>
          <w:sz w:val="28"/>
          <w:lang w:val="en-US"/>
        </w:rPr>
        <w:t xml:space="preserve"> </w:t>
      </w:r>
    </w:p>
    <w:p w:rsidR="00E37727" w:rsidRPr="001E18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Work on the formation of a common electricity market of the Eu</w:t>
      </w:r>
      <w:r>
        <w:rPr>
          <w:rFonts w:ascii="Times New Roman" w:hAnsi="Times New Roman" w:cs="Times New Roman"/>
          <w:sz w:val="28"/>
          <w:lang w:val="en-US"/>
        </w:rPr>
        <w:t>rasian Economic Union continues</w:t>
      </w:r>
      <w:r w:rsidR="00E37727" w:rsidRPr="001E184B">
        <w:rPr>
          <w:rFonts w:ascii="Times New Roman" w:hAnsi="Times New Roman" w:cs="Times New Roman"/>
          <w:sz w:val="28"/>
          <w:lang w:val="en-US"/>
        </w:rPr>
        <w:t xml:space="preserve">.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8574B" w:rsidRDefault="0068574B" w:rsidP="00512A3A">
      <w:pPr>
        <w:spacing w:after="0" w:line="240" w:lineRule="auto"/>
        <w:ind w:firstLine="708"/>
        <w:jc w:val="both"/>
        <w:rPr>
          <w:rFonts w:ascii="Times New Roman" w:hAnsi="Times New Roman" w:cs="Times New Roman"/>
          <w:sz w:val="28"/>
          <w:lang w:val="en-US"/>
        </w:rPr>
      </w:pPr>
    </w:p>
    <w:p w:rsidR="0068574B" w:rsidRPr="001E184B" w:rsidRDefault="0068574B" w:rsidP="00512A3A">
      <w:pPr>
        <w:spacing w:after="0" w:line="240" w:lineRule="auto"/>
        <w:ind w:firstLine="708"/>
        <w:jc w:val="both"/>
        <w:rPr>
          <w:rFonts w:ascii="Times New Roman" w:hAnsi="Times New Roman" w:cs="Times New Roman"/>
          <w:sz w:val="28"/>
          <w:lang w:val="en-US"/>
        </w:rPr>
      </w:pP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410AF2"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410AF2"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410AF2"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410AF2"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p w:rsidR="003074E2" w:rsidRDefault="003074E2" w:rsidP="00512A3A">
      <w:pPr>
        <w:pStyle w:val="a3"/>
        <w:spacing w:after="0" w:line="240" w:lineRule="auto"/>
        <w:jc w:val="center"/>
        <w:rPr>
          <w:rFonts w:ascii="Times New Roman" w:hAnsi="Times New Roman" w:cs="Times New Roman"/>
          <w:i/>
          <w:sz w:val="24"/>
          <w:szCs w:val="24"/>
          <w:lang w:val="en-US"/>
        </w:rPr>
      </w:pPr>
    </w:p>
    <w:bookmarkEnd w:id="32"/>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Kyrgyz Republic</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The State Committee for Industry, Energy and Subsoil Use of the Kyrgyz Republic expects to increase electricity production up to 26 billion kWh under the optimistic scenario and up to 17 billion kWh - under the pessimistic scenario (09.07.2020) until 2030.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In case of effective implementation of tasks and measures envisaged by the Concept of development of fuel and energy complex of the Kyrgyz Republic until 2030, it is expected to develop the energy infrastructure providing electricity supply taking into account the growth of consumption with an increase in electricity production up to 26 billion kWh under the optimistic scenario and up to 17 billion kWh under the pessimistic scenario (if no new HPPs and Kara-</w:t>
      </w:r>
      <w:proofErr w:type="spellStart"/>
      <w:r w:rsidRPr="003074E2">
        <w:rPr>
          <w:rFonts w:ascii="Times New Roman" w:eastAsia="Times New Roman" w:hAnsi="Times New Roman" w:cs="Times New Roman"/>
          <w:sz w:val="28"/>
          <w:szCs w:val="28"/>
        </w:rPr>
        <w:t>Kechinskaya</w:t>
      </w:r>
      <w:proofErr w:type="spellEnd"/>
      <w:r w:rsidRPr="003074E2">
        <w:rPr>
          <w:rFonts w:ascii="Times New Roman" w:eastAsia="Times New Roman" w:hAnsi="Times New Roman" w:cs="Times New Roman"/>
          <w:sz w:val="28"/>
          <w:szCs w:val="28"/>
        </w:rPr>
        <w:t xml:space="preserve"> TPP are built).</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It </w:t>
      </w:r>
      <w:proofErr w:type="gramStart"/>
      <w:r w:rsidRPr="003074E2">
        <w:rPr>
          <w:rFonts w:ascii="Times New Roman" w:eastAsia="Times New Roman" w:hAnsi="Times New Roman" w:cs="Times New Roman"/>
          <w:sz w:val="28"/>
          <w:szCs w:val="28"/>
        </w:rPr>
        <w:t>is also expected</w:t>
      </w:r>
      <w:proofErr w:type="gramEnd"/>
      <w:r w:rsidRPr="003074E2">
        <w:rPr>
          <w:rFonts w:ascii="Times New Roman" w:eastAsia="Times New Roman" w:hAnsi="Times New Roman" w:cs="Times New Roman"/>
          <w:sz w:val="28"/>
          <w:szCs w:val="28"/>
        </w:rPr>
        <w:t xml:space="preserve"> to:</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lastRenderedPageBreak/>
        <w:t>- solving social problems to improve the reliability of electricity supply to households in remote areas by constructing new sections of substations and transmission lines, as well as introducing sources of autonomous power supply by utilizing the potential of RES;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meeting the electricity demand of electricity-intensive production of mercury, antimony, cement at existing enterprises, as well as the creation of enterprises - light industry, processing and preparation of agricultural products for export to the EAEU countries by improving energy efficiency and achieving energy savings of 11.1 million tons of fuel equivalent by 2030;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Ensuring the need for fuel and energy resources to develop the construction of new facilities and expand resort areas, cultural and sports and recreational complexes that meet international standards for the full development of all forms of tourism;</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 increasing coal production by 30% by utilizing the significant reserves of the </w:t>
      </w:r>
      <w:proofErr w:type="spellStart"/>
      <w:r w:rsidRPr="003074E2">
        <w:rPr>
          <w:rFonts w:ascii="Times New Roman" w:eastAsia="Times New Roman" w:hAnsi="Times New Roman" w:cs="Times New Roman"/>
          <w:sz w:val="28"/>
          <w:szCs w:val="28"/>
        </w:rPr>
        <w:t>Kavak</w:t>
      </w:r>
      <w:proofErr w:type="spellEnd"/>
      <w:r w:rsidRPr="003074E2">
        <w:rPr>
          <w:rFonts w:ascii="Times New Roman" w:eastAsia="Times New Roman" w:hAnsi="Times New Roman" w:cs="Times New Roman"/>
          <w:sz w:val="28"/>
          <w:szCs w:val="28"/>
        </w:rPr>
        <w:t xml:space="preserve"> lignite basin through the creation of a fuel and energy cluster based on the use of the balance reserves of the Kara-</w:t>
      </w:r>
      <w:proofErr w:type="spellStart"/>
      <w:r w:rsidRPr="003074E2">
        <w:rPr>
          <w:rFonts w:ascii="Times New Roman" w:eastAsia="Times New Roman" w:hAnsi="Times New Roman" w:cs="Times New Roman"/>
          <w:sz w:val="28"/>
          <w:szCs w:val="28"/>
        </w:rPr>
        <w:t>Keche</w:t>
      </w:r>
      <w:proofErr w:type="spellEnd"/>
      <w:r w:rsidRPr="003074E2">
        <w:rPr>
          <w:rFonts w:ascii="Times New Roman" w:eastAsia="Times New Roman" w:hAnsi="Times New Roman" w:cs="Times New Roman"/>
          <w:sz w:val="28"/>
          <w:szCs w:val="28"/>
        </w:rPr>
        <w:t xml:space="preserve"> lignite deposit in 2020-2025, development of the </w:t>
      </w:r>
      <w:proofErr w:type="spellStart"/>
      <w:r w:rsidRPr="003074E2">
        <w:rPr>
          <w:rFonts w:ascii="Times New Roman" w:eastAsia="Times New Roman" w:hAnsi="Times New Roman" w:cs="Times New Roman"/>
          <w:sz w:val="28"/>
          <w:szCs w:val="28"/>
        </w:rPr>
        <w:t>Uzgen</w:t>
      </w:r>
      <w:proofErr w:type="spellEnd"/>
      <w:r w:rsidRPr="003074E2">
        <w:rPr>
          <w:rFonts w:ascii="Times New Roman" w:eastAsia="Times New Roman" w:hAnsi="Times New Roman" w:cs="Times New Roman"/>
          <w:sz w:val="28"/>
          <w:szCs w:val="28"/>
        </w:rPr>
        <w:t xml:space="preserve"> hard coal deposit and development of the </w:t>
      </w:r>
      <w:proofErr w:type="spellStart"/>
      <w:r w:rsidRPr="003074E2">
        <w:rPr>
          <w:rFonts w:ascii="Times New Roman" w:eastAsia="Times New Roman" w:hAnsi="Times New Roman" w:cs="Times New Roman"/>
          <w:sz w:val="28"/>
          <w:szCs w:val="28"/>
        </w:rPr>
        <w:t>Karatube</w:t>
      </w:r>
      <w:proofErr w:type="spellEnd"/>
      <w:r w:rsidRPr="003074E2">
        <w:rPr>
          <w:rFonts w:ascii="Times New Roman" w:eastAsia="Times New Roman" w:hAnsi="Times New Roman" w:cs="Times New Roman"/>
          <w:sz w:val="28"/>
          <w:szCs w:val="28"/>
        </w:rPr>
        <w:t xml:space="preserve"> and </w:t>
      </w:r>
      <w:proofErr w:type="spellStart"/>
      <w:r w:rsidRPr="003074E2">
        <w:rPr>
          <w:rFonts w:ascii="Times New Roman" w:eastAsia="Times New Roman" w:hAnsi="Times New Roman" w:cs="Times New Roman"/>
          <w:sz w:val="28"/>
          <w:szCs w:val="28"/>
        </w:rPr>
        <w:t>Kok-Keche</w:t>
      </w:r>
      <w:proofErr w:type="spellEnd"/>
      <w:r w:rsidRPr="003074E2">
        <w:rPr>
          <w:rFonts w:ascii="Times New Roman" w:eastAsia="Times New Roman" w:hAnsi="Times New Roman" w:cs="Times New Roman"/>
          <w:sz w:val="28"/>
          <w:szCs w:val="28"/>
        </w:rPr>
        <w:t xml:space="preserve"> areas in 2020-2022. - </w:t>
      </w:r>
      <w:proofErr w:type="spellStart"/>
      <w:r w:rsidRPr="003074E2">
        <w:rPr>
          <w:rFonts w:ascii="Times New Roman" w:eastAsia="Times New Roman" w:hAnsi="Times New Roman" w:cs="Times New Roman"/>
          <w:sz w:val="28"/>
          <w:szCs w:val="28"/>
        </w:rPr>
        <w:t>Karatube</w:t>
      </w:r>
      <w:proofErr w:type="spellEnd"/>
      <w:r w:rsidRPr="003074E2">
        <w:rPr>
          <w:rFonts w:ascii="Times New Roman" w:eastAsia="Times New Roman" w:hAnsi="Times New Roman" w:cs="Times New Roman"/>
          <w:sz w:val="28"/>
          <w:szCs w:val="28"/>
        </w:rPr>
        <w:t xml:space="preserve"> and </w:t>
      </w:r>
      <w:proofErr w:type="spellStart"/>
      <w:r w:rsidRPr="003074E2">
        <w:rPr>
          <w:rFonts w:ascii="Times New Roman" w:eastAsia="Times New Roman" w:hAnsi="Times New Roman" w:cs="Times New Roman"/>
          <w:sz w:val="28"/>
          <w:szCs w:val="28"/>
        </w:rPr>
        <w:t>Kok-Kiya</w:t>
      </w:r>
      <w:proofErr w:type="spellEnd"/>
      <w:r w:rsidRPr="003074E2">
        <w:rPr>
          <w:rFonts w:ascii="Times New Roman" w:eastAsia="Times New Roman" w:hAnsi="Times New Roman" w:cs="Times New Roman"/>
          <w:sz w:val="28"/>
          <w:szCs w:val="28"/>
        </w:rPr>
        <w:t xml:space="preserve">, in 2025-2030 </w:t>
      </w:r>
      <w:proofErr w:type="spellStart"/>
      <w:r w:rsidRPr="003074E2">
        <w:rPr>
          <w:rFonts w:ascii="Times New Roman" w:eastAsia="Times New Roman" w:hAnsi="Times New Roman" w:cs="Times New Roman"/>
          <w:sz w:val="28"/>
          <w:szCs w:val="28"/>
        </w:rPr>
        <w:t>Beshterek</w:t>
      </w:r>
      <w:proofErr w:type="spellEnd"/>
      <w:r w:rsidRPr="003074E2">
        <w:rPr>
          <w:rFonts w:ascii="Times New Roman" w:eastAsia="Times New Roman" w:hAnsi="Times New Roman" w:cs="Times New Roman"/>
          <w:sz w:val="28"/>
          <w:szCs w:val="28"/>
        </w:rPr>
        <w:t xml:space="preserve"> and in 2026. - </w:t>
      </w:r>
      <w:proofErr w:type="spellStart"/>
      <w:r w:rsidRPr="003074E2">
        <w:rPr>
          <w:rFonts w:ascii="Times New Roman" w:eastAsia="Times New Roman" w:hAnsi="Times New Roman" w:cs="Times New Roman"/>
          <w:sz w:val="28"/>
          <w:szCs w:val="28"/>
        </w:rPr>
        <w:t>Beshterek</w:t>
      </w:r>
      <w:proofErr w:type="spellEnd"/>
      <w:r w:rsidRPr="003074E2">
        <w:rPr>
          <w:rFonts w:ascii="Times New Roman" w:eastAsia="Times New Roman" w:hAnsi="Times New Roman" w:cs="Times New Roman"/>
          <w:sz w:val="28"/>
          <w:szCs w:val="28"/>
        </w:rPr>
        <w:t xml:space="preserve"> and in 2026-2028. - </w:t>
      </w:r>
      <w:proofErr w:type="spellStart"/>
      <w:r w:rsidRPr="003074E2">
        <w:rPr>
          <w:rFonts w:ascii="Times New Roman" w:eastAsia="Times New Roman" w:hAnsi="Times New Roman" w:cs="Times New Roman"/>
          <w:sz w:val="28"/>
          <w:szCs w:val="28"/>
        </w:rPr>
        <w:t>Chitti-Aksur</w:t>
      </w:r>
      <w:proofErr w:type="spellEnd"/>
      <w:r w:rsidRPr="003074E2">
        <w:rPr>
          <w:rFonts w:ascii="Times New Roman" w:eastAsia="Times New Roman" w:hAnsi="Times New Roman" w:cs="Times New Roman"/>
          <w:sz w:val="28"/>
          <w:szCs w:val="28"/>
        </w:rPr>
        <w:t xml:space="preserve"> and production of hard coal, coking coal and semi-anthracite in Osh oblast, increase of coal production in </w:t>
      </w:r>
      <w:proofErr w:type="spellStart"/>
      <w:r w:rsidRPr="003074E2">
        <w:rPr>
          <w:rFonts w:ascii="Times New Roman" w:eastAsia="Times New Roman" w:hAnsi="Times New Roman" w:cs="Times New Roman"/>
          <w:sz w:val="28"/>
          <w:szCs w:val="28"/>
        </w:rPr>
        <w:t>Zhyrgalan</w:t>
      </w:r>
      <w:proofErr w:type="spellEnd"/>
      <w:r w:rsidRPr="003074E2">
        <w:rPr>
          <w:rFonts w:ascii="Times New Roman" w:eastAsia="Times New Roman" w:hAnsi="Times New Roman" w:cs="Times New Roman"/>
          <w:sz w:val="28"/>
          <w:szCs w:val="28"/>
        </w:rPr>
        <w:t xml:space="preserve"> coal deposit through construction of +2100 m horizon of </w:t>
      </w:r>
      <w:proofErr w:type="spellStart"/>
      <w:r w:rsidRPr="003074E2">
        <w:rPr>
          <w:rFonts w:ascii="Times New Roman" w:eastAsia="Times New Roman" w:hAnsi="Times New Roman" w:cs="Times New Roman"/>
          <w:sz w:val="28"/>
          <w:szCs w:val="28"/>
        </w:rPr>
        <w:t>Zhyrgalan</w:t>
      </w:r>
      <w:proofErr w:type="spellEnd"/>
      <w:r w:rsidRPr="003074E2">
        <w:rPr>
          <w:rFonts w:ascii="Times New Roman" w:eastAsia="Times New Roman" w:hAnsi="Times New Roman" w:cs="Times New Roman"/>
          <w:sz w:val="28"/>
          <w:szCs w:val="28"/>
        </w:rPr>
        <w:t xml:space="preserve"> Mine OJSC and </w:t>
      </w:r>
      <w:proofErr w:type="spellStart"/>
      <w:r w:rsidRPr="003074E2">
        <w:rPr>
          <w:rFonts w:ascii="Times New Roman" w:eastAsia="Times New Roman" w:hAnsi="Times New Roman" w:cs="Times New Roman"/>
          <w:sz w:val="28"/>
          <w:szCs w:val="28"/>
        </w:rPr>
        <w:t>Zhyrgalan-Dorgokomur</w:t>
      </w:r>
      <w:proofErr w:type="spellEnd"/>
      <w:r w:rsidRPr="003074E2">
        <w:rPr>
          <w:rFonts w:ascii="Times New Roman" w:eastAsia="Times New Roman" w:hAnsi="Times New Roman" w:cs="Times New Roman"/>
          <w:sz w:val="28"/>
          <w:szCs w:val="28"/>
        </w:rPr>
        <w:t xml:space="preserve"> LLC in Issyk-Kul oblast, further development of </w:t>
      </w:r>
      <w:proofErr w:type="spellStart"/>
      <w:r w:rsidRPr="003074E2">
        <w:rPr>
          <w:rFonts w:ascii="Times New Roman" w:eastAsia="Times New Roman" w:hAnsi="Times New Roman" w:cs="Times New Roman"/>
          <w:sz w:val="28"/>
          <w:szCs w:val="28"/>
        </w:rPr>
        <w:t>Sulukta</w:t>
      </w:r>
      <w:proofErr w:type="spellEnd"/>
      <w:r w:rsidRPr="003074E2">
        <w:rPr>
          <w:rFonts w:ascii="Times New Roman" w:eastAsia="Times New Roman" w:hAnsi="Times New Roman" w:cs="Times New Roman"/>
          <w:sz w:val="28"/>
          <w:szCs w:val="28"/>
        </w:rPr>
        <w:t xml:space="preserve"> lignite deposit in </w:t>
      </w:r>
      <w:proofErr w:type="spellStart"/>
      <w:r w:rsidRPr="003074E2">
        <w:rPr>
          <w:rFonts w:ascii="Times New Roman" w:eastAsia="Times New Roman" w:hAnsi="Times New Roman" w:cs="Times New Roman"/>
          <w:sz w:val="28"/>
          <w:szCs w:val="28"/>
        </w:rPr>
        <w:t>Batken</w:t>
      </w:r>
      <w:proofErr w:type="spellEnd"/>
      <w:r w:rsidRPr="003074E2">
        <w:rPr>
          <w:rFonts w:ascii="Times New Roman" w:eastAsia="Times New Roman" w:hAnsi="Times New Roman" w:cs="Times New Roman"/>
          <w:sz w:val="28"/>
          <w:szCs w:val="28"/>
        </w:rPr>
        <w:t xml:space="preserve"> oblast;</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roofErr w:type="gramStart"/>
      <w:r w:rsidRPr="003074E2">
        <w:rPr>
          <w:rFonts w:ascii="Times New Roman" w:eastAsia="Times New Roman" w:hAnsi="Times New Roman" w:cs="Times New Roman"/>
          <w:sz w:val="28"/>
          <w:szCs w:val="28"/>
        </w:rPr>
        <w:t xml:space="preserve">- increasing the share of RES from 1.7% to 5% by putting into operation small HPPs with capacity of 71.8 MW in Chui oblast, 33.5 MW in Jalal-Abad oblast, 13 MW in </w:t>
      </w:r>
      <w:proofErr w:type="spellStart"/>
      <w:r w:rsidRPr="003074E2">
        <w:rPr>
          <w:rFonts w:ascii="Times New Roman" w:eastAsia="Times New Roman" w:hAnsi="Times New Roman" w:cs="Times New Roman"/>
          <w:sz w:val="28"/>
          <w:szCs w:val="28"/>
        </w:rPr>
        <w:t>Batken</w:t>
      </w:r>
      <w:proofErr w:type="spellEnd"/>
      <w:r w:rsidRPr="003074E2">
        <w:rPr>
          <w:rFonts w:ascii="Times New Roman" w:eastAsia="Times New Roman" w:hAnsi="Times New Roman" w:cs="Times New Roman"/>
          <w:sz w:val="28"/>
          <w:szCs w:val="28"/>
        </w:rPr>
        <w:t xml:space="preserve"> oblast, 7.38 MW in </w:t>
      </w:r>
      <w:proofErr w:type="spellStart"/>
      <w:r w:rsidRPr="003074E2">
        <w:rPr>
          <w:rFonts w:ascii="Times New Roman" w:eastAsia="Times New Roman" w:hAnsi="Times New Roman" w:cs="Times New Roman"/>
          <w:sz w:val="28"/>
          <w:szCs w:val="28"/>
        </w:rPr>
        <w:t>Naryn</w:t>
      </w:r>
      <w:proofErr w:type="spellEnd"/>
      <w:r w:rsidRPr="003074E2">
        <w:rPr>
          <w:rFonts w:ascii="Times New Roman" w:eastAsia="Times New Roman" w:hAnsi="Times New Roman" w:cs="Times New Roman"/>
          <w:sz w:val="28"/>
          <w:szCs w:val="28"/>
        </w:rPr>
        <w:t xml:space="preserve"> oblast, 7 MW in Issyk-Kul oblast, 6.2 MW in Osh oblast and 1.6 MW in </w:t>
      </w:r>
      <w:proofErr w:type="spellStart"/>
      <w:r w:rsidRPr="003074E2">
        <w:rPr>
          <w:rFonts w:ascii="Times New Roman" w:eastAsia="Times New Roman" w:hAnsi="Times New Roman" w:cs="Times New Roman"/>
          <w:sz w:val="28"/>
          <w:szCs w:val="28"/>
        </w:rPr>
        <w:t>Talas</w:t>
      </w:r>
      <w:proofErr w:type="spellEnd"/>
      <w:r w:rsidRPr="003074E2">
        <w:rPr>
          <w:rFonts w:ascii="Times New Roman" w:eastAsia="Times New Roman" w:hAnsi="Times New Roman" w:cs="Times New Roman"/>
          <w:sz w:val="28"/>
          <w:szCs w:val="28"/>
        </w:rPr>
        <w:t xml:space="preserve"> oblast, which will require $314 </w:t>
      </w:r>
      <w:proofErr w:type="spellStart"/>
      <w:r w:rsidRPr="003074E2">
        <w:rPr>
          <w:rFonts w:ascii="Times New Roman" w:eastAsia="Times New Roman" w:hAnsi="Times New Roman" w:cs="Times New Roman"/>
          <w:sz w:val="28"/>
          <w:szCs w:val="28"/>
        </w:rPr>
        <w:t>mln</w:t>
      </w:r>
      <w:proofErr w:type="spellEnd"/>
      <w:r w:rsidRPr="003074E2">
        <w:rPr>
          <w:rFonts w:ascii="Times New Roman" w:eastAsia="Times New Roman" w:hAnsi="Times New Roman" w:cs="Times New Roman"/>
          <w:sz w:val="28"/>
          <w:szCs w:val="28"/>
        </w:rPr>
        <w:t xml:space="preserve"> with specific </w:t>
      </w:r>
      <w:proofErr w:type="spellStart"/>
      <w:r w:rsidRPr="003074E2">
        <w:rPr>
          <w:rFonts w:ascii="Times New Roman" w:eastAsia="Times New Roman" w:hAnsi="Times New Roman" w:cs="Times New Roman"/>
          <w:sz w:val="28"/>
          <w:szCs w:val="28"/>
        </w:rPr>
        <w:t>capex</w:t>
      </w:r>
      <w:proofErr w:type="spellEnd"/>
      <w:r w:rsidRPr="003074E2">
        <w:rPr>
          <w:rFonts w:ascii="Times New Roman" w:eastAsia="Times New Roman" w:hAnsi="Times New Roman" w:cs="Times New Roman"/>
          <w:sz w:val="28"/>
          <w:szCs w:val="28"/>
        </w:rPr>
        <w:t xml:space="preserve"> of $2000 thou.</w:t>
      </w:r>
      <w:proofErr w:type="gramEnd"/>
      <w:r w:rsidRPr="003074E2">
        <w:rPr>
          <w:rFonts w:ascii="Times New Roman" w:eastAsia="Times New Roman" w:hAnsi="Times New Roman" w:cs="Times New Roman"/>
          <w:sz w:val="28"/>
          <w:szCs w:val="28"/>
        </w:rPr>
        <w:t xml:space="preserve"> </w:t>
      </w:r>
      <w:proofErr w:type="gramStart"/>
      <w:r w:rsidRPr="003074E2">
        <w:rPr>
          <w:rFonts w:ascii="Times New Roman" w:eastAsia="Times New Roman" w:hAnsi="Times New Roman" w:cs="Times New Roman"/>
          <w:sz w:val="28"/>
          <w:szCs w:val="28"/>
        </w:rPr>
        <w:t>per</w:t>
      </w:r>
      <w:proofErr w:type="gramEnd"/>
      <w:r w:rsidRPr="003074E2">
        <w:rPr>
          <w:rFonts w:ascii="Times New Roman" w:eastAsia="Times New Roman" w:hAnsi="Times New Roman" w:cs="Times New Roman"/>
          <w:sz w:val="28"/>
          <w:szCs w:val="28"/>
        </w:rPr>
        <w:t xml:space="preserve"> 1 MW;</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development of electrification of transport, creation of enterprises for processing of agricultural products for export to EAEU countries with fulfillment of the Paris Agreement standards on non-exceeding of GHG emissions per capita in the amount of 1.58 tons of CO2/person by 2050 and reduction of energy intensity of GDP by 19% by 2030;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 Increase of labor employment of local population at new energy facilities with creation of mining cluster in </w:t>
      </w:r>
      <w:proofErr w:type="spellStart"/>
      <w:r w:rsidRPr="003074E2">
        <w:rPr>
          <w:rFonts w:ascii="Times New Roman" w:eastAsia="Times New Roman" w:hAnsi="Times New Roman" w:cs="Times New Roman"/>
          <w:sz w:val="28"/>
          <w:szCs w:val="28"/>
        </w:rPr>
        <w:t>Batken</w:t>
      </w:r>
      <w:proofErr w:type="spellEnd"/>
      <w:r w:rsidRPr="003074E2">
        <w:rPr>
          <w:rFonts w:ascii="Times New Roman" w:eastAsia="Times New Roman" w:hAnsi="Times New Roman" w:cs="Times New Roman"/>
          <w:sz w:val="28"/>
          <w:szCs w:val="28"/>
        </w:rPr>
        <w:t xml:space="preserve"> and Issyk-Kul oblasts, fuel and energy cluster in Jalal-Abad and </w:t>
      </w:r>
      <w:proofErr w:type="spellStart"/>
      <w:r w:rsidRPr="003074E2">
        <w:rPr>
          <w:rFonts w:ascii="Times New Roman" w:eastAsia="Times New Roman" w:hAnsi="Times New Roman" w:cs="Times New Roman"/>
          <w:sz w:val="28"/>
          <w:szCs w:val="28"/>
        </w:rPr>
        <w:t>Naryn</w:t>
      </w:r>
      <w:proofErr w:type="spellEnd"/>
      <w:r w:rsidRPr="003074E2">
        <w:rPr>
          <w:rFonts w:ascii="Times New Roman" w:eastAsia="Times New Roman" w:hAnsi="Times New Roman" w:cs="Times New Roman"/>
          <w:sz w:val="28"/>
          <w:szCs w:val="28"/>
        </w:rPr>
        <w:t xml:space="preserve"> oblasts;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Increasing economic sustainability and solvency of fuel and energy enterprises with minimization of expenses of electric power enterprises, ensuring transparency of business processes and formation of tariffs by categories of consumers, in parallel with the development of a system of measures for targeted social support of vulnerable segments of the population;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 </w:t>
      </w:r>
      <w:proofErr w:type="gramStart"/>
      <w:r w:rsidRPr="003074E2">
        <w:rPr>
          <w:rFonts w:ascii="Times New Roman" w:eastAsia="Times New Roman" w:hAnsi="Times New Roman" w:cs="Times New Roman"/>
          <w:sz w:val="28"/>
          <w:szCs w:val="28"/>
        </w:rPr>
        <w:t>implementation</w:t>
      </w:r>
      <w:proofErr w:type="gramEnd"/>
      <w:r w:rsidRPr="003074E2">
        <w:rPr>
          <w:rFonts w:ascii="Times New Roman" w:eastAsia="Times New Roman" w:hAnsi="Times New Roman" w:cs="Times New Roman"/>
          <w:sz w:val="28"/>
          <w:szCs w:val="28"/>
        </w:rPr>
        <w:t xml:space="preserve"> of an effective HR policy, creation of a system for training and retraining of highly qualified personnel;</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 </w:t>
      </w:r>
      <w:proofErr w:type="gramStart"/>
      <w:r w:rsidRPr="003074E2">
        <w:rPr>
          <w:rFonts w:ascii="Times New Roman" w:eastAsia="Times New Roman" w:hAnsi="Times New Roman" w:cs="Times New Roman"/>
          <w:sz w:val="28"/>
          <w:szCs w:val="28"/>
        </w:rPr>
        <w:t>creation</w:t>
      </w:r>
      <w:proofErr w:type="gramEnd"/>
      <w:r w:rsidRPr="003074E2">
        <w:rPr>
          <w:rFonts w:ascii="Times New Roman" w:eastAsia="Times New Roman" w:hAnsi="Times New Roman" w:cs="Times New Roman"/>
          <w:sz w:val="28"/>
          <w:szCs w:val="28"/>
        </w:rPr>
        <w:t xml:space="preserve"> of mechanisms to reduce corruption risks in the fuel and energy sector.</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roofErr w:type="gramStart"/>
      <w:r w:rsidRPr="003074E2">
        <w:rPr>
          <w:rFonts w:ascii="Times New Roman" w:eastAsia="Times New Roman" w:hAnsi="Times New Roman" w:cs="Times New Roman"/>
          <w:sz w:val="28"/>
          <w:szCs w:val="28"/>
        </w:rPr>
        <w:t xml:space="preserve">In order to overcome the expected risks and threats, it is necessary to carefully study the feasibility of creating a separate </w:t>
      </w:r>
      <w:proofErr w:type="spellStart"/>
      <w:r w:rsidRPr="003074E2">
        <w:rPr>
          <w:rFonts w:ascii="Times New Roman" w:eastAsia="Times New Roman" w:hAnsi="Times New Roman" w:cs="Times New Roman"/>
          <w:sz w:val="28"/>
          <w:szCs w:val="28"/>
        </w:rPr>
        <w:t>sectoral</w:t>
      </w:r>
      <w:proofErr w:type="spellEnd"/>
      <w:r w:rsidRPr="003074E2">
        <w:rPr>
          <w:rFonts w:ascii="Times New Roman" w:eastAsia="Times New Roman" w:hAnsi="Times New Roman" w:cs="Times New Roman"/>
          <w:sz w:val="28"/>
          <w:szCs w:val="28"/>
        </w:rPr>
        <w:t xml:space="preserve"> state body authorized in the fuel and energy sector in order to strengthen the state energy policy, increase the responsibility </w:t>
      </w:r>
      <w:r w:rsidRPr="003074E2">
        <w:rPr>
          <w:rFonts w:ascii="Times New Roman" w:eastAsia="Times New Roman" w:hAnsi="Times New Roman" w:cs="Times New Roman"/>
          <w:sz w:val="28"/>
          <w:szCs w:val="28"/>
        </w:rPr>
        <w:lastRenderedPageBreak/>
        <w:t>of decision-makers in the energy sector and their authority in the international arena, and create structures responsible for overcoming and minimizing the impact of the identified risks, as well as for the development of state programs and strategies with continuous improvement of human resource capacity</w:t>
      </w:r>
      <w:proofErr w:type="gramEnd"/>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Republic of Uzbekistan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The economy of Uzbekistan is planned to save 3.3 billion kWh of electricity and 2.6 billion cubic meters of natural gas in 2 years due to energy efficiency measures (14.07.2020).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Such parameters are stipulated by the Decree of the President of the country RP-4779 dated July 10, 2020 "On additional measures to reduce the dependence of economic sectors on fuel and energy products by increasing energy efficiency of the economy and use of available resources".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Energy efficiency or, in other words, rational use of energy resources in the economic and social spheres is an important factor in increasing energy saving and profitability and competitiveness of the production sector, which in turn has a serious impact on energy security, job creation, growth of the population's welfare and overall development of the country.</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From August 1, the document establishes a tariff for the guaranteed purchase of electricity from newly commissioned solar, wind and biogas power plants, micro and small hydroelectric power plants (HPPs), including excess electricity produced for their own needs.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It </w:t>
      </w:r>
      <w:proofErr w:type="gramStart"/>
      <w:r w:rsidRPr="003074E2">
        <w:rPr>
          <w:rFonts w:ascii="Times New Roman" w:eastAsia="Times New Roman" w:hAnsi="Times New Roman" w:cs="Times New Roman"/>
          <w:sz w:val="28"/>
          <w:szCs w:val="28"/>
        </w:rPr>
        <w:t>is established</w:t>
      </w:r>
      <w:proofErr w:type="gramEnd"/>
      <w:r w:rsidRPr="003074E2">
        <w:rPr>
          <w:rFonts w:ascii="Times New Roman" w:eastAsia="Times New Roman" w:hAnsi="Times New Roman" w:cs="Times New Roman"/>
          <w:sz w:val="28"/>
          <w:szCs w:val="28"/>
        </w:rPr>
        <w:t xml:space="preserve"> that investors for the construction and operation of industrial power plants based on renewable energy sources (RES), with the exception of hydroelectric power plants, shall be identified only through tenders.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The document for the period from July 15 to December 31, 2020 establishes benefits for producers who organized the third (night) shift in the form of applying a reduced coefficient of payments for used electricity.</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possibility of reducing the mandatory prepayment requirement (up to 30%) for natural gas and electricity </w:t>
      </w:r>
      <w:proofErr w:type="gramStart"/>
      <w:r w:rsidRPr="003074E2">
        <w:rPr>
          <w:rFonts w:ascii="Times New Roman" w:eastAsia="Times New Roman" w:hAnsi="Times New Roman" w:cs="Times New Roman"/>
          <w:sz w:val="28"/>
          <w:szCs w:val="28"/>
        </w:rPr>
        <w:t>will not be used</w:t>
      </w:r>
      <w:proofErr w:type="gramEnd"/>
      <w:r w:rsidRPr="003074E2">
        <w:rPr>
          <w:rFonts w:ascii="Times New Roman" w:eastAsia="Times New Roman" w:hAnsi="Times New Roman" w:cs="Times New Roman"/>
          <w:sz w:val="28"/>
          <w:szCs w:val="28"/>
        </w:rPr>
        <w:t xml:space="preserve"> for companies with a state share of at least 50%.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The decree approved the target parameters for saving fuel and energy resources in sectors of the economy for 2020-2022, which provide for savings of electricity in the amount of 3.3 billion kW * h, natural gas - 2.6 billion cubic meters, oil products - 16.3 thousand tons.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The document also approved a roadmap to improve energy efficiency at large enterprises and a schedule of energy audits.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decree approved the structure and identified sources of financing of the previously established </w:t>
      </w:r>
      <w:proofErr w:type="gramStart"/>
      <w:r w:rsidRPr="003074E2">
        <w:rPr>
          <w:rFonts w:ascii="Times New Roman" w:eastAsia="Times New Roman" w:hAnsi="Times New Roman" w:cs="Times New Roman"/>
          <w:sz w:val="28"/>
          <w:szCs w:val="28"/>
        </w:rPr>
        <w:t>off-budget</w:t>
      </w:r>
      <w:proofErr w:type="gramEnd"/>
      <w:r w:rsidRPr="003074E2">
        <w:rPr>
          <w:rFonts w:ascii="Times New Roman" w:eastAsia="Times New Roman" w:hAnsi="Times New Roman" w:cs="Times New Roman"/>
          <w:sz w:val="28"/>
          <w:szCs w:val="28"/>
        </w:rPr>
        <w:t xml:space="preserve"> inter-</w:t>
      </w:r>
      <w:proofErr w:type="spellStart"/>
      <w:r w:rsidRPr="003074E2">
        <w:rPr>
          <w:rFonts w:ascii="Times New Roman" w:eastAsia="Times New Roman" w:hAnsi="Times New Roman" w:cs="Times New Roman"/>
          <w:sz w:val="28"/>
          <w:szCs w:val="28"/>
        </w:rPr>
        <w:t>sectoral</w:t>
      </w:r>
      <w:proofErr w:type="spellEnd"/>
      <w:r w:rsidRPr="003074E2">
        <w:rPr>
          <w:rFonts w:ascii="Times New Roman" w:eastAsia="Times New Roman" w:hAnsi="Times New Roman" w:cs="Times New Roman"/>
          <w:sz w:val="28"/>
          <w:szCs w:val="28"/>
        </w:rPr>
        <w:t xml:space="preserve"> Energy Saving Fund, which is part of the Ministry of Energy of the Republic of Uzbekistan.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roofErr w:type="gramStart"/>
      <w:r w:rsidRPr="003074E2">
        <w:rPr>
          <w:rFonts w:ascii="Times New Roman" w:eastAsia="Times New Roman" w:hAnsi="Times New Roman" w:cs="Times New Roman"/>
          <w:sz w:val="28"/>
          <w:szCs w:val="28"/>
        </w:rPr>
        <w:t xml:space="preserve">It was established that the resources of the fund are used to: finance the preparation of feasibility studies for energy efficiency projects, including improving the thermal insulation of buildings and apartment buildings; create thematic training centers; develop relevant startups and participate in the authorized capital of enterprises </w:t>
      </w:r>
      <w:r w:rsidRPr="003074E2">
        <w:rPr>
          <w:rFonts w:ascii="Times New Roman" w:eastAsia="Times New Roman" w:hAnsi="Times New Roman" w:cs="Times New Roman"/>
          <w:sz w:val="28"/>
          <w:szCs w:val="28"/>
        </w:rPr>
        <w:lastRenderedPageBreak/>
        <w:t>for the production of renewable energy units, heat pumps, condenser batteries and other products aimed at improving energy efficiency.</w:t>
      </w:r>
      <w:proofErr w:type="gramEnd"/>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resolution gives a number of instructions to responsible structures, including the Ministry of Energy. In particular, it </w:t>
      </w:r>
      <w:proofErr w:type="gramStart"/>
      <w:r w:rsidRPr="003074E2">
        <w:rPr>
          <w:rFonts w:ascii="Times New Roman" w:eastAsia="Times New Roman" w:hAnsi="Times New Roman" w:cs="Times New Roman"/>
          <w:sz w:val="28"/>
          <w:szCs w:val="28"/>
        </w:rPr>
        <w:t>is ordered</w:t>
      </w:r>
      <w:proofErr w:type="gramEnd"/>
      <w:r w:rsidRPr="003074E2">
        <w:rPr>
          <w:rFonts w:ascii="Times New Roman" w:eastAsia="Times New Roman" w:hAnsi="Times New Roman" w:cs="Times New Roman"/>
          <w:sz w:val="28"/>
          <w:szCs w:val="28"/>
        </w:rPr>
        <w:t xml:space="preserve"> to ensure the involvement of leading companies (domestic and international) to conduct energy audits at 285 large industrial enterprises within 2 months, as well as to make a proposal to expand their list.</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document provides for the creation of a unified information system of the Ministry of Energy, which </w:t>
      </w:r>
      <w:proofErr w:type="gramStart"/>
      <w:r w:rsidRPr="003074E2">
        <w:rPr>
          <w:rFonts w:ascii="Times New Roman" w:eastAsia="Times New Roman" w:hAnsi="Times New Roman" w:cs="Times New Roman"/>
          <w:sz w:val="28"/>
          <w:szCs w:val="28"/>
        </w:rPr>
        <w:t>is scheduled to be put</w:t>
      </w:r>
      <w:proofErr w:type="gramEnd"/>
      <w:r w:rsidRPr="003074E2">
        <w:rPr>
          <w:rFonts w:ascii="Times New Roman" w:eastAsia="Times New Roman" w:hAnsi="Times New Roman" w:cs="Times New Roman"/>
          <w:sz w:val="28"/>
          <w:szCs w:val="28"/>
        </w:rPr>
        <w:t xml:space="preserve"> into operation by the end of 2021. Based on analytical data obtained from the Unified Information System, a mechanism for mandatory energy audits of enterprises with </w:t>
      </w:r>
      <w:proofErr w:type="gramStart"/>
      <w:r w:rsidRPr="003074E2">
        <w:rPr>
          <w:rFonts w:ascii="Times New Roman" w:eastAsia="Times New Roman" w:hAnsi="Times New Roman" w:cs="Times New Roman"/>
          <w:sz w:val="28"/>
          <w:szCs w:val="28"/>
        </w:rPr>
        <w:t>high energy</w:t>
      </w:r>
      <w:proofErr w:type="gramEnd"/>
      <w:r w:rsidRPr="003074E2">
        <w:rPr>
          <w:rFonts w:ascii="Times New Roman" w:eastAsia="Times New Roman" w:hAnsi="Times New Roman" w:cs="Times New Roman"/>
          <w:sz w:val="28"/>
          <w:szCs w:val="28"/>
        </w:rPr>
        <w:t xml:space="preserve"> consumption will be introduced.</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Republic of Turkmenistan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Construction of a ring energy system has started in Turkmenistan (23.07.2020).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Turkmenistan is implementing a large-scale project to create a ring energy system. The general contractor - Concern "</w:t>
      </w:r>
      <w:proofErr w:type="spellStart"/>
      <w:r w:rsidRPr="003074E2">
        <w:rPr>
          <w:rFonts w:ascii="Times New Roman" w:eastAsia="Times New Roman" w:hAnsi="Times New Roman" w:cs="Times New Roman"/>
          <w:sz w:val="28"/>
          <w:szCs w:val="28"/>
        </w:rPr>
        <w:t>Turkmenenergostroy</w:t>
      </w:r>
      <w:proofErr w:type="spellEnd"/>
      <w:r w:rsidRPr="003074E2">
        <w:rPr>
          <w:rFonts w:ascii="Times New Roman" w:eastAsia="Times New Roman" w:hAnsi="Times New Roman" w:cs="Times New Roman"/>
          <w:sz w:val="28"/>
          <w:szCs w:val="28"/>
        </w:rPr>
        <w:t xml:space="preserve">" - has started work on the construction of reinforced concrete foundations of the </w:t>
      </w:r>
      <w:proofErr w:type="spellStart"/>
      <w:r w:rsidRPr="003074E2">
        <w:rPr>
          <w:rFonts w:ascii="Times New Roman" w:eastAsia="Times New Roman" w:hAnsi="Times New Roman" w:cs="Times New Roman"/>
          <w:sz w:val="28"/>
          <w:szCs w:val="28"/>
        </w:rPr>
        <w:t>Akhal</w:t>
      </w:r>
      <w:proofErr w:type="spellEnd"/>
      <w:r w:rsidRPr="003074E2">
        <w:rPr>
          <w:rFonts w:ascii="Times New Roman" w:eastAsia="Times New Roman" w:hAnsi="Times New Roman" w:cs="Times New Roman"/>
          <w:sz w:val="28"/>
          <w:szCs w:val="28"/>
        </w:rPr>
        <w:t>-Balkan and Balkan-</w:t>
      </w:r>
      <w:proofErr w:type="spellStart"/>
      <w:r w:rsidRPr="003074E2">
        <w:rPr>
          <w:rFonts w:ascii="Times New Roman" w:eastAsia="Times New Roman" w:hAnsi="Times New Roman" w:cs="Times New Roman"/>
          <w:sz w:val="28"/>
          <w:szCs w:val="28"/>
        </w:rPr>
        <w:t>Dashoguz</w:t>
      </w:r>
      <w:proofErr w:type="spellEnd"/>
      <w:r w:rsidRPr="003074E2">
        <w:rPr>
          <w:rFonts w:ascii="Times New Roman" w:eastAsia="Times New Roman" w:hAnsi="Times New Roman" w:cs="Times New Roman"/>
          <w:sz w:val="28"/>
          <w:szCs w:val="28"/>
        </w:rPr>
        <w:t xml:space="preserve"> power transmission lines. At the same time, construction of the Serdar-220 electric substation has started.</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The length of the first section will be 450 kilometers. In addition, the builders of the ring energy system will have to lay 560 kilometers of overhead power lines with voltage of 500 kV, two substations with voltage of 500/220/110 kV and two with voltage of 220/110 kV will be put into operation.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As the Concern's specialists explained, in order to speed up the works, the whole route </w:t>
      </w:r>
      <w:proofErr w:type="gramStart"/>
      <w:r w:rsidRPr="003074E2">
        <w:rPr>
          <w:rFonts w:ascii="Times New Roman" w:eastAsia="Times New Roman" w:hAnsi="Times New Roman" w:cs="Times New Roman"/>
          <w:sz w:val="28"/>
          <w:szCs w:val="28"/>
        </w:rPr>
        <w:t>will be divided</w:t>
      </w:r>
      <w:proofErr w:type="gramEnd"/>
      <w:r w:rsidRPr="003074E2">
        <w:rPr>
          <w:rFonts w:ascii="Times New Roman" w:eastAsia="Times New Roman" w:hAnsi="Times New Roman" w:cs="Times New Roman"/>
          <w:sz w:val="28"/>
          <w:szCs w:val="28"/>
        </w:rPr>
        <w:t xml:space="preserve"> into several segments, where the contractor's units will simultaneously start installation of high-voltage supports and assembly of transmission lines. The project provides for installation of power transformers, circuit breakers, </w:t>
      </w:r>
      <w:proofErr w:type="spellStart"/>
      <w:r w:rsidRPr="003074E2">
        <w:rPr>
          <w:rFonts w:ascii="Times New Roman" w:eastAsia="Times New Roman" w:hAnsi="Times New Roman" w:cs="Times New Roman"/>
          <w:sz w:val="28"/>
          <w:szCs w:val="28"/>
        </w:rPr>
        <w:t>disconnectors</w:t>
      </w:r>
      <w:proofErr w:type="spellEnd"/>
      <w:r w:rsidRPr="003074E2">
        <w:rPr>
          <w:rFonts w:ascii="Times New Roman" w:eastAsia="Times New Roman" w:hAnsi="Times New Roman" w:cs="Times New Roman"/>
          <w:sz w:val="28"/>
          <w:szCs w:val="28"/>
        </w:rPr>
        <w:t xml:space="preserve">, relay protection and automatics - equipment manufactured according to European standards. </w:t>
      </w:r>
      <w:proofErr w:type="spellStart"/>
      <w:proofErr w:type="gramStart"/>
      <w:r w:rsidRPr="003074E2">
        <w:rPr>
          <w:rFonts w:ascii="Times New Roman" w:eastAsia="Times New Roman" w:hAnsi="Times New Roman" w:cs="Times New Roman"/>
          <w:sz w:val="28"/>
          <w:szCs w:val="28"/>
        </w:rPr>
        <w:t>Telemechanics</w:t>
      </w:r>
      <w:proofErr w:type="spellEnd"/>
      <w:r w:rsidRPr="003074E2">
        <w:rPr>
          <w:rFonts w:ascii="Times New Roman" w:eastAsia="Times New Roman" w:hAnsi="Times New Roman" w:cs="Times New Roman"/>
          <w:sz w:val="28"/>
          <w:szCs w:val="28"/>
        </w:rPr>
        <w:t xml:space="preserve">, communications and SCADA systems for high-voltage transmission lines and stations will be installed by Turkish company </w:t>
      </w:r>
      <w:proofErr w:type="spellStart"/>
      <w:r w:rsidRPr="003074E2">
        <w:rPr>
          <w:rFonts w:ascii="Times New Roman" w:eastAsia="Times New Roman" w:hAnsi="Times New Roman" w:cs="Times New Roman"/>
          <w:sz w:val="28"/>
          <w:szCs w:val="28"/>
        </w:rPr>
        <w:t>Çalik</w:t>
      </w:r>
      <w:proofErr w:type="spellEnd"/>
      <w:r w:rsidRPr="003074E2">
        <w:rPr>
          <w:rFonts w:ascii="Times New Roman" w:eastAsia="Times New Roman" w:hAnsi="Times New Roman" w:cs="Times New Roman"/>
          <w:sz w:val="28"/>
          <w:szCs w:val="28"/>
        </w:rPr>
        <w:t xml:space="preserve"> </w:t>
      </w:r>
      <w:proofErr w:type="spellStart"/>
      <w:r w:rsidRPr="003074E2">
        <w:rPr>
          <w:rFonts w:ascii="Times New Roman" w:eastAsia="Times New Roman" w:hAnsi="Times New Roman" w:cs="Times New Roman"/>
          <w:sz w:val="28"/>
          <w:szCs w:val="28"/>
        </w:rPr>
        <w:t>Enerji</w:t>
      </w:r>
      <w:proofErr w:type="spellEnd"/>
      <w:proofErr w:type="gramEnd"/>
      <w:r w:rsidRPr="003074E2">
        <w:rPr>
          <w:rFonts w:ascii="Times New Roman" w:eastAsia="Times New Roman" w:hAnsi="Times New Roman" w:cs="Times New Roman"/>
          <w:sz w:val="28"/>
          <w:szCs w:val="28"/>
        </w:rPr>
        <w:t>.</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The construction customer - State Electricity Corporation "</w:t>
      </w:r>
      <w:proofErr w:type="spellStart"/>
      <w:r w:rsidRPr="003074E2">
        <w:rPr>
          <w:rFonts w:ascii="Times New Roman" w:eastAsia="Times New Roman" w:hAnsi="Times New Roman" w:cs="Times New Roman"/>
          <w:sz w:val="28"/>
          <w:szCs w:val="28"/>
        </w:rPr>
        <w:t>Türkmenenergo</w:t>
      </w:r>
      <w:proofErr w:type="spellEnd"/>
      <w:r w:rsidRPr="003074E2">
        <w:rPr>
          <w:rFonts w:ascii="Times New Roman" w:eastAsia="Times New Roman" w:hAnsi="Times New Roman" w:cs="Times New Roman"/>
          <w:sz w:val="28"/>
          <w:szCs w:val="28"/>
        </w:rPr>
        <w:t>" - has signed contracts and purchased equipment, materials and vehicles necessary for the construction of high-voltage power lines and stations with the funds of a soft loan allocated by the Asian Development Bank.</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Implementation of the large-scale project </w:t>
      </w:r>
      <w:proofErr w:type="gramStart"/>
      <w:r w:rsidRPr="003074E2">
        <w:rPr>
          <w:rFonts w:ascii="Times New Roman" w:eastAsia="Times New Roman" w:hAnsi="Times New Roman" w:cs="Times New Roman"/>
          <w:sz w:val="28"/>
          <w:szCs w:val="28"/>
        </w:rPr>
        <w:t>is aimed</w:t>
      </w:r>
      <w:proofErr w:type="gramEnd"/>
      <w:r w:rsidRPr="003074E2">
        <w:rPr>
          <w:rFonts w:ascii="Times New Roman" w:eastAsia="Times New Roman" w:hAnsi="Times New Roman" w:cs="Times New Roman"/>
          <w:sz w:val="28"/>
          <w:szCs w:val="28"/>
        </w:rPr>
        <w:t xml:space="preserve"> at increasing energy efficiency and solving energy saving problems, sustainable socio-economic development of the country's regions and growth of the industry's export potential.</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Republic of Tajikistan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 xml:space="preserve">Tajikistan sold electricity to Afghanistan and Uzbekistan for $40 </w:t>
      </w:r>
      <w:proofErr w:type="spellStart"/>
      <w:r w:rsidRPr="003074E2">
        <w:rPr>
          <w:rFonts w:ascii="Times New Roman" w:eastAsia="Times New Roman" w:hAnsi="Times New Roman" w:cs="Times New Roman"/>
          <w:b/>
          <w:sz w:val="28"/>
          <w:szCs w:val="28"/>
        </w:rPr>
        <w:t>mln</w:t>
      </w:r>
      <w:proofErr w:type="spellEnd"/>
      <w:r w:rsidRPr="003074E2">
        <w:rPr>
          <w:rFonts w:ascii="Times New Roman" w:eastAsia="Times New Roman" w:hAnsi="Times New Roman" w:cs="Times New Roman"/>
          <w:b/>
          <w:sz w:val="28"/>
          <w:szCs w:val="28"/>
        </w:rPr>
        <w:t xml:space="preserve"> (28.07.2020).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lastRenderedPageBreak/>
        <w:t xml:space="preserve">However, the decrease in water inflow to the </w:t>
      </w:r>
      <w:proofErr w:type="spellStart"/>
      <w:r w:rsidRPr="003074E2">
        <w:rPr>
          <w:rFonts w:ascii="Times New Roman" w:eastAsia="Times New Roman" w:hAnsi="Times New Roman" w:cs="Times New Roman"/>
          <w:sz w:val="28"/>
          <w:szCs w:val="28"/>
        </w:rPr>
        <w:t>Nurek</w:t>
      </w:r>
      <w:proofErr w:type="spellEnd"/>
      <w:r w:rsidRPr="003074E2">
        <w:rPr>
          <w:rFonts w:ascii="Times New Roman" w:eastAsia="Times New Roman" w:hAnsi="Times New Roman" w:cs="Times New Roman"/>
          <w:sz w:val="28"/>
          <w:szCs w:val="28"/>
        </w:rPr>
        <w:t xml:space="preserve"> HPP led to a reduction in electricity exports to Uzbekistan and Afghanistan. Tajik electricity exports for the first six months of this year decreased by 324.9 million kWh compared to last year.</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reason for the reduction is a decrease in water inflow to the </w:t>
      </w:r>
      <w:proofErr w:type="spellStart"/>
      <w:r w:rsidRPr="003074E2">
        <w:rPr>
          <w:rFonts w:ascii="Times New Roman" w:eastAsia="Times New Roman" w:hAnsi="Times New Roman" w:cs="Times New Roman"/>
          <w:sz w:val="28"/>
          <w:szCs w:val="28"/>
        </w:rPr>
        <w:t>Nurek</w:t>
      </w:r>
      <w:proofErr w:type="spellEnd"/>
      <w:r w:rsidRPr="003074E2">
        <w:rPr>
          <w:rFonts w:ascii="Times New Roman" w:eastAsia="Times New Roman" w:hAnsi="Times New Roman" w:cs="Times New Roman"/>
          <w:sz w:val="28"/>
          <w:szCs w:val="28"/>
        </w:rPr>
        <w:t xml:space="preserve"> hydroelectric power plant, said </w:t>
      </w:r>
      <w:proofErr w:type="spellStart"/>
      <w:r w:rsidRPr="003074E2">
        <w:rPr>
          <w:rFonts w:ascii="Times New Roman" w:eastAsia="Times New Roman" w:hAnsi="Times New Roman" w:cs="Times New Roman"/>
          <w:sz w:val="28"/>
          <w:szCs w:val="28"/>
        </w:rPr>
        <w:t>Mirzo</w:t>
      </w:r>
      <w:proofErr w:type="spellEnd"/>
      <w:r w:rsidRPr="003074E2">
        <w:rPr>
          <w:rFonts w:ascii="Times New Roman" w:eastAsia="Times New Roman" w:hAnsi="Times New Roman" w:cs="Times New Roman"/>
          <w:sz w:val="28"/>
          <w:szCs w:val="28"/>
        </w:rPr>
        <w:t xml:space="preserve"> </w:t>
      </w:r>
      <w:proofErr w:type="spellStart"/>
      <w:r w:rsidRPr="003074E2">
        <w:rPr>
          <w:rFonts w:ascii="Times New Roman" w:eastAsia="Times New Roman" w:hAnsi="Times New Roman" w:cs="Times New Roman"/>
          <w:sz w:val="28"/>
          <w:szCs w:val="28"/>
        </w:rPr>
        <w:t>Ismoilzoda</w:t>
      </w:r>
      <w:proofErr w:type="spellEnd"/>
      <w:r w:rsidRPr="003074E2">
        <w:rPr>
          <w:rFonts w:ascii="Times New Roman" w:eastAsia="Times New Roman" w:hAnsi="Times New Roman" w:cs="Times New Roman"/>
          <w:sz w:val="28"/>
          <w:szCs w:val="28"/>
        </w:rPr>
        <w:t xml:space="preserve">, head of </w:t>
      </w:r>
      <w:proofErr w:type="spellStart"/>
      <w:r w:rsidRPr="003074E2">
        <w:rPr>
          <w:rFonts w:ascii="Times New Roman" w:eastAsia="Times New Roman" w:hAnsi="Times New Roman" w:cs="Times New Roman"/>
          <w:sz w:val="28"/>
          <w:szCs w:val="28"/>
        </w:rPr>
        <w:t>Barki</w:t>
      </w:r>
      <w:proofErr w:type="spellEnd"/>
      <w:r w:rsidRPr="003074E2">
        <w:rPr>
          <w:rFonts w:ascii="Times New Roman" w:eastAsia="Times New Roman" w:hAnsi="Times New Roman" w:cs="Times New Roman"/>
          <w:sz w:val="28"/>
          <w:szCs w:val="28"/>
        </w:rPr>
        <w:t xml:space="preserve"> </w:t>
      </w:r>
      <w:proofErr w:type="spellStart"/>
      <w:r w:rsidRPr="003074E2">
        <w:rPr>
          <w:rFonts w:ascii="Times New Roman" w:eastAsia="Times New Roman" w:hAnsi="Times New Roman" w:cs="Times New Roman"/>
          <w:sz w:val="28"/>
          <w:szCs w:val="28"/>
        </w:rPr>
        <w:t>Tojik</w:t>
      </w:r>
      <w:proofErr w:type="spellEnd"/>
      <w:r w:rsidRPr="003074E2">
        <w:rPr>
          <w:rFonts w:ascii="Times New Roman" w:eastAsia="Times New Roman" w:hAnsi="Times New Roman" w:cs="Times New Roman"/>
          <w:sz w:val="28"/>
          <w:szCs w:val="28"/>
        </w:rPr>
        <w:t>, at a meeting with journalists.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lang w:val="en-US"/>
        </w:rPr>
        <w:t xml:space="preserve">In six months, 546.6m kWh of electricity </w:t>
      </w:r>
      <w:proofErr w:type="gramStart"/>
      <w:r w:rsidRPr="003074E2">
        <w:rPr>
          <w:rFonts w:ascii="Times New Roman" w:eastAsia="Times New Roman" w:hAnsi="Times New Roman" w:cs="Times New Roman"/>
          <w:sz w:val="28"/>
          <w:szCs w:val="28"/>
          <w:lang w:val="en-US"/>
        </w:rPr>
        <w:t>was exported</w:t>
      </w:r>
      <w:proofErr w:type="gramEnd"/>
      <w:r w:rsidRPr="003074E2">
        <w:rPr>
          <w:rFonts w:ascii="Times New Roman" w:eastAsia="Times New Roman" w:hAnsi="Times New Roman" w:cs="Times New Roman"/>
          <w:sz w:val="28"/>
          <w:szCs w:val="28"/>
          <w:lang w:val="en-US"/>
        </w:rPr>
        <w:t xml:space="preserve"> to Afghanistan, while 358.3m kWh was exported to Uzbekistan, he said. </w:t>
      </w:r>
      <w:r w:rsidRPr="003074E2">
        <w:rPr>
          <w:rFonts w:ascii="Times New Roman" w:eastAsia="Times New Roman" w:hAnsi="Times New Roman" w:cs="Times New Roman"/>
          <w:sz w:val="28"/>
          <w:szCs w:val="28"/>
        </w:rPr>
        <w:t xml:space="preserve">While 320 MW </w:t>
      </w:r>
      <w:proofErr w:type="gramStart"/>
      <w:r w:rsidRPr="003074E2">
        <w:rPr>
          <w:rFonts w:ascii="Times New Roman" w:eastAsia="Times New Roman" w:hAnsi="Times New Roman" w:cs="Times New Roman"/>
          <w:sz w:val="28"/>
          <w:szCs w:val="28"/>
        </w:rPr>
        <w:t>was exported</w:t>
      </w:r>
      <w:proofErr w:type="gramEnd"/>
      <w:r w:rsidRPr="003074E2">
        <w:rPr>
          <w:rFonts w:ascii="Times New Roman" w:eastAsia="Times New Roman" w:hAnsi="Times New Roman" w:cs="Times New Roman"/>
          <w:sz w:val="28"/>
          <w:szCs w:val="28"/>
        </w:rPr>
        <w:t xml:space="preserve"> to Afghanistan daily, the figure has now dropped to 40 MW. Electricity exports have also decreased to Uzbekistan. In general, electricity exports for six months of this year compared to last year decreased by 324.9 million kWh. This is due to reduced water inflow in </w:t>
      </w:r>
      <w:proofErr w:type="spellStart"/>
      <w:r w:rsidRPr="003074E2">
        <w:rPr>
          <w:rFonts w:ascii="Times New Roman" w:eastAsia="Times New Roman" w:hAnsi="Times New Roman" w:cs="Times New Roman"/>
          <w:sz w:val="28"/>
          <w:szCs w:val="28"/>
        </w:rPr>
        <w:t>Vakhsh</w:t>
      </w:r>
      <w:proofErr w:type="spellEnd"/>
      <w:r w:rsidRPr="003074E2">
        <w:rPr>
          <w:rFonts w:ascii="Times New Roman" w:eastAsia="Times New Roman" w:hAnsi="Times New Roman" w:cs="Times New Roman"/>
          <w:sz w:val="28"/>
          <w:szCs w:val="28"/>
        </w:rPr>
        <w:t xml:space="preserve"> and redistribution of grids in Afghanistan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Electricity worth over 23 million dollars </w:t>
      </w:r>
      <w:proofErr w:type="gramStart"/>
      <w:r w:rsidRPr="003074E2">
        <w:rPr>
          <w:rFonts w:ascii="Times New Roman" w:eastAsia="Times New Roman" w:hAnsi="Times New Roman" w:cs="Times New Roman"/>
          <w:sz w:val="28"/>
          <w:szCs w:val="28"/>
        </w:rPr>
        <w:t>was exported</w:t>
      </w:r>
      <w:proofErr w:type="gramEnd"/>
      <w:r w:rsidRPr="003074E2">
        <w:rPr>
          <w:rFonts w:ascii="Times New Roman" w:eastAsia="Times New Roman" w:hAnsi="Times New Roman" w:cs="Times New Roman"/>
          <w:sz w:val="28"/>
          <w:szCs w:val="28"/>
        </w:rPr>
        <w:t xml:space="preserve"> to Afghanistan and over 7.2 million dollars to Uzbekistan.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water inflow in the </w:t>
      </w:r>
      <w:proofErr w:type="spellStart"/>
      <w:r w:rsidRPr="003074E2">
        <w:rPr>
          <w:rFonts w:ascii="Times New Roman" w:eastAsia="Times New Roman" w:hAnsi="Times New Roman" w:cs="Times New Roman"/>
          <w:sz w:val="28"/>
          <w:szCs w:val="28"/>
        </w:rPr>
        <w:t>Vakhsh</w:t>
      </w:r>
      <w:proofErr w:type="spellEnd"/>
      <w:r w:rsidRPr="003074E2">
        <w:rPr>
          <w:rFonts w:ascii="Times New Roman" w:eastAsia="Times New Roman" w:hAnsi="Times New Roman" w:cs="Times New Roman"/>
          <w:sz w:val="28"/>
          <w:szCs w:val="28"/>
        </w:rPr>
        <w:t xml:space="preserve"> River has decreased by almost 30% over the last three months, which also reduced the water inflow to the </w:t>
      </w:r>
      <w:proofErr w:type="spellStart"/>
      <w:r w:rsidRPr="003074E2">
        <w:rPr>
          <w:rFonts w:ascii="Times New Roman" w:eastAsia="Times New Roman" w:hAnsi="Times New Roman" w:cs="Times New Roman"/>
          <w:sz w:val="28"/>
          <w:szCs w:val="28"/>
        </w:rPr>
        <w:t>Nurek</w:t>
      </w:r>
      <w:proofErr w:type="spellEnd"/>
      <w:r w:rsidRPr="003074E2">
        <w:rPr>
          <w:rFonts w:ascii="Times New Roman" w:eastAsia="Times New Roman" w:hAnsi="Times New Roman" w:cs="Times New Roman"/>
          <w:sz w:val="28"/>
          <w:szCs w:val="28"/>
        </w:rPr>
        <w:t xml:space="preserve"> HPP. For the last two days, the water level in the </w:t>
      </w:r>
      <w:proofErr w:type="spellStart"/>
      <w:r w:rsidRPr="003074E2">
        <w:rPr>
          <w:rFonts w:ascii="Times New Roman" w:eastAsia="Times New Roman" w:hAnsi="Times New Roman" w:cs="Times New Roman"/>
          <w:sz w:val="28"/>
          <w:szCs w:val="28"/>
        </w:rPr>
        <w:t>Vakhsh</w:t>
      </w:r>
      <w:proofErr w:type="spellEnd"/>
      <w:r w:rsidRPr="003074E2">
        <w:rPr>
          <w:rFonts w:ascii="Times New Roman" w:eastAsia="Times New Roman" w:hAnsi="Times New Roman" w:cs="Times New Roman"/>
          <w:sz w:val="28"/>
          <w:szCs w:val="28"/>
        </w:rPr>
        <w:t xml:space="preserve"> has risen, which will increase the volume of electricity exports. </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Work on the CASA-1000 project in Tajikistan will be completed by the end of 2021 (16.07.2020).</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Construction of power transmission lines under the CASA-1000 energy project in Tajikistan will be completed on time. </w:t>
      </w:r>
      <w:proofErr w:type="gramStart"/>
      <w:r w:rsidRPr="003074E2">
        <w:rPr>
          <w:rFonts w:ascii="Times New Roman" w:eastAsia="Times New Roman" w:hAnsi="Times New Roman" w:cs="Times New Roman"/>
          <w:sz w:val="28"/>
          <w:szCs w:val="28"/>
        </w:rPr>
        <w:t xml:space="preserve">This was announced by Deputy Minister of Energy and Water Resources </w:t>
      </w:r>
      <w:proofErr w:type="spellStart"/>
      <w:r w:rsidRPr="003074E2">
        <w:rPr>
          <w:rFonts w:ascii="Times New Roman" w:eastAsia="Times New Roman" w:hAnsi="Times New Roman" w:cs="Times New Roman"/>
          <w:sz w:val="28"/>
          <w:szCs w:val="28"/>
        </w:rPr>
        <w:t>Jamshed</w:t>
      </w:r>
      <w:proofErr w:type="spellEnd"/>
      <w:r w:rsidRPr="003074E2">
        <w:rPr>
          <w:rFonts w:ascii="Times New Roman" w:eastAsia="Times New Roman" w:hAnsi="Times New Roman" w:cs="Times New Roman"/>
          <w:sz w:val="28"/>
          <w:szCs w:val="28"/>
        </w:rPr>
        <w:t xml:space="preserve"> </w:t>
      </w:r>
      <w:proofErr w:type="spellStart"/>
      <w:r w:rsidRPr="003074E2">
        <w:rPr>
          <w:rFonts w:ascii="Times New Roman" w:eastAsia="Times New Roman" w:hAnsi="Times New Roman" w:cs="Times New Roman"/>
          <w:sz w:val="28"/>
          <w:szCs w:val="28"/>
        </w:rPr>
        <w:t>Shoimzoda</w:t>
      </w:r>
      <w:proofErr w:type="spellEnd"/>
      <w:proofErr w:type="gramEnd"/>
      <w:r w:rsidRPr="003074E2">
        <w:rPr>
          <w:rFonts w:ascii="Times New Roman" w:eastAsia="Times New Roman" w:hAnsi="Times New Roman" w:cs="Times New Roman"/>
          <w:sz w:val="28"/>
          <w:szCs w:val="28"/>
        </w:rPr>
        <w:t xml:space="preserve"> at a July 14 press conference in Dushanbe.</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The coronavirus pandemic that has swept many countries around the world has not affected the progress of construction work under the CASA-1000 project, the Tajik Energy Ministry said.</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works are being carried out according to the plan. To date, more than 30% of the necessary construction equipment </w:t>
      </w:r>
      <w:proofErr w:type="gramStart"/>
      <w:r w:rsidRPr="003074E2">
        <w:rPr>
          <w:rFonts w:ascii="Times New Roman" w:eastAsia="Times New Roman" w:hAnsi="Times New Roman" w:cs="Times New Roman"/>
          <w:sz w:val="28"/>
          <w:szCs w:val="28"/>
        </w:rPr>
        <w:t>has been delivered</w:t>
      </w:r>
      <w:proofErr w:type="gramEnd"/>
      <w:r w:rsidRPr="003074E2">
        <w:rPr>
          <w:rFonts w:ascii="Times New Roman" w:eastAsia="Times New Roman" w:hAnsi="Times New Roman" w:cs="Times New Roman"/>
          <w:sz w:val="28"/>
          <w:szCs w:val="28"/>
        </w:rPr>
        <w:t xml:space="preserve"> to the Republic of Tajikistan. As agreed with the Ministry of Energy, negotiations between contractor </w:t>
      </w:r>
      <w:proofErr w:type="spellStart"/>
      <w:r w:rsidRPr="003074E2">
        <w:rPr>
          <w:rFonts w:ascii="Times New Roman" w:eastAsia="Times New Roman" w:hAnsi="Times New Roman" w:cs="Times New Roman"/>
          <w:sz w:val="28"/>
          <w:szCs w:val="28"/>
        </w:rPr>
        <w:t>Kalpataru</w:t>
      </w:r>
      <w:proofErr w:type="spellEnd"/>
      <w:r w:rsidRPr="003074E2">
        <w:rPr>
          <w:rFonts w:ascii="Times New Roman" w:eastAsia="Times New Roman" w:hAnsi="Times New Roman" w:cs="Times New Roman"/>
          <w:sz w:val="28"/>
          <w:szCs w:val="28"/>
        </w:rPr>
        <w:t xml:space="preserve"> and </w:t>
      </w:r>
      <w:proofErr w:type="spellStart"/>
      <w:r w:rsidRPr="003074E2">
        <w:rPr>
          <w:rFonts w:ascii="Times New Roman" w:eastAsia="Times New Roman" w:hAnsi="Times New Roman" w:cs="Times New Roman"/>
          <w:sz w:val="28"/>
          <w:szCs w:val="28"/>
        </w:rPr>
        <w:t>Nokili</w:t>
      </w:r>
      <w:proofErr w:type="spellEnd"/>
      <w:r w:rsidRPr="003074E2">
        <w:rPr>
          <w:rFonts w:ascii="Times New Roman" w:eastAsia="Times New Roman" w:hAnsi="Times New Roman" w:cs="Times New Roman"/>
          <w:sz w:val="28"/>
          <w:szCs w:val="28"/>
        </w:rPr>
        <w:t xml:space="preserve"> TALCO on the purchase of 1,780 kilometers of cable for the amount of 9.7 million TJS," </w:t>
      </w:r>
      <w:proofErr w:type="spellStart"/>
      <w:r w:rsidRPr="003074E2">
        <w:rPr>
          <w:rFonts w:ascii="Times New Roman" w:eastAsia="Times New Roman" w:hAnsi="Times New Roman" w:cs="Times New Roman"/>
          <w:sz w:val="28"/>
          <w:szCs w:val="28"/>
        </w:rPr>
        <w:t>Jamshed</w:t>
      </w:r>
      <w:proofErr w:type="spellEnd"/>
      <w:r w:rsidRPr="003074E2">
        <w:rPr>
          <w:rFonts w:ascii="Times New Roman" w:eastAsia="Times New Roman" w:hAnsi="Times New Roman" w:cs="Times New Roman"/>
          <w:sz w:val="28"/>
          <w:szCs w:val="28"/>
        </w:rPr>
        <w:t xml:space="preserve"> </w:t>
      </w:r>
      <w:proofErr w:type="spellStart"/>
      <w:r w:rsidRPr="003074E2">
        <w:rPr>
          <w:rFonts w:ascii="Times New Roman" w:eastAsia="Times New Roman" w:hAnsi="Times New Roman" w:cs="Times New Roman"/>
          <w:sz w:val="28"/>
          <w:szCs w:val="28"/>
        </w:rPr>
        <w:t>Shoimzoda</w:t>
      </w:r>
      <w:proofErr w:type="spellEnd"/>
      <w:r w:rsidRPr="003074E2">
        <w:rPr>
          <w:rFonts w:ascii="Times New Roman" w:eastAsia="Times New Roman" w:hAnsi="Times New Roman" w:cs="Times New Roman"/>
          <w:sz w:val="28"/>
          <w:szCs w:val="28"/>
        </w:rPr>
        <w:t xml:space="preserve"> said.</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 Implementation of the project of the Tajik section of CASA-1000 </w:t>
      </w:r>
      <w:proofErr w:type="gramStart"/>
      <w:r w:rsidRPr="003074E2">
        <w:rPr>
          <w:rFonts w:ascii="Times New Roman" w:eastAsia="Times New Roman" w:hAnsi="Times New Roman" w:cs="Times New Roman"/>
          <w:sz w:val="28"/>
          <w:szCs w:val="28"/>
        </w:rPr>
        <w:t>is planned to be completed</w:t>
      </w:r>
      <w:proofErr w:type="gramEnd"/>
      <w:r w:rsidRPr="003074E2">
        <w:rPr>
          <w:rFonts w:ascii="Times New Roman" w:eastAsia="Times New Roman" w:hAnsi="Times New Roman" w:cs="Times New Roman"/>
          <w:sz w:val="28"/>
          <w:szCs w:val="28"/>
        </w:rPr>
        <w:t xml:space="preserve"> by the end of 2021.</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The CASA-1000 project involves supplying electricity from Tajikistan and Kyrgyzstan to Afghanistan and Pakistan. It </w:t>
      </w:r>
      <w:proofErr w:type="gramStart"/>
      <w:r w:rsidRPr="003074E2">
        <w:rPr>
          <w:rFonts w:ascii="Times New Roman" w:eastAsia="Times New Roman" w:hAnsi="Times New Roman" w:cs="Times New Roman"/>
          <w:sz w:val="28"/>
          <w:szCs w:val="28"/>
        </w:rPr>
        <w:t>is expected</w:t>
      </w:r>
      <w:proofErr w:type="gramEnd"/>
      <w:r w:rsidRPr="003074E2">
        <w:rPr>
          <w:rFonts w:ascii="Times New Roman" w:eastAsia="Times New Roman" w:hAnsi="Times New Roman" w:cs="Times New Roman"/>
          <w:sz w:val="28"/>
          <w:szCs w:val="28"/>
        </w:rPr>
        <w:t xml:space="preserve"> that 70% of electricity, which will be supplied to Afghanistan and Pakistan, will come from Tajikistan and 30% from Kyrgyzstan.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International financial institutions - the World Bank (WB), the European Bank for Reconstruction and Development (EBRD), the Islamic Development Bank (IDB), the UK government and others - are acting as investors in Tajikistan.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 In particular, the WB will allocate $45 million, the IDB - $70 million, the EBRD - $110 million for the realization of the Tajik section of the project.</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Swedish company ABB and Indian company </w:t>
      </w:r>
      <w:proofErr w:type="spellStart"/>
      <w:r w:rsidRPr="003074E2">
        <w:rPr>
          <w:rFonts w:ascii="Times New Roman" w:eastAsia="Times New Roman" w:hAnsi="Times New Roman" w:cs="Times New Roman"/>
          <w:sz w:val="28"/>
          <w:szCs w:val="28"/>
        </w:rPr>
        <w:t>Kalpataru</w:t>
      </w:r>
      <w:proofErr w:type="spellEnd"/>
      <w:r w:rsidRPr="003074E2">
        <w:rPr>
          <w:rFonts w:ascii="Times New Roman" w:eastAsia="Times New Roman" w:hAnsi="Times New Roman" w:cs="Times New Roman"/>
          <w:sz w:val="28"/>
          <w:szCs w:val="28"/>
        </w:rPr>
        <w:t xml:space="preserve"> Power Transmission Ltd. are engaged in construction of CASA-1000 facilities in Tajikistan.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r w:rsidRPr="003074E2">
        <w:rPr>
          <w:rFonts w:ascii="Times New Roman" w:eastAsia="Times New Roman" w:hAnsi="Times New Roman" w:cs="Times New Roman"/>
          <w:b/>
          <w:sz w:val="28"/>
          <w:szCs w:val="28"/>
        </w:rPr>
        <w:t>Russian Federation</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ab/>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b/>
          <w:sz w:val="28"/>
          <w:szCs w:val="28"/>
        </w:rPr>
      </w:pPr>
      <w:bookmarkStart w:id="33" w:name="_GoBack"/>
      <w:r w:rsidRPr="003074E2">
        <w:rPr>
          <w:rFonts w:ascii="Times New Roman" w:eastAsia="Times New Roman" w:hAnsi="Times New Roman" w:cs="Times New Roman"/>
          <w:b/>
          <w:sz w:val="28"/>
          <w:szCs w:val="28"/>
        </w:rPr>
        <w:t>"Green" energy industry in Russia has already provided an increase in investment of 177 billion rubles (29.07.2020).</w:t>
      </w:r>
    </w:p>
    <w:bookmarkEnd w:id="33"/>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The "green" energy industry created in Russia from scratch has already provided an increase in investment of 177 billion rubles, by 2024 the amount of investment will reach 633 billion rubles, the Association for the Development of Renewable Energy reported.</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Additionally, investments in the creation of new industrial production facilities for generating equipment for solar, wind power and small hydro power plants under capacity supply agreements (RES PPAs, which guarantee the return of investments through increased payments by consumers) amounted to 40 billion rubles.</w:t>
      </w:r>
    </w:p>
    <w:p w:rsidR="003074E2" w:rsidRPr="003074E2" w:rsidRDefault="003074E2" w:rsidP="003074E2">
      <w:pPr>
        <w:tabs>
          <w:tab w:val="left" w:pos="0"/>
        </w:tabs>
        <w:spacing w:after="0" w:line="240" w:lineRule="auto"/>
        <w:ind w:firstLine="709"/>
        <w:jc w:val="both"/>
        <w:rPr>
          <w:rFonts w:ascii="Times New Roman" w:eastAsia="Times New Roman" w:hAnsi="Times New Roman" w:cs="Times New Roman"/>
          <w:sz w:val="28"/>
          <w:szCs w:val="28"/>
        </w:rPr>
      </w:pPr>
      <w:r w:rsidRPr="003074E2">
        <w:rPr>
          <w:rFonts w:ascii="Times New Roman" w:eastAsia="Times New Roman" w:hAnsi="Times New Roman" w:cs="Times New Roman"/>
          <w:sz w:val="28"/>
          <w:szCs w:val="28"/>
        </w:rPr>
        <w:t xml:space="preserve">From 2014 to 2024, Russia has a program to support "green" energy, including the construction of power plants that </w:t>
      </w:r>
      <w:proofErr w:type="gramStart"/>
      <w:r w:rsidRPr="003074E2">
        <w:rPr>
          <w:rFonts w:ascii="Times New Roman" w:eastAsia="Times New Roman" w:hAnsi="Times New Roman" w:cs="Times New Roman"/>
          <w:sz w:val="28"/>
          <w:szCs w:val="28"/>
        </w:rPr>
        <w:t>are selected</w:t>
      </w:r>
      <w:proofErr w:type="gramEnd"/>
      <w:r w:rsidRPr="003074E2">
        <w:rPr>
          <w:rFonts w:ascii="Times New Roman" w:eastAsia="Times New Roman" w:hAnsi="Times New Roman" w:cs="Times New Roman"/>
          <w:sz w:val="28"/>
          <w:szCs w:val="28"/>
        </w:rPr>
        <w:t xml:space="preserve"> through a competitive bidding process. They </w:t>
      </w:r>
      <w:proofErr w:type="gramStart"/>
      <w:r w:rsidRPr="003074E2">
        <w:rPr>
          <w:rFonts w:ascii="Times New Roman" w:eastAsia="Times New Roman" w:hAnsi="Times New Roman" w:cs="Times New Roman"/>
          <w:sz w:val="28"/>
          <w:szCs w:val="28"/>
        </w:rPr>
        <w:t>are guaranteed</w:t>
      </w:r>
      <w:proofErr w:type="gramEnd"/>
      <w:r w:rsidRPr="003074E2">
        <w:rPr>
          <w:rFonts w:ascii="Times New Roman" w:eastAsia="Times New Roman" w:hAnsi="Times New Roman" w:cs="Times New Roman"/>
          <w:sz w:val="28"/>
          <w:szCs w:val="28"/>
        </w:rPr>
        <w:t xml:space="preserve"> a return on investment within 15 years with a base yield of 12% per annum, adjusted for the yield of federal loan bonds (OFZ). Currently, a decision </w:t>
      </w:r>
      <w:proofErr w:type="gramStart"/>
      <w:r w:rsidRPr="003074E2">
        <w:rPr>
          <w:rFonts w:ascii="Times New Roman" w:eastAsia="Times New Roman" w:hAnsi="Times New Roman" w:cs="Times New Roman"/>
          <w:sz w:val="28"/>
          <w:szCs w:val="28"/>
        </w:rPr>
        <w:t>has been made</w:t>
      </w:r>
      <w:proofErr w:type="gramEnd"/>
      <w:r w:rsidRPr="003074E2">
        <w:rPr>
          <w:rFonts w:ascii="Times New Roman" w:eastAsia="Times New Roman" w:hAnsi="Times New Roman" w:cs="Times New Roman"/>
          <w:sz w:val="28"/>
          <w:szCs w:val="28"/>
        </w:rPr>
        <w:t xml:space="preserve"> to extend the renewable energy support program with certain adjustments until 2035, and new selections are planned.</w:t>
      </w:r>
    </w:p>
    <w:sectPr w:rsidR="003074E2" w:rsidRPr="003074E2"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62" w:rsidRDefault="00590862" w:rsidP="00AD7754">
      <w:pPr>
        <w:spacing w:after="0" w:line="240" w:lineRule="auto"/>
      </w:pPr>
      <w:r>
        <w:separator/>
      </w:r>
    </w:p>
  </w:endnote>
  <w:endnote w:type="continuationSeparator" w:id="0">
    <w:p w:rsidR="00590862" w:rsidRDefault="00590862"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5D2EF0" w:rsidRDefault="005D2EF0">
        <w:pPr>
          <w:pStyle w:val="a7"/>
          <w:jc w:val="right"/>
        </w:pPr>
        <w:r>
          <w:fldChar w:fldCharType="begin"/>
        </w:r>
        <w:r>
          <w:instrText>PAGE   \* MERGEFORMAT</w:instrText>
        </w:r>
        <w:r>
          <w:fldChar w:fldCharType="separate"/>
        </w:r>
        <w:r w:rsidR="003074E2">
          <w:rPr>
            <w:noProof/>
          </w:rPr>
          <w:t>13</w:t>
        </w:r>
        <w:r>
          <w:rPr>
            <w:noProof/>
          </w:rPr>
          <w:fldChar w:fldCharType="end"/>
        </w:r>
      </w:p>
    </w:sdtContent>
  </w:sdt>
  <w:p w:rsidR="005D2EF0" w:rsidRDefault="005D2E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62" w:rsidRDefault="00590862" w:rsidP="00AD7754">
      <w:pPr>
        <w:spacing w:after="0" w:line="240" w:lineRule="auto"/>
      </w:pPr>
      <w:r>
        <w:separator/>
      </w:r>
    </w:p>
  </w:footnote>
  <w:footnote w:type="continuationSeparator" w:id="0">
    <w:p w:rsidR="00590862" w:rsidRDefault="00590862"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5D2EF0" w:rsidTr="009437D6">
      <w:tc>
        <w:tcPr>
          <w:tcW w:w="2235" w:type="dxa"/>
        </w:tcPr>
        <w:p w:rsidR="005D2EF0" w:rsidRDefault="005D2EF0"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5D2EF0" w:rsidRDefault="005D2EF0" w:rsidP="005F127E">
          <w:pPr>
            <w:jc w:val="right"/>
            <w:rPr>
              <w:rFonts w:ascii="Times New Roman" w:hAnsi="Times New Roman" w:cs="Times New Roman"/>
              <w:i/>
              <w:sz w:val="28"/>
            </w:rPr>
          </w:pPr>
        </w:p>
        <w:p w:rsidR="005D2EF0" w:rsidRPr="001E184B" w:rsidRDefault="005D2EF0"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5D2EF0" w:rsidRPr="009437D6" w:rsidRDefault="005D2EF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074E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AF2"/>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75B68"/>
    <w:rsid w:val="0058001C"/>
    <w:rsid w:val="00580569"/>
    <w:rsid w:val="00582144"/>
    <w:rsid w:val="00583E36"/>
    <w:rsid w:val="00583EA4"/>
    <w:rsid w:val="00584463"/>
    <w:rsid w:val="00585D45"/>
    <w:rsid w:val="00590862"/>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2EF0"/>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672F5"/>
    <w:rsid w:val="00672A7E"/>
    <w:rsid w:val="006808D0"/>
    <w:rsid w:val="00681D7C"/>
    <w:rsid w:val="00682876"/>
    <w:rsid w:val="0068431E"/>
    <w:rsid w:val="00684AE4"/>
    <w:rsid w:val="00684BAE"/>
    <w:rsid w:val="0068574B"/>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02D8C"/>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0F39"/>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1D83"/>
    <w:rsid w:val="00EB42C5"/>
    <w:rsid w:val="00EB483A"/>
    <w:rsid w:val="00EC1ADE"/>
    <w:rsid w:val="00EC42B5"/>
    <w:rsid w:val="00EC511C"/>
    <w:rsid w:val="00EC5F06"/>
    <w:rsid w:val="00ED2209"/>
    <w:rsid w:val="00ED525F"/>
    <w:rsid w:val="00ED6C4A"/>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2FD5"/>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esktop\&#1050;&#1057;%20&#1052;&#1053;&#1069;%20&#1056;&#1050;\&#1055;&#1056;&#1054;&#1052;%20&#1052;&#1045;&#1057;%202020\&#1101;&#1082;&#1089;&#1087;&#1088;&#1077;&#1089;&#1089;-&#1080;&#1085;&#1092;&#1086;\1.07\eks%20&#1086;&#1073;&#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902485162327677E-2"/>
          <c:y val="2.8479242911537465E-2"/>
          <c:w val="0.96988727128533392"/>
          <c:h val="0.92717430039554916"/>
        </c:manualLayout>
      </c:layout>
      <c:barChart>
        <c:barDir val="bar"/>
        <c:grouping val="clustered"/>
        <c:varyColors val="0"/>
        <c:ser>
          <c:idx val="0"/>
          <c:order val="0"/>
          <c:invertIfNegative val="0"/>
          <c:dLbls>
            <c:dLbl>
              <c:idx val="0"/>
              <c:layout>
                <c:manualLayout>
                  <c:x val="-7.2285549143902136E-3"/>
                  <c:y val="-1.4786884033861965E-5"/>
                </c:manualLayout>
              </c:layout>
              <c:tx>
                <c:rich>
                  <a:bodyPr/>
                  <a:lstStyle/>
                  <a:p>
                    <a:pPr>
                      <a:defRPr sz="800" b="0" i="0" u="none" strike="noStrike" baseline="0">
                        <a:solidFill>
                          <a:srgbClr val="000000"/>
                        </a:solidFill>
                        <a:latin typeface="Calibri"/>
                        <a:ea typeface="Calibri"/>
                        <a:cs typeface="Calibri"/>
                      </a:defRPr>
                    </a:pPr>
                    <a:r>
                      <a:rPr lang="en-US"/>
                      <a:t>-10,4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9EA6-4C21-B2AD-22F2F20B6A0C}"/>
                </c:ext>
                <c:ext xmlns:c15="http://schemas.microsoft.com/office/drawing/2012/chart" uri="{CE6537A1-D6FC-4f65-9D91-7224C49458BB}"/>
              </c:extLst>
            </c:dLbl>
            <c:dLbl>
              <c:idx val="1"/>
              <c:layout>
                <c:manualLayout>
                  <c:x val="-4.8089295697243623E-3"/>
                  <c:y val="-1.4786884033861965E-5"/>
                </c:manualLayout>
              </c:layout>
              <c:tx>
                <c:rich>
                  <a:bodyPr/>
                  <a:lstStyle/>
                  <a:p>
                    <a:pPr>
                      <a:defRPr sz="800" b="0" i="0" u="none" strike="noStrike" baseline="0">
                        <a:solidFill>
                          <a:srgbClr val="000000"/>
                        </a:solidFill>
                        <a:latin typeface="Calibri"/>
                        <a:ea typeface="Calibri"/>
                        <a:cs typeface="Calibri"/>
                      </a:defRPr>
                    </a:pPr>
                    <a:r>
                      <a:rPr lang="en-US"/>
                      <a:t>-4,5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EA6-4C21-B2AD-22F2F20B6A0C}"/>
                </c:ext>
                <c:ext xmlns:c15="http://schemas.microsoft.com/office/drawing/2012/chart" uri="{CE6537A1-D6FC-4f65-9D91-7224C49458BB}"/>
              </c:extLst>
            </c:dLbl>
            <c:dLbl>
              <c:idx val="2"/>
              <c:layout>
                <c:manualLayout>
                  <c:x val="-4.8081715417341783E-3"/>
                  <c:y val="0"/>
                </c:manualLayout>
              </c:layout>
              <c:tx>
                <c:rich>
                  <a:bodyPr/>
                  <a:lstStyle/>
                  <a:p>
                    <a:pPr>
                      <a:defRPr sz="800" b="0" i="0" u="none" strike="noStrike" baseline="0">
                        <a:solidFill>
                          <a:srgbClr val="000000"/>
                        </a:solidFill>
                        <a:latin typeface="Calibri"/>
                        <a:ea typeface="Calibri"/>
                        <a:cs typeface="Calibri"/>
                      </a:defRPr>
                    </a:pPr>
                    <a:r>
                      <a:rPr lang="en-US"/>
                      <a:t>-3,3</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9EA6-4C21-B2AD-22F2F20B6A0C}"/>
                </c:ext>
                <c:ext xmlns:c15="http://schemas.microsoft.com/office/drawing/2012/chart" uri="{CE6537A1-D6FC-4f65-9D91-7224C49458BB}"/>
              </c:extLst>
            </c:dLbl>
            <c:dLbl>
              <c:idx val="3"/>
              <c:layout>
                <c:manualLayout>
                  <c:x val="-7.2122573126012675E-3"/>
                  <c:y val="0"/>
                </c:manualLayout>
              </c:layout>
              <c:tx>
                <c:rich>
                  <a:bodyPr/>
                  <a:lstStyle/>
                  <a:p>
                    <a:pPr>
                      <a:defRPr sz="800" b="0" i="0" u="none" strike="noStrike" baseline="0">
                        <a:solidFill>
                          <a:srgbClr val="000000"/>
                        </a:solidFill>
                        <a:latin typeface="Calibri"/>
                        <a:ea typeface="Calibri"/>
                        <a:cs typeface="Calibri"/>
                      </a:defRPr>
                    </a:pPr>
                    <a:r>
                      <a:rPr lang="en-US"/>
                      <a:t>-0,8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9EA6-4C21-B2AD-22F2F20B6A0C}"/>
                </c:ext>
                <c:ext xmlns:c15="http://schemas.microsoft.com/office/drawing/2012/chart" uri="{CE6537A1-D6FC-4f65-9D91-7224C49458BB}"/>
              </c:extLst>
            </c:dLbl>
            <c:dLbl>
              <c:idx val="4"/>
              <c:layout>
                <c:manualLayout>
                  <c:x val="-7.2137733685816345E-3"/>
                  <c:y val="0"/>
                </c:manualLayout>
              </c:layout>
              <c:tx>
                <c:rich>
                  <a:bodyPr/>
                  <a:lstStyle/>
                  <a:p>
                    <a:pPr>
                      <a:defRPr sz="800" b="0" i="0" u="none" strike="noStrike" baseline="0">
                        <a:solidFill>
                          <a:srgbClr val="000000"/>
                        </a:solidFill>
                        <a:latin typeface="Calibri"/>
                        <a:ea typeface="Calibri"/>
                        <a:cs typeface="Calibri"/>
                      </a:defRPr>
                    </a:pPr>
                    <a:r>
                      <a:rPr lang="en-US"/>
                      <a:t>-0,6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9EA6-4C21-B2AD-22F2F20B6A0C}"/>
                </c:ext>
                <c:ext xmlns:c15="http://schemas.microsoft.com/office/drawing/2012/chart" uri="{CE6537A1-D6FC-4f65-9D91-7224C49458BB}"/>
              </c:extLst>
            </c:dLbl>
            <c:dLbl>
              <c:idx val="5"/>
              <c:layout>
                <c:manualLayout>
                  <c:x val="-7.215007215007215E-3"/>
                  <c:y val="0"/>
                </c:manualLayout>
              </c:layout>
              <c:tx>
                <c:rich>
                  <a:bodyPr/>
                  <a:lstStyle/>
                  <a:p>
                    <a:pPr>
                      <a:defRPr sz="800" b="0" i="0" u="none" strike="noStrike" baseline="0">
                        <a:solidFill>
                          <a:srgbClr val="000000"/>
                        </a:solidFill>
                        <a:latin typeface="Calibri"/>
                        <a:ea typeface="Calibri"/>
                        <a:cs typeface="Calibri"/>
                      </a:defRPr>
                    </a:pPr>
                    <a:r>
                      <a:rPr lang="en-US"/>
                      <a:t>0,4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9EA6-4C21-B2AD-22F2F20B6A0C}"/>
                </c:ext>
                <c:ext xmlns:c15="http://schemas.microsoft.com/office/drawing/2012/chart" uri="{CE6537A1-D6FC-4f65-9D91-7224C49458BB}"/>
              </c:extLst>
            </c:dLbl>
            <c:dLbl>
              <c:idx val="6"/>
              <c:layout>
                <c:manualLayout>
                  <c:x val="-7.1942446043165471E-3"/>
                  <c:y val="0"/>
                </c:manualLayout>
              </c:layout>
              <c:tx>
                <c:rich>
                  <a:bodyPr/>
                  <a:lstStyle/>
                  <a:p>
                    <a:pPr>
                      <a:defRPr sz="800" b="0" i="0" u="none" strike="noStrike" baseline="0">
                        <a:solidFill>
                          <a:srgbClr val="000000"/>
                        </a:solidFill>
                        <a:latin typeface="Calibri"/>
                        <a:ea typeface="Calibri"/>
                        <a:cs typeface="Calibri"/>
                      </a:defRPr>
                    </a:pPr>
                    <a:r>
                      <a:rPr lang="en-US"/>
                      <a:t>0,9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9EA6-4C21-B2AD-22F2F20B6A0C}"/>
                </c:ext>
                <c:ext xmlns:c15="http://schemas.microsoft.com/office/drawing/2012/chart" uri="{CE6537A1-D6FC-4f65-9D91-7224C49458BB}"/>
              </c:extLst>
            </c:dLbl>
            <c:dLbl>
              <c:idx val="7"/>
              <c:layout>
                <c:manualLayout>
                  <c:x val="-7.2168054805423687E-3"/>
                  <c:y val="-3.7558685446009389E-3"/>
                </c:manualLayout>
              </c:layout>
              <c:tx>
                <c:rich>
                  <a:bodyPr/>
                  <a:lstStyle/>
                  <a:p>
                    <a:pPr>
                      <a:defRPr sz="800" b="0" i="0" u="none" strike="noStrike" baseline="0">
                        <a:solidFill>
                          <a:srgbClr val="000000"/>
                        </a:solidFill>
                        <a:latin typeface="Calibri"/>
                        <a:ea typeface="Calibri"/>
                        <a:cs typeface="Calibri"/>
                      </a:defRPr>
                    </a:pPr>
                    <a:r>
                      <a:rPr lang="en-US"/>
                      <a:t>1,4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9EA6-4C21-B2AD-22F2F20B6A0C}"/>
                </c:ext>
                <c:ext xmlns:c15="http://schemas.microsoft.com/office/drawing/2012/chart" uri="{CE6537A1-D6FC-4f65-9D91-7224C49458BB}"/>
              </c:extLst>
            </c:dLbl>
            <c:dLbl>
              <c:idx val="8"/>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2,8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9EA6-4C21-B2AD-22F2F20B6A0C}"/>
                </c:ext>
                <c:ext xmlns:c15="http://schemas.microsoft.com/office/drawing/2012/chart" uri="{CE6537A1-D6FC-4f65-9D91-7224C49458BB}"/>
              </c:extLst>
            </c:dLbl>
            <c:dLbl>
              <c:idx val="9"/>
              <c:layout>
                <c:manualLayout>
                  <c:x val="-7.2097937216331716E-3"/>
                  <c:y val="-1.4786884033861965E-5"/>
                </c:manualLayout>
              </c:layout>
              <c:tx>
                <c:rich>
                  <a:bodyPr/>
                  <a:lstStyle/>
                  <a:p>
                    <a:pPr>
                      <a:defRPr sz="800" b="0" i="0" u="none" strike="noStrike" baseline="0">
                        <a:solidFill>
                          <a:srgbClr val="000000"/>
                        </a:solidFill>
                        <a:latin typeface="Calibri"/>
                        <a:ea typeface="Calibri"/>
                        <a:cs typeface="Calibri"/>
                      </a:defRPr>
                    </a:pPr>
                    <a:r>
                      <a:rPr lang="en-US"/>
                      <a:t>3,3</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9EA6-4C21-B2AD-22F2F20B6A0C}"/>
                </c:ext>
                <c:ext xmlns:c15="http://schemas.microsoft.com/office/drawing/2012/chart" uri="{CE6537A1-D6FC-4f65-9D91-7224C49458BB}"/>
              </c:extLst>
            </c:dLbl>
            <c:dLbl>
              <c:idx val="10"/>
              <c:layout>
                <c:manualLayout>
                  <c:x val="-7.2185110435202824E-3"/>
                  <c:y val="-2.9573768067723929E-7"/>
                </c:manualLayout>
              </c:layout>
              <c:tx>
                <c:rich>
                  <a:bodyPr/>
                  <a:lstStyle/>
                  <a:p>
                    <a:pPr>
                      <a:defRPr sz="800" b="0" i="0" u="none" strike="noStrike" baseline="0">
                        <a:solidFill>
                          <a:srgbClr val="000000"/>
                        </a:solidFill>
                        <a:latin typeface="Calibri"/>
                        <a:ea typeface="Calibri"/>
                        <a:cs typeface="Calibri"/>
                      </a:defRPr>
                    </a:pPr>
                    <a:r>
                      <a:rPr lang="en-US"/>
                      <a:t>3,4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9EA6-4C21-B2AD-22F2F20B6A0C}"/>
                </c:ext>
                <c:ext xmlns:c15="http://schemas.microsoft.com/office/drawing/2012/chart" uri="{CE6537A1-D6FC-4f65-9D91-7224C49458BB}"/>
              </c:extLst>
            </c:dLbl>
            <c:dLbl>
              <c:idx val="11"/>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3,8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9EA6-4C21-B2AD-22F2F20B6A0C}"/>
                </c:ext>
                <c:ext xmlns:c15="http://schemas.microsoft.com/office/drawing/2012/chart" uri="{CE6537A1-D6FC-4f65-9D91-7224C49458BB}"/>
              </c:extLst>
            </c:dLbl>
            <c:dLbl>
              <c:idx val="12"/>
              <c:layout>
                <c:manualLayout>
                  <c:x val="-7.2097937216331716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EA6-4C21-B2AD-22F2F20B6A0C}"/>
                </c:ext>
                <c:ext xmlns:c15="http://schemas.microsoft.com/office/drawing/2012/chart" uri="{CE6537A1-D6FC-4f65-9D91-7224C49458BB}"/>
              </c:extLst>
            </c:dLbl>
            <c:dLbl>
              <c:idx val="13"/>
              <c:layout>
                <c:manualLayout>
                  <c:x val="2.8662552316095623E-2"/>
                  <c:y val="-5.635311079072864E-2"/>
                </c:manualLayout>
              </c:layout>
              <c:tx>
                <c:rich>
                  <a:bodyPr/>
                  <a:lstStyle/>
                  <a:p>
                    <a:pPr>
                      <a:defRPr sz="800" b="0" i="0" u="none" strike="noStrike" baseline="0">
                        <a:solidFill>
                          <a:srgbClr val="000000"/>
                        </a:solidFill>
                        <a:latin typeface="Calibri"/>
                        <a:ea typeface="Calibri"/>
                        <a:cs typeface="Calibri"/>
                      </a:defRPr>
                    </a:pPr>
                    <a:r>
                      <a:rPr lang="en-US"/>
                      <a:t>6,5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9EA6-4C21-B2AD-22F2F20B6A0C}"/>
                </c:ext>
                <c:ext xmlns:c15="http://schemas.microsoft.com/office/drawing/2012/chart" uri="{CE6537A1-D6FC-4f65-9D91-7224C49458BB}"/>
              </c:extLst>
            </c:dLbl>
            <c:dLbl>
              <c:idx val="14"/>
              <c:layout>
                <c:manualLayout>
                  <c:x val="-4.3093045801707308E-2"/>
                  <c:y val="5.2567372740379287E-2"/>
                </c:manualLayout>
              </c:layout>
              <c:tx>
                <c:rich>
                  <a:bodyPr/>
                  <a:lstStyle/>
                  <a:p>
                    <a:pPr>
                      <a:defRPr sz="800" b="0" i="0" u="none" strike="noStrike" baseline="0">
                        <a:solidFill>
                          <a:srgbClr val="000000"/>
                        </a:solidFill>
                        <a:latin typeface="Calibri"/>
                        <a:ea typeface="Calibri"/>
                        <a:cs typeface="Calibri"/>
                      </a:defRPr>
                    </a:pPr>
                    <a:r>
                      <a:rPr lang="en-US"/>
                      <a:t>5,0</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9EA6-4C21-B2AD-22F2F20B6A0C}"/>
                </c:ext>
                <c:ext xmlns:c15="http://schemas.microsoft.com/office/drawing/2012/chart" uri="{CE6537A1-D6FC-4f65-9D91-7224C49458BB}"/>
              </c:extLst>
            </c:dLbl>
            <c:dLbl>
              <c:idx val="15"/>
              <c:layout>
                <c:manualLayout>
                  <c:x val="-7.215007215007215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EA6-4C21-B2AD-22F2F20B6A0C}"/>
                </c:ext>
                <c:ext xmlns:c15="http://schemas.microsoft.com/office/drawing/2012/chart" uri="{CE6537A1-D6FC-4f65-9D91-7224C49458BB}"/>
              </c:extLst>
            </c:dLbl>
            <c:dLbl>
              <c:idx val="16"/>
              <c:layout>
                <c:manualLayout>
                  <c:x val="-7.220406113495741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EA6-4C21-B2AD-22F2F20B6A0C}"/>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рус!$A$3:$A$19</c:f>
              <c:strCache>
                <c:ptCount val="17"/>
                <c:pt idx="5">
                  <c:v>Павлодарская</c:v>
                </c:pt>
                <c:pt idx="6">
                  <c:v>г. Алматы</c:v>
                </c:pt>
                <c:pt idx="7">
                  <c:v>Жамбылская</c:v>
                </c:pt>
                <c:pt idx="8">
                  <c:v>Атырауская</c:v>
                </c:pt>
                <c:pt idx="9">
                  <c:v>Западно-Казахстанская</c:v>
                </c:pt>
                <c:pt idx="10">
                  <c:v>Карагандинская</c:v>
                </c:pt>
                <c:pt idx="11">
                  <c:v>Туркестанская</c:v>
                </c:pt>
                <c:pt idx="12">
                  <c:v>Акмолинская</c:v>
                </c:pt>
                <c:pt idx="13">
                  <c:v>Алматинская</c:v>
                </c:pt>
                <c:pt idx="14">
                  <c:v>Костанайская</c:v>
                </c:pt>
                <c:pt idx="15">
                  <c:v>г. Нур-Султан</c:v>
                </c:pt>
                <c:pt idx="16">
                  <c:v>Северо-Казахстанская</c:v>
                </c:pt>
              </c:strCache>
            </c:strRef>
          </c:cat>
          <c:val>
            <c:numRef>
              <c:f>рус!$B$3:$B$19</c:f>
              <c:numCache>
                <c:formatCode>0.0</c:formatCode>
                <c:ptCount val="17"/>
                <c:pt idx="0">
                  <c:v>-10.400000000000006</c:v>
                </c:pt>
                <c:pt idx="1">
                  <c:v>-4.5</c:v>
                </c:pt>
                <c:pt idx="2">
                  <c:v>-3.2999999999999972</c:v>
                </c:pt>
                <c:pt idx="3">
                  <c:v>-0.79999999999999716</c:v>
                </c:pt>
                <c:pt idx="4">
                  <c:v>-0.59999999999999432</c:v>
                </c:pt>
                <c:pt idx="5">
                  <c:v>0.40000000000000568</c:v>
                </c:pt>
                <c:pt idx="6">
                  <c:v>0.90000000000000568</c:v>
                </c:pt>
                <c:pt idx="7">
                  <c:v>1.4000000000000057</c:v>
                </c:pt>
                <c:pt idx="8">
                  <c:v>2.7999999999999972</c:v>
                </c:pt>
                <c:pt idx="9">
                  <c:v>3.2999999999999972</c:v>
                </c:pt>
                <c:pt idx="10">
                  <c:v>3.4000000000000057</c:v>
                </c:pt>
                <c:pt idx="11">
                  <c:v>3.7999999999999972</c:v>
                </c:pt>
                <c:pt idx="12">
                  <c:v>4.0999999999999943</c:v>
                </c:pt>
                <c:pt idx="13">
                  <c:v>5</c:v>
                </c:pt>
                <c:pt idx="14">
                  <c:v>6.5</c:v>
                </c:pt>
                <c:pt idx="15">
                  <c:v>6.5</c:v>
                </c:pt>
                <c:pt idx="16">
                  <c:v>8.0999999999999943</c:v>
                </c:pt>
              </c:numCache>
            </c:numRef>
          </c:val>
          <c:extLst xmlns:c16r2="http://schemas.microsoft.com/office/drawing/2015/06/chart">
            <c:ext xmlns:c16="http://schemas.microsoft.com/office/drawing/2014/chart" uri="{C3380CC4-5D6E-409C-BE32-E72D297353CC}">
              <c16:uniqueId val="{00000011-9EA6-4C21-B2AD-22F2F20B6A0C}"/>
            </c:ext>
          </c:extLst>
        </c:ser>
        <c:dLbls>
          <c:showLegendKey val="0"/>
          <c:showVal val="0"/>
          <c:showCatName val="0"/>
          <c:showSerName val="0"/>
          <c:showPercent val="0"/>
          <c:showBubbleSize val="0"/>
        </c:dLbls>
        <c:gapWidth val="150"/>
        <c:axId val="134965920"/>
        <c:axId val="134966312"/>
      </c:barChart>
      <c:catAx>
        <c:axId val="13496592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34966312"/>
        <c:crosses val="autoZero"/>
        <c:auto val="1"/>
        <c:lblAlgn val="ctr"/>
        <c:lblOffset val="100"/>
        <c:tickLblSkip val="1"/>
        <c:tickMarkSkip val="1"/>
        <c:noMultiLvlLbl val="0"/>
      </c:catAx>
      <c:valAx>
        <c:axId val="134966312"/>
        <c:scaling>
          <c:orientation val="minMax"/>
          <c:max val="20"/>
          <c:min val="-20"/>
        </c:scaling>
        <c:delete val="0"/>
        <c:axPos val="b"/>
        <c:numFmt formatCode="0.0" sourceLinked="1"/>
        <c:majorTickMark val="out"/>
        <c:minorTickMark val="none"/>
        <c:tickLblPos val="none"/>
        <c:crossAx val="13496592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0.52249</cdr:x>
      <cdr:y>0.90261</cdr:y>
    </cdr:from>
    <cdr:to>
      <cdr:x>0.68606</cdr:x>
      <cdr:y>0.94647</cdr:y>
    </cdr:to>
    <cdr:sp macro="" textlink="">
      <cdr:nvSpPr>
        <cdr:cNvPr id="9" name="Text Box 20"/>
        <cdr:cNvSpPr txBox="1">
          <a:spLocks xmlns:a="http://schemas.openxmlformats.org/drawingml/2006/main" noChangeArrowheads="1"/>
        </cdr:cNvSpPr>
      </cdr:nvSpPr>
      <cdr:spPr bwMode="auto">
        <a:xfrm xmlns:a="http://schemas.openxmlformats.org/drawingml/2006/main">
          <a:off x="2762066" y="305207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ru-RU" sz="800" b="0" i="0" strike="noStrike">
              <a:solidFill>
                <a:srgbClr val="000000"/>
              </a:solidFill>
              <a:latin typeface="+mn-lt"/>
              <a:cs typeface="Arial" pitchFamily="34" charset="0"/>
            </a:rPr>
            <a:t> Кызылординская</a:t>
          </a:r>
        </a:p>
      </cdr:txBody>
    </cdr:sp>
  </cdr:relSizeAnchor>
  <cdr:relSizeAnchor xmlns:cdr="http://schemas.openxmlformats.org/drawingml/2006/chartDrawing">
    <cdr:from>
      <cdr:x>0.52211</cdr:x>
      <cdr:y>0.78932</cdr:y>
    </cdr:from>
    <cdr:to>
      <cdr:x>0.68568</cdr:x>
      <cdr:y>0.83318</cdr:y>
    </cdr:to>
    <cdr:sp macro="" textlink="">
      <cdr:nvSpPr>
        <cdr:cNvPr id="5" name="Text Box 20"/>
        <cdr:cNvSpPr txBox="1">
          <a:spLocks xmlns:a="http://schemas.openxmlformats.org/drawingml/2006/main" noChangeArrowheads="1"/>
        </cdr:cNvSpPr>
      </cdr:nvSpPr>
      <cdr:spPr bwMode="auto">
        <a:xfrm xmlns:a="http://schemas.openxmlformats.org/drawingml/2006/main">
          <a:off x="2760065" y="2668995"/>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Актюбинская</a:t>
          </a:r>
        </a:p>
      </cdr:txBody>
    </cdr:sp>
  </cdr:relSizeAnchor>
  <cdr:relSizeAnchor xmlns:cdr="http://schemas.openxmlformats.org/drawingml/2006/chartDrawing">
    <cdr:from>
      <cdr:x>0.52136</cdr:x>
      <cdr:y>0.84723</cdr:y>
    </cdr:from>
    <cdr:to>
      <cdr:x>0.68493</cdr:x>
      <cdr:y>0.89109</cdr:y>
    </cdr:to>
    <cdr:sp macro="" textlink="">
      <cdr:nvSpPr>
        <cdr:cNvPr id="6" name="Text Box 20"/>
        <cdr:cNvSpPr txBox="1">
          <a:spLocks xmlns:a="http://schemas.openxmlformats.org/drawingml/2006/main" noChangeArrowheads="1"/>
        </cdr:cNvSpPr>
      </cdr:nvSpPr>
      <cdr:spPr bwMode="auto">
        <a:xfrm xmlns:a="http://schemas.openxmlformats.org/drawingml/2006/main">
          <a:off x="2756100" y="286478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Мангистауская</a:t>
          </a:r>
        </a:p>
      </cdr:txBody>
    </cdr:sp>
  </cdr:relSizeAnchor>
  <cdr:relSizeAnchor xmlns:cdr="http://schemas.openxmlformats.org/drawingml/2006/chartDrawing">
    <cdr:from>
      <cdr:x>0.52162</cdr:x>
      <cdr:y>0.73803</cdr:y>
    </cdr:from>
    <cdr:to>
      <cdr:x>0.68519</cdr:x>
      <cdr:y>0.79144</cdr:y>
    </cdr:to>
    <cdr:sp macro="" textlink="">
      <cdr:nvSpPr>
        <cdr:cNvPr id="7" name="Text Box 20"/>
        <cdr:cNvSpPr txBox="1">
          <a:spLocks xmlns:a="http://schemas.openxmlformats.org/drawingml/2006/main" noChangeArrowheads="1"/>
        </cdr:cNvSpPr>
      </cdr:nvSpPr>
      <cdr:spPr bwMode="auto">
        <a:xfrm xmlns:a="http://schemas.openxmlformats.org/drawingml/2006/main">
          <a:off x="2756485" y="2049402"/>
          <a:ext cx="864381" cy="1483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г. Шымкент</a:t>
          </a:r>
        </a:p>
      </cdr:txBody>
    </cdr:sp>
  </cdr:relSizeAnchor>
  <cdr:relSizeAnchor xmlns:cdr="http://schemas.openxmlformats.org/drawingml/2006/chartDrawing">
    <cdr:from>
      <cdr:x>0.51411</cdr:x>
      <cdr:y>0.68404</cdr:y>
    </cdr:from>
    <cdr:to>
      <cdr:x>0.72973</cdr:x>
      <cdr:y>0.7279</cdr:y>
    </cdr:to>
    <cdr:sp macro="" textlink="">
      <cdr:nvSpPr>
        <cdr:cNvPr id="10" name="Text Box 20"/>
        <cdr:cNvSpPr txBox="1">
          <a:spLocks xmlns:a="http://schemas.openxmlformats.org/drawingml/2006/main" noChangeArrowheads="1"/>
        </cdr:cNvSpPr>
      </cdr:nvSpPr>
      <cdr:spPr bwMode="auto">
        <a:xfrm xmlns:a="http://schemas.openxmlformats.org/drawingml/2006/main">
          <a:off x="2717800" y="2312988"/>
          <a:ext cx="1139825" cy="1483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 Восточно-Казахстанская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5879-481C-4782-BBDF-3FE82E59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1</Pages>
  <Words>6276</Words>
  <Characters>35778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126</cp:revision>
  <cp:lastPrinted>2018-09-04T08:39:00Z</cp:lastPrinted>
  <dcterms:created xsi:type="dcterms:W3CDTF">2018-09-04T11:04:00Z</dcterms:created>
  <dcterms:modified xsi:type="dcterms:W3CDTF">2023-08-16T10:52:00Z</dcterms:modified>
</cp:coreProperties>
</file>