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Y="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96"/>
      </w:tblGrid>
      <w:tr w:rsidR="00451AB9" w:rsidRPr="005C0B79" w:rsidTr="00D80708">
        <w:tc>
          <w:tcPr>
            <w:tcW w:w="4926" w:type="dxa"/>
          </w:tcPr>
          <w:p w:rsidR="00451AB9" w:rsidRDefault="00451AB9" w:rsidP="00D80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1162050" cy="1034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199" cy="1035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</w:tcPr>
          <w:p w:rsidR="00451AB9" w:rsidRDefault="001873D2" w:rsidP="001873D2">
            <w:pPr>
              <w:ind w:left="1310" w:right="-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Approved by</w:t>
            </w:r>
          </w:p>
          <w:p w:rsidR="001873D2" w:rsidRDefault="001873D2" w:rsidP="001873D2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resolution of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Samruk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-Energy” JSC </w:t>
            </w:r>
          </w:p>
          <w:p w:rsidR="001873D2" w:rsidRDefault="001873D2" w:rsidP="001873D2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Management Board </w:t>
            </w:r>
          </w:p>
          <w:p w:rsidR="001873D2" w:rsidRPr="00164A39" w:rsidRDefault="001873D2" w:rsidP="001873D2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dated</w:t>
            </w:r>
            <w:r w:rsidRPr="00164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July</w:t>
            </w:r>
            <w:r w:rsidRPr="00164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21, 2016</w:t>
            </w:r>
          </w:p>
          <w:p w:rsidR="001873D2" w:rsidRPr="00164A39" w:rsidRDefault="001873D2" w:rsidP="001873D2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Minutes</w:t>
            </w:r>
            <w:r w:rsidRPr="00164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164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164A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51AB9" w:rsidRPr="00164A39" w:rsidRDefault="00451AB9" w:rsidP="005E4B53">
            <w:pPr>
              <w:ind w:left="131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B289B" w:rsidRPr="00164A39" w:rsidRDefault="004B289B" w:rsidP="004B28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80708" w:rsidRPr="001873D2" w:rsidRDefault="001873D2" w:rsidP="00187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73D2">
        <w:rPr>
          <w:rFonts w:ascii="Times New Roman" w:hAnsi="Times New Roman" w:cs="Times New Roman"/>
          <w:b/>
          <w:sz w:val="28"/>
          <w:szCs w:val="28"/>
          <w:lang w:val="en-US"/>
        </w:rPr>
        <w:t>Corporate Management System Policy of “</w:t>
      </w:r>
      <w:proofErr w:type="spellStart"/>
      <w:r w:rsidRPr="001873D2">
        <w:rPr>
          <w:rFonts w:ascii="Times New Roman" w:hAnsi="Times New Roman" w:cs="Times New Roman"/>
          <w:b/>
          <w:sz w:val="28"/>
          <w:szCs w:val="28"/>
          <w:lang w:val="en-US"/>
        </w:rPr>
        <w:t>Samruk</w:t>
      </w:r>
      <w:proofErr w:type="spellEnd"/>
      <w:r w:rsidRPr="001873D2">
        <w:rPr>
          <w:rFonts w:ascii="Times New Roman" w:hAnsi="Times New Roman" w:cs="Times New Roman"/>
          <w:b/>
          <w:sz w:val="28"/>
          <w:szCs w:val="28"/>
          <w:lang w:val="en-US"/>
        </w:rPr>
        <w:t>-Energy” JSC</w:t>
      </w:r>
    </w:p>
    <w:p w:rsidR="004B289B" w:rsidRDefault="004B289B" w:rsidP="004B2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73D2" w:rsidRDefault="001873D2" w:rsidP="004B2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73D2" w:rsidRPr="00EB5557" w:rsidRDefault="001873D2" w:rsidP="00AD5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557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EB5557">
        <w:rPr>
          <w:rFonts w:ascii="Times New Roman" w:hAnsi="Times New Roman" w:cs="Times New Roman"/>
          <w:sz w:val="24"/>
          <w:szCs w:val="24"/>
          <w:lang w:val="en-US"/>
        </w:rPr>
        <w:t>Samruk</w:t>
      </w:r>
      <w:proofErr w:type="spellEnd"/>
      <w:r w:rsidRPr="00EB5557">
        <w:rPr>
          <w:rFonts w:ascii="Times New Roman" w:hAnsi="Times New Roman" w:cs="Times New Roman"/>
          <w:sz w:val="24"/>
          <w:szCs w:val="24"/>
          <w:lang w:val="en-US"/>
        </w:rPr>
        <w:t xml:space="preserve">-Energy” JSC (hereinafter referred to as the Company) provides operational management of state power assets to implement a coordinated state policy in the industry, modernization of existing and construction of new generating facilities.  </w:t>
      </w:r>
    </w:p>
    <w:p w:rsidR="001873D2" w:rsidRPr="00164A39" w:rsidRDefault="001873D2" w:rsidP="00AD5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A39">
        <w:rPr>
          <w:rFonts w:ascii="Times New Roman" w:hAnsi="Times New Roman" w:cs="Times New Roman"/>
          <w:b/>
          <w:sz w:val="24"/>
          <w:szCs w:val="24"/>
          <w:lang w:val="en-US"/>
        </w:rPr>
        <w:t>The Company’s mission:</w:t>
      </w:r>
      <w:r w:rsidRPr="00164A39">
        <w:rPr>
          <w:rFonts w:ascii="Times New Roman" w:hAnsi="Times New Roman" w:cs="Times New Roman"/>
          <w:sz w:val="24"/>
          <w:szCs w:val="24"/>
          <w:lang w:val="en-US"/>
        </w:rPr>
        <w:t xml:space="preserve"> to create value for shareholders, employees and society as a high tech Kazakhstan’s power supply guarantor and supplier of Eurasia yet guided by principles of caring for environment and lean production, </w:t>
      </w:r>
    </w:p>
    <w:p w:rsidR="001873D2" w:rsidRPr="00164A39" w:rsidRDefault="001873D2" w:rsidP="00AD5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A39">
        <w:rPr>
          <w:rFonts w:ascii="Times New Roman" w:hAnsi="Times New Roman" w:cs="Times New Roman"/>
          <w:b/>
          <w:sz w:val="24"/>
          <w:szCs w:val="24"/>
          <w:lang w:val="en-US"/>
        </w:rPr>
        <w:t>Vision:</w:t>
      </w:r>
      <w:r w:rsidRPr="00164A39">
        <w:rPr>
          <w:rFonts w:ascii="Times New Roman" w:hAnsi="Times New Roman" w:cs="Times New Roman"/>
          <w:sz w:val="24"/>
          <w:szCs w:val="24"/>
          <w:lang w:val="en-US"/>
        </w:rPr>
        <w:t xml:space="preserve"> efficient operating holding company of Eurasian value - </w:t>
      </w:r>
      <w:r w:rsidR="00BF2162" w:rsidRPr="00164A39">
        <w:rPr>
          <w:rFonts w:ascii="Times New Roman" w:hAnsi="Times New Roman" w:cs="Times New Roman"/>
          <w:sz w:val="24"/>
          <w:szCs w:val="24"/>
          <w:lang w:val="en-US"/>
        </w:rPr>
        <w:t xml:space="preserve"> Kazakhstan’s market leader. </w:t>
      </w:r>
    </w:p>
    <w:p w:rsidR="001873D2" w:rsidRPr="00BF2162" w:rsidRDefault="00BF2162" w:rsidP="00AD5E44">
      <w:pPr>
        <w:pStyle w:val="a8"/>
        <w:shd w:val="clear" w:color="auto" w:fill="auto"/>
        <w:spacing w:before="0" w:after="0"/>
        <w:ind w:left="20" w:right="20"/>
        <w:rPr>
          <w:rStyle w:val="a7"/>
          <w:color w:val="000000"/>
          <w:sz w:val="24"/>
          <w:szCs w:val="24"/>
          <w:lang w:val="en-US" w:eastAsia="ru-RU"/>
        </w:rPr>
      </w:pPr>
      <w:r w:rsidRPr="00BF2162">
        <w:rPr>
          <w:rStyle w:val="a7"/>
          <w:color w:val="000000"/>
          <w:sz w:val="24"/>
          <w:szCs w:val="24"/>
          <w:lang w:val="en-US" w:eastAsia="ru-RU"/>
        </w:rPr>
        <w:t xml:space="preserve">The Company considers corporate management system as </w:t>
      </w:r>
      <w:r>
        <w:rPr>
          <w:rStyle w:val="a7"/>
          <w:color w:val="000000"/>
          <w:sz w:val="24"/>
          <w:szCs w:val="24"/>
          <w:lang w:val="en-US" w:eastAsia="ru-RU"/>
        </w:rPr>
        <w:t>a valid</w:t>
      </w:r>
      <w:r w:rsidRPr="00BF2162">
        <w:rPr>
          <w:rStyle w:val="a7"/>
          <w:color w:val="000000"/>
          <w:sz w:val="24"/>
          <w:szCs w:val="24"/>
          <w:lang w:val="en-US" w:eastAsia="ru-RU"/>
        </w:rPr>
        <w:t xml:space="preserve"> tool which ensures high quality through effective management of business processes and prevention of negative situations.</w:t>
      </w:r>
    </w:p>
    <w:p w:rsidR="001873D2" w:rsidRPr="00892E81" w:rsidRDefault="001873D2" w:rsidP="00AD5E44">
      <w:pPr>
        <w:pStyle w:val="a8"/>
        <w:shd w:val="clear" w:color="auto" w:fill="auto"/>
        <w:spacing w:before="0" w:after="0"/>
        <w:ind w:left="20" w:right="20"/>
        <w:rPr>
          <w:sz w:val="24"/>
          <w:szCs w:val="24"/>
          <w:lang w:val="en-US"/>
        </w:rPr>
      </w:pPr>
      <w:r>
        <w:rPr>
          <w:rStyle w:val="a7"/>
          <w:color w:val="000000"/>
          <w:sz w:val="24"/>
          <w:szCs w:val="24"/>
          <w:lang w:val="en-US" w:eastAsia="ru-RU"/>
        </w:rPr>
        <w:t xml:space="preserve">The </w:t>
      </w:r>
      <w:r w:rsidR="00BF2162">
        <w:rPr>
          <w:rStyle w:val="a7"/>
          <w:color w:val="000000"/>
          <w:sz w:val="24"/>
          <w:szCs w:val="24"/>
          <w:lang w:val="en-US" w:eastAsia="ru-RU"/>
        </w:rPr>
        <w:t xml:space="preserve">Management </w:t>
      </w:r>
      <w:r>
        <w:rPr>
          <w:rStyle w:val="a7"/>
          <w:color w:val="000000"/>
          <w:sz w:val="24"/>
          <w:szCs w:val="24"/>
          <w:lang w:val="en-US" w:eastAsia="ru-RU"/>
        </w:rPr>
        <w:t>Board</w:t>
      </w:r>
      <w:r w:rsidRPr="00892E81">
        <w:rPr>
          <w:rStyle w:val="a7"/>
          <w:color w:val="000000"/>
          <w:sz w:val="24"/>
          <w:szCs w:val="24"/>
          <w:lang w:val="en-US" w:eastAsia="ru-RU"/>
        </w:rPr>
        <w:t xml:space="preserve"> of the Company made a strategic decision to implement a corporate management system in accordance with requirements of</w:t>
      </w:r>
      <w:r w:rsidR="00BF2162">
        <w:rPr>
          <w:rStyle w:val="a7"/>
          <w:color w:val="000000"/>
          <w:sz w:val="24"/>
          <w:szCs w:val="24"/>
          <w:lang w:val="en-US" w:eastAsia="ru-RU"/>
        </w:rPr>
        <w:t xml:space="preserve"> international standard</w:t>
      </w:r>
      <w:r w:rsidR="005C0B79">
        <w:rPr>
          <w:rStyle w:val="a7"/>
          <w:color w:val="000000"/>
          <w:sz w:val="24"/>
          <w:szCs w:val="24"/>
          <w:lang w:val="en-US" w:eastAsia="ru-RU"/>
        </w:rPr>
        <w:t xml:space="preserve"> ISO 9001: 20</w:t>
      </w:r>
      <w:r w:rsidR="005C0B79" w:rsidRPr="005C0B79">
        <w:rPr>
          <w:rStyle w:val="a7"/>
          <w:color w:val="000000"/>
          <w:sz w:val="24"/>
          <w:szCs w:val="24"/>
          <w:lang w:val="en-US" w:eastAsia="ru-RU"/>
        </w:rPr>
        <w:t>15</w:t>
      </w:r>
      <w:r w:rsidRPr="00892E81">
        <w:rPr>
          <w:rStyle w:val="a7"/>
          <w:color w:val="000000"/>
          <w:sz w:val="24"/>
          <w:szCs w:val="24"/>
          <w:lang w:val="en-US" w:eastAsia="ru-RU"/>
        </w:rPr>
        <w:t xml:space="preserve"> </w:t>
      </w:r>
      <w:r>
        <w:rPr>
          <w:rStyle w:val="a7"/>
          <w:color w:val="000000"/>
          <w:sz w:val="24"/>
          <w:szCs w:val="24"/>
          <w:lang w:val="en-US" w:eastAsia="ru-RU"/>
        </w:rPr>
        <w:t>“</w:t>
      </w:r>
      <w:r w:rsidRPr="00892E81">
        <w:rPr>
          <w:rStyle w:val="a7"/>
          <w:color w:val="000000"/>
          <w:sz w:val="24"/>
          <w:szCs w:val="24"/>
          <w:lang w:val="en-US" w:eastAsia="ru-RU"/>
        </w:rPr>
        <w:t>Quality Management System. Requirements</w:t>
      </w:r>
      <w:r>
        <w:rPr>
          <w:rStyle w:val="a7"/>
          <w:color w:val="000000"/>
          <w:sz w:val="24"/>
          <w:szCs w:val="24"/>
          <w:lang w:val="en-US" w:eastAsia="ru-RU"/>
        </w:rPr>
        <w:t xml:space="preserve">” </w:t>
      </w:r>
      <w:r w:rsidRPr="00892E81">
        <w:rPr>
          <w:rStyle w:val="a7"/>
          <w:color w:val="000000"/>
          <w:sz w:val="24"/>
          <w:szCs w:val="24"/>
          <w:lang w:val="en-US" w:eastAsia="ru-RU"/>
        </w:rPr>
        <w:t>and on an ongoing basis ensures compliance with applicable statutory and regulatory requirements</w:t>
      </w:r>
      <w:r>
        <w:rPr>
          <w:rStyle w:val="a7"/>
          <w:color w:val="000000"/>
          <w:sz w:val="24"/>
          <w:szCs w:val="24"/>
          <w:lang w:val="en-US" w:eastAsia="ru-RU"/>
        </w:rPr>
        <w:t xml:space="preserve">. </w:t>
      </w:r>
    </w:p>
    <w:p w:rsidR="001873D2" w:rsidRDefault="001873D2" w:rsidP="004B2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5557" w:rsidRDefault="00EB5557" w:rsidP="00CB7B48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Main directions of CMS Policy: </w:t>
      </w:r>
    </w:p>
    <w:p w:rsidR="00EB5557" w:rsidRPr="00164A39" w:rsidRDefault="00EB5557" w:rsidP="00EB5557">
      <w:pPr>
        <w:pStyle w:val="a3"/>
        <w:numPr>
          <w:ilvl w:val="0"/>
          <w:numId w:val="2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A39">
        <w:rPr>
          <w:rFonts w:ascii="Times New Roman" w:hAnsi="Times New Roman" w:cs="Times New Roman"/>
          <w:sz w:val="24"/>
          <w:szCs w:val="24"/>
          <w:lang w:val="en-US"/>
        </w:rPr>
        <w:t xml:space="preserve">enhancement of openness and attractiveness of the Company for stakeholders </w:t>
      </w:r>
    </w:p>
    <w:p w:rsidR="00EB5557" w:rsidRPr="00164A39" w:rsidRDefault="00EB5557" w:rsidP="00EB5557">
      <w:pPr>
        <w:pStyle w:val="a3"/>
        <w:numPr>
          <w:ilvl w:val="0"/>
          <w:numId w:val="2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A39">
        <w:rPr>
          <w:rFonts w:ascii="Times New Roman" w:hAnsi="Times New Roman" w:cs="Times New Roman"/>
          <w:sz w:val="24"/>
          <w:szCs w:val="24"/>
          <w:lang w:val="en-US"/>
        </w:rPr>
        <w:t xml:space="preserve"> improvement of governance, including the improvement of corporate management system, ensuring transparency of financial and economic activity</w:t>
      </w:r>
    </w:p>
    <w:p w:rsidR="00EB5557" w:rsidRPr="00164A39" w:rsidRDefault="00EB5557" w:rsidP="00EB5557">
      <w:pPr>
        <w:pStyle w:val="a3"/>
        <w:numPr>
          <w:ilvl w:val="0"/>
          <w:numId w:val="2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A39">
        <w:rPr>
          <w:rFonts w:ascii="Times New Roman" w:hAnsi="Times New Roman" w:cs="Times New Roman"/>
          <w:sz w:val="24"/>
          <w:szCs w:val="24"/>
          <w:lang w:val="en-US"/>
        </w:rPr>
        <w:t xml:space="preserve"> implementation of a set of measures for rehabilitation, modernization, reconstruction of existing and introduction of new generating facilities</w:t>
      </w:r>
    </w:p>
    <w:p w:rsidR="00EB5557" w:rsidRPr="00164A39" w:rsidRDefault="00EB5557" w:rsidP="00EB5557">
      <w:pPr>
        <w:pStyle w:val="a3"/>
        <w:numPr>
          <w:ilvl w:val="0"/>
          <w:numId w:val="2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A39">
        <w:rPr>
          <w:rFonts w:ascii="Times New Roman" w:hAnsi="Times New Roman" w:cs="Times New Roman"/>
          <w:sz w:val="24"/>
          <w:szCs w:val="24"/>
          <w:lang w:val="en-US"/>
        </w:rPr>
        <w:t>creating a safe and healthy working conditions in the Group of companies</w:t>
      </w:r>
    </w:p>
    <w:p w:rsidR="00EB5557" w:rsidRPr="00164A39" w:rsidRDefault="00EB5557" w:rsidP="00EB5557">
      <w:pPr>
        <w:pStyle w:val="a3"/>
        <w:numPr>
          <w:ilvl w:val="0"/>
          <w:numId w:val="2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A39">
        <w:rPr>
          <w:rFonts w:ascii="Times New Roman" w:hAnsi="Times New Roman" w:cs="Times New Roman"/>
          <w:sz w:val="24"/>
          <w:szCs w:val="24"/>
          <w:lang w:val="en-US"/>
        </w:rPr>
        <w:t xml:space="preserve"> continuous improvement of employees skills and increasing their satisfaction with working conditions</w:t>
      </w:r>
    </w:p>
    <w:p w:rsidR="00EB5557" w:rsidRPr="00164A39" w:rsidRDefault="00EB5557" w:rsidP="00EB5557">
      <w:pPr>
        <w:pStyle w:val="a3"/>
        <w:numPr>
          <w:ilvl w:val="0"/>
          <w:numId w:val="2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A39">
        <w:rPr>
          <w:rFonts w:ascii="Times New Roman" w:hAnsi="Times New Roman" w:cs="Times New Roman"/>
          <w:sz w:val="24"/>
          <w:szCs w:val="24"/>
          <w:lang w:val="en-US"/>
        </w:rPr>
        <w:t xml:space="preserve">Ongoing improvement of risk management system </w:t>
      </w:r>
    </w:p>
    <w:p w:rsidR="00EB5557" w:rsidRPr="00164A39" w:rsidRDefault="00EB5557" w:rsidP="00EB5557">
      <w:pPr>
        <w:pStyle w:val="a3"/>
        <w:numPr>
          <w:ilvl w:val="0"/>
          <w:numId w:val="2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A39">
        <w:rPr>
          <w:rFonts w:ascii="Times New Roman" w:hAnsi="Times New Roman" w:cs="Times New Roman"/>
          <w:sz w:val="24"/>
          <w:szCs w:val="24"/>
          <w:lang w:val="en-US"/>
        </w:rPr>
        <w:t xml:space="preserve"> development of international and industry-specific cooperation on innovation projects</w:t>
      </w:r>
    </w:p>
    <w:p w:rsidR="00EB5557" w:rsidRPr="00164A39" w:rsidRDefault="00EB5557" w:rsidP="00EB5557">
      <w:pPr>
        <w:pStyle w:val="a3"/>
        <w:numPr>
          <w:ilvl w:val="0"/>
          <w:numId w:val="2"/>
        </w:numPr>
        <w:spacing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A39">
        <w:rPr>
          <w:rFonts w:ascii="Times New Roman" w:hAnsi="Times New Roman" w:cs="Times New Roman"/>
          <w:sz w:val="24"/>
          <w:szCs w:val="24"/>
          <w:lang w:val="en-US"/>
        </w:rPr>
        <w:t xml:space="preserve"> development of automation of administrative activity and production processes</w:t>
      </w:r>
    </w:p>
    <w:p w:rsidR="00EB5557" w:rsidRDefault="00EB5557" w:rsidP="00EB5557">
      <w:pPr>
        <w:pStyle w:val="a8"/>
        <w:shd w:val="clear" w:color="auto" w:fill="auto"/>
        <w:spacing w:before="0" w:after="0" w:line="264" w:lineRule="exact"/>
        <w:ind w:right="20"/>
        <w:rPr>
          <w:rStyle w:val="a7"/>
          <w:color w:val="000000"/>
          <w:sz w:val="24"/>
          <w:szCs w:val="24"/>
          <w:lang w:val="en-US" w:eastAsia="ru-RU"/>
        </w:rPr>
      </w:pPr>
    </w:p>
    <w:p w:rsidR="00FC76E5" w:rsidRPr="00FC76E5" w:rsidRDefault="00FC76E5" w:rsidP="00FC76E5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Directions in the area of CMS across the Group of companies </w:t>
      </w:r>
    </w:p>
    <w:p w:rsidR="00FC76E5" w:rsidRPr="00FC76E5" w:rsidRDefault="00FC76E5" w:rsidP="00EB5557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5557" w:rsidRPr="00164A39" w:rsidRDefault="00EB5557" w:rsidP="00904C1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5557" w:rsidRPr="00904C15" w:rsidRDefault="00EB5557" w:rsidP="00904C15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C15">
        <w:rPr>
          <w:rFonts w:ascii="Times New Roman" w:hAnsi="Times New Roman" w:cs="Times New Roman"/>
          <w:sz w:val="24"/>
          <w:szCs w:val="24"/>
          <w:lang w:val="en-US"/>
        </w:rPr>
        <w:t xml:space="preserve"> minimizing harmful effects of electric</w:t>
      </w:r>
      <w:r w:rsidR="00FC76E5" w:rsidRPr="00904C15">
        <w:rPr>
          <w:rFonts w:ascii="Times New Roman" w:hAnsi="Times New Roman" w:cs="Times New Roman"/>
          <w:sz w:val="24"/>
          <w:szCs w:val="24"/>
          <w:lang w:val="en-US"/>
        </w:rPr>
        <w:t>ity</w:t>
      </w:r>
      <w:r w:rsidRPr="00904C1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C76E5" w:rsidRPr="00904C15">
        <w:rPr>
          <w:rFonts w:ascii="Times New Roman" w:hAnsi="Times New Roman" w:cs="Times New Roman"/>
          <w:sz w:val="24"/>
          <w:szCs w:val="24"/>
          <w:lang w:val="en-US"/>
        </w:rPr>
        <w:t>heat production</w:t>
      </w:r>
      <w:r w:rsidRPr="00904C15">
        <w:rPr>
          <w:rFonts w:ascii="Times New Roman" w:hAnsi="Times New Roman" w:cs="Times New Roman"/>
          <w:sz w:val="24"/>
          <w:szCs w:val="24"/>
          <w:lang w:val="en-US"/>
        </w:rPr>
        <w:t xml:space="preserve"> on the environment in fulfilling environmental requirements </w:t>
      </w:r>
      <w:r w:rsidR="00FC76E5" w:rsidRPr="00904C1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04C15">
        <w:rPr>
          <w:rFonts w:ascii="Times New Roman" w:hAnsi="Times New Roman" w:cs="Times New Roman"/>
          <w:sz w:val="24"/>
          <w:szCs w:val="24"/>
          <w:lang w:val="en-US"/>
        </w:rPr>
        <w:t xml:space="preserve"> power plants </w:t>
      </w:r>
      <w:r w:rsidR="00FC76E5" w:rsidRPr="00904C15">
        <w:rPr>
          <w:rFonts w:ascii="Times New Roman" w:hAnsi="Times New Roman" w:cs="Times New Roman"/>
          <w:sz w:val="24"/>
          <w:szCs w:val="24"/>
          <w:lang w:val="en-US"/>
        </w:rPr>
        <w:t>taking into account</w:t>
      </w:r>
      <w:r w:rsidRPr="00904C15">
        <w:rPr>
          <w:rFonts w:ascii="Times New Roman" w:hAnsi="Times New Roman" w:cs="Times New Roman"/>
          <w:sz w:val="24"/>
          <w:szCs w:val="24"/>
          <w:lang w:val="en-US"/>
        </w:rPr>
        <w:t xml:space="preserve"> best practices</w:t>
      </w:r>
    </w:p>
    <w:p w:rsidR="00FC76E5" w:rsidRPr="00164A39" w:rsidRDefault="00FC76E5" w:rsidP="00904C15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4A39">
        <w:rPr>
          <w:rFonts w:ascii="Times New Roman" w:hAnsi="Times New Roman" w:cs="Times New Roman"/>
          <w:sz w:val="24"/>
          <w:szCs w:val="24"/>
          <w:lang w:val="en-US"/>
        </w:rPr>
        <w:t xml:space="preserve">implementation, fulfillment and continuous improvement of the integrated management system in the field of environmental protection, </w:t>
      </w:r>
      <w:r w:rsidR="00904C15" w:rsidRPr="00164A39">
        <w:rPr>
          <w:rFonts w:ascii="Times New Roman" w:hAnsi="Times New Roman" w:cs="Times New Roman"/>
          <w:sz w:val="24"/>
          <w:szCs w:val="24"/>
          <w:lang w:val="en-US"/>
        </w:rPr>
        <w:t xml:space="preserve">occupational </w:t>
      </w:r>
      <w:r w:rsidRPr="00164A39">
        <w:rPr>
          <w:rFonts w:ascii="Times New Roman" w:hAnsi="Times New Roman" w:cs="Times New Roman"/>
          <w:sz w:val="24"/>
          <w:szCs w:val="24"/>
          <w:lang w:val="en-US"/>
        </w:rPr>
        <w:t>health and safety at the corporate level and for the Group</w:t>
      </w:r>
      <w:r w:rsidR="00904C15" w:rsidRPr="00164A3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164A39">
        <w:rPr>
          <w:rFonts w:ascii="Times New Roman" w:hAnsi="Times New Roman" w:cs="Times New Roman"/>
          <w:sz w:val="24"/>
          <w:szCs w:val="24"/>
          <w:lang w:val="en-US"/>
        </w:rPr>
        <w:t xml:space="preserve"> companies in accordance with international standards</w:t>
      </w:r>
    </w:p>
    <w:p w:rsidR="00FC76E5" w:rsidRPr="00164A39" w:rsidRDefault="00FC76E5" w:rsidP="00904C15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A39">
        <w:rPr>
          <w:rFonts w:ascii="Times New Roman" w:hAnsi="Times New Roman" w:cs="Times New Roman"/>
          <w:sz w:val="24"/>
          <w:szCs w:val="24"/>
          <w:lang w:val="en-US"/>
        </w:rPr>
        <w:t xml:space="preserve"> introduction of modern means of production and quality control </w:t>
      </w:r>
      <w:r w:rsidR="00904C15" w:rsidRPr="00164A39">
        <w:rPr>
          <w:rFonts w:ascii="Times New Roman" w:hAnsi="Times New Roman" w:cs="Times New Roman"/>
          <w:sz w:val="24"/>
          <w:szCs w:val="24"/>
          <w:lang w:val="en-US"/>
        </w:rPr>
        <w:t xml:space="preserve">automation </w:t>
      </w:r>
      <w:r w:rsidRPr="00164A39">
        <w:rPr>
          <w:rFonts w:ascii="Times New Roman" w:hAnsi="Times New Roman" w:cs="Times New Roman"/>
          <w:sz w:val="24"/>
          <w:szCs w:val="24"/>
          <w:lang w:val="en-US"/>
        </w:rPr>
        <w:t>in accordance with international standards of energy management</w:t>
      </w:r>
    </w:p>
    <w:p w:rsidR="00164A39" w:rsidRDefault="00164A39" w:rsidP="00164A3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5557" w:rsidRPr="00164A39" w:rsidRDefault="00EB5557" w:rsidP="00164A3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4A39">
        <w:rPr>
          <w:rFonts w:ascii="Times New Roman" w:hAnsi="Times New Roman" w:cs="Times New Roman"/>
          <w:sz w:val="24"/>
          <w:szCs w:val="24"/>
          <w:lang w:val="en-US"/>
        </w:rPr>
        <w:t xml:space="preserve">The Board is committed to </w:t>
      </w:r>
      <w:r w:rsidR="00FC76E5" w:rsidRPr="00164A39">
        <w:rPr>
          <w:rFonts w:ascii="Times New Roman" w:hAnsi="Times New Roman" w:cs="Times New Roman"/>
          <w:sz w:val="24"/>
          <w:szCs w:val="24"/>
          <w:lang w:val="en-US"/>
        </w:rPr>
        <w:t>communicate</w:t>
      </w:r>
      <w:r w:rsidRPr="00164A39">
        <w:rPr>
          <w:rFonts w:ascii="Times New Roman" w:hAnsi="Times New Roman" w:cs="Times New Roman"/>
          <w:sz w:val="24"/>
          <w:szCs w:val="24"/>
          <w:lang w:val="en-US"/>
        </w:rPr>
        <w:t xml:space="preserve"> this Policy to all employees of the Company and subsidiaries and affiliates, maintain and improve this Policy through the use of corporate management system.</w:t>
      </w:r>
    </w:p>
    <w:p w:rsidR="00EB5557" w:rsidRPr="00904C15" w:rsidRDefault="00EB5557" w:rsidP="00904C1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5557" w:rsidRPr="00904C15" w:rsidRDefault="00EB5557" w:rsidP="00904C1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5557" w:rsidRDefault="00EB5557" w:rsidP="00CB7B48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5557" w:rsidRDefault="00EB5557" w:rsidP="00CB7B48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5557" w:rsidRDefault="00EB5557" w:rsidP="00CB7B48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5557" w:rsidRDefault="00EB5557" w:rsidP="00CB7B48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5557" w:rsidRDefault="00EB5557" w:rsidP="00CB7B48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5557" w:rsidRDefault="00EB5557" w:rsidP="00CB7B48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5557" w:rsidRDefault="00EB5557" w:rsidP="00CB7B48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5557" w:rsidRDefault="00EB5557" w:rsidP="00CB7B48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5557" w:rsidRDefault="00EB5557" w:rsidP="00CB7B48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5557" w:rsidRDefault="00EB5557" w:rsidP="00CB7B48">
      <w:pPr>
        <w:pStyle w:val="a3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B5557" w:rsidSect="00112A0D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abstractNum w:abstractNumId="1">
    <w:nsid w:val="093C6FEE"/>
    <w:multiLevelType w:val="hybridMultilevel"/>
    <w:tmpl w:val="A02C26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9797062"/>
    <w:multiLevelType w:val="hybridMultilevel"/>
    <w:tmpl w:val="781E8E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9B"/>
    <w:rsid w:val="00003C3E"/>
    <w:rsid w:val="0006362F"/>
    <w:rsid w:val="00112A0D"/>
    <w:rsid w:val="00164A39"/>
    <w:rsid w:val="00182871"/>
    <w:rsid w:val="001873D2"/>
    <w:rsid w:val="001B7038"/>
    <w:rsid w:val="00307FE8"/>
    <w:rsid w:val="003761BE"/>
    <w:rsid w:val="00384001"/>
    <w:rsid w:val="003B77CC"/>
    <w:rsid w:val="004155C6"/>
    <w:rsid w:val="00451AB9"/>
    <w:rsid w:val="004705A7"/>
    <w:rsid w:val="004B289B"/>
    <w:rsid w:val="005C0B79"/>
    <w:rsid w:val="005E4B53"/>
    <w:rsid w:val="006E4381"/>
    <w:rsid w:val="00735BDD"/>
    <w:rsid w:val="007B6999"/>
    <w:rsid w:val="00904C15"/>
    <w:rsid w:val="00964DAB"/>
    <w:rsid w:val="009A281D"/>
    <w:rsid w:val="009C720C"/>
    <w:rsid w:val="00AA4E30"/>
    <w:rsid w:val="00AD5E44"/>
    <w:rsid w:val="00B12099"/>
    <w:rsid w:val="00B14860"/>
    <w:rsid w:val="00B32746"/>
    <w:rsid w:val="00BB6713"/>
    <w:rsid w:val="00BC4642"/>
    <w:rsid w:val="00BF2162"/>
    <w:rsid w:val="00C0544B"/>
    <w:rsid w:val="00C36F27"/>
    <w:rsid w:val="00C549BE"/>
    <w:rsid w:val="00C61F21"/>
    <w:rsid w:val="00CA38D2"/>
    <w:rsid w:val="00CB7B48"/>
    <w:rsid w:val="00CD5A97"/>
    <w:rsid w:val="00D36255"/>
    <w:rsid w:val="00D80708"/>
    <w:rsid w:val="00D87B4A"/>
    <w:rsid w:val="00DC6392"/>
    <w:rsid w:val="00EB5557"/>
    <w:rsid w:val="00EE5398"/>
    <w:rsid w:val="00FC76E5"/>
    <w:rsid w:val="00FF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0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71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5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5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Знак"/>
    <w:link w:val="a8"/>
    <w:rsid w:val="001873D2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paragraph" w:styleId="a8">
    <w:name w:val="Body Text"/>
    <w:basedOn w:val="a"/>
    <w:link w:val="a7"/>
    <w:rsid w:val="001873D2"/>
    <w:pPr>
      <w:widowControl w:val="0"/>
      <w:shd w:val="clear" w:color="auto" w:fill="FFFFFF"/>
      <w:spacing w:before="240" w:after="240" w:line="259" w:lineRule="exact"/>
      <w:ind w:firstLine="700"/>
      <w:jc w:val="both"/>
    </w:pPr>
    <w:rPr>
      <w:rFonts w:ascii="Times New Roman" w:hAnsi="Times New Roman" w:cs="Times New Roman"/>
      <w:spacing w:val="6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187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0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71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5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5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Знак"/>
    <w:link w:val="a8"/>
    <w:rsid w:val="001873D2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paragraph" w:styleId="a8">
    <w:name w:val="Body Text"/>
    <w:basedOn w:val="a"/>
    <w:link w:val="a7"/>
    <w:rsid w:val="001873D2"/>
    <w:pPr>
      <w:widowControl w:val="0"/>
      <w:shd w:val="clear" w:color="auto" w:fill="FFFFFF"/>
      <w:spacing w:before="240" w:after="240" w:line="259" w:lineRule="exact"/>
      <w:ind w:firstLine="700"/>
      <w:jc w:val="both"/>
    </w:pPr>
    <w:rPr>
      <w:rFonts w:ascii="Times New Roman" w:hAnsi="Times New Roman" w:cs="Times New Roman"/>
      <w:spacing w:val="6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187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DBEC-2D7B-4A38-95E5-B1936D5E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 Ксения</dc:creator>
  <cp:lastModifiedBy>s.sabraliyeva</cp:lastModifiedBy>
  <cp:revision>2</cp:revision>
  <cp:lastPrinted>2016-08-02T03:35:00Z</cp:lastPrinted>
  <dcterms:created xsi:type="dcterms:W3CDTF">2017-02-15T11:15:00Z</dcterms:created>
  <dcterms:modified xsi:type="dcterms:W3CDTF">2017-02-15T11:15:00Z</dcterms:modified>
</cp:coreProperties>
</file>