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77777777" w:rsidR="000C3143" w:rsidRPr="00AE2893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7AB898" w14:textId="77777777" w:rsidR="000C3143" w:rsidRPr="00AE2893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B56A71" w:rsidRDefault="00583E36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6A7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B56A71" w:rsidRDefault="00F770E3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6A71">
        <w:rPr>
          <w:rFonts w:ascii="Times New Roman" w:hAnsi="Times New Roman" w:cs="Times New Roman"/>
          <w:b/>
          <w:sz w:val="28"/>
        </w:rPr>
        <w:t>А</w:t>
      </w:r>
      <w:r w:rsidR="004A4030" w:rsidRPr="00B56A71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B56A71" w:rsidRDefault="00C16BDD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3E4E164C" w:rsidR="00F770E3" w:rsidRPr="00B56A71" w:rsidRDefault="00A43094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6A71">
        <w:rPr>
          <w:rFonts w:ascii="Times New Roman" w:hAnsi="Times New Roman" w:cs="Times New Roman"/>
          <w:b/>
          <w:sz w:val="28"/>
        </w:rPr>
        <w:t>ИЮНЬ</w:t>
      </w:r>
      <w:r w:rsidR="00F770E3" w:rsidRPr="00B56A71">
        <w:rPr>
          <w:rFonts w:ascii="Times New Roman" w:hAnsi="Times New Roman" w:cs="Times New Roman"/>
          <w:b/>
          <w:sz w:val="28"/>
        </w:rPr>
        <w:t xml:space="preserve"> 20</w:t>
      </w:r>
      <w:r w:rsidR="004A4030" w:rsidRPr="00B56A71">
        <w:rPr>
          <w:rFonts w:ascii="Times New Roman" w:hAnsi="Times New Roman" w:cs="Times New Roman"/>
          <w:b/>
          <w:sz w:val="28"/>
        </w:rPr>
        <w:t>22</w:t>
      </w:r>
      <w:r w:rsidR="00F770E3" w:rsidRPr="00B56A71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B56A71" w:rsidRDefault="00F770E3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B56A71" w:rsidRDefault="00F770E3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B56A71" w:rsidRDefault="00C16BDD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B56A71" w:rsidRDefault="00F770E3" w:rsidP="00B56A71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B56A71" w:rsidRDefault="00721F87" w:rsidP="00B56A71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B56A71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B56A71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B56A71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B56A71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77777777" w:rsidR="00721F87" w:rsidRPr="00B56A71" w:rsidRDefault="00721F87" w:rsidP="00B56A71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B56A71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B56A71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B56A71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B56A71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69-23-39 </w:t>
      </w:r>
    </w:p>
    <w:p w14:paraId="4C1E49EB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B56A71" w:rsidRDefault="00844761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B56A71" w:rsidRDefault="000C314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B56A71" w:rsidRDefault="00F770E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B56A71" w:rsidRDefault="00F770E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B56A71" w:rsidRDefault="00F770E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B56A71" w:rsidRDefault="00F770E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B56A71" w:rsidRDefault="00F770E3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A1244E" w14:textId="07621E22" w:rsidR="000C3143" w:rsidRPr="00B56A71" w:rsidRDefault="00A43094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6A71">
        <w:rPr>
          <w:rFonts w:ascii="Times New Roman" w:hAnsi="Times New Roman" w:cs="Times New Roman"/>
          <w:b/>
          <w:sz w:val="28"/>
        </w:rPr>
        <w:t>Июл</w:t>
      </w:r>
      <w:r w:rsidR="00B65886" w:rsidRPr="00B56A71">
        <w:rPr>
          <w:rFonts w:ascii="Times New Roman" w:hAnsi="Times New Roman" w:cs="Times New Roman"/>
          <w:b/>
          <w:sz w:val="28"/>
        </w:rPr>
        <w:t>ь</w:t>
      </w:r>
      <w:r w:rsidR="004774E8" w:rsidRPr="00B56A71">
        <w:rPr>
          <w:rFonts w:ascii="Times New Roman" w:hAnsi="Times New Roman" w:cs="Times New Roman"/>
          <w:b/>
          <w:sz w:val="28"/>
        </w:rPr>
        <w:t xml:space="preserve"> 20</w:t>
      </w:r>
      <w:r w:rsidR="004041A3" w:rsidRPr="00B56A71">
        <w:rPr>
          <w:rFonts w:ascii="Times New Roman" w:hAnsi="Times New Roman" w:cs="Times New Roman"/>
          <w:b/>
          <w:sz w:val="28"/>
        </w:rPr>
        <w:t>2</w:t>
      </w:r>
      <w:r w:rsidR="00B305B6" w:rsidRPr="00B56A71">
        <w:rPr>
          <w:rFonts w:ascii="Times New Roman" w:hAnsi="Times New Roman" w:cs="Times New Roman"/>
          <w:b/>
          <w:sz w:val="28"/>
        </w:rPr>
        <w:t>2</w:t>
      </w:r>
      <w:r w:rsidR="00721F87" w:rsidRPr="00B56A71">
        <w:rPr>
          <w:rFonts w:ascii="Times New Roman" w:hAnsi="Times New Roman" w:cs="Times New Roman"/>
          <w:b/>
          <w:sz w:val="28"/>
        </w:rPr>
        <w:t xml:space="preserve"> </w:t>
      </w:r>
      <w:r w:rsidR="000C3143" w:rsidRPr="00B56A71">
        <w:rPr>
          <w:rFonts w:ascii="Times New Roman" w:hAnsi="Times New Roman" w:cs="Times New Roman"/>
          <w:b/>
          <w:sz w:val="28"/>
        </w:rPr>
        <w:t>г</w:t>
      </w:r>
      <w:r w:rsidR="00721F87" w:rsidRPr="00B56A71">
        <w:rPr>
          <w:rFonts w:ascii="Times New Roman" w:hAnsi="Times New Roman" w:cs="Times New Roman"/>
          <w:b/>
          <w:sz w:val="28"/>
        </w:rPr>
        <w:t>ода</w:t>
      </w:r>
    </w:p>
    <w:p w14:paraId="34FA6FF2" w14:textId="77777777" w:rsidR="00182B57" w:rsidRPr="00B56A71" w:rsidRDefault="00182B57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56A71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B56A71" w:rsidRDefault="00182B57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B56A71" w:rsidRDefault="00BC462A" w:rsidP="00B56A7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B56A71" w:rsidRDefault="00545712" w:rsidP="00B56A71">
          <w:pPr>
            <w:pStyle w:val="afb"/>
            <w:shd w:val="clear" w:color="auto" w:fill="FFFFFF" w:themeFill="background1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B56A71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6370713" w14:textId="77777777" w:rsidR="00AE2893" w:rsidRPr="00B56A71" w:rsidRDefault="00E712C1" w:rsidP="00B56A71">
          <w:pPr>
            <w:pStyle w:val="11"/>
            <w:shd w:val="clear" w:color="auto" w:fill="FFFFFF" w:themeFill="background1"/>
            <w:rPr>
              <w:sz w:val="22"/>
              <w:szCs w:val="22"/>
              <w:lang w:eastAsia="ru-RU"/>
            </w:rPr>
          </w:pPr>
          <w:r w:rsidRPr="00B56A71">
            <w:rPr>
              <w:noProof w:val="0"/>
            </w:rPr>
            <w:fldChar w:fldCharType="begin"/>
          </w:r>
          <w:r w:rsidRPr="00B56A71">
            <w:rPr>
              <w:noProof w:val="0"/>
            </w:rPr>
            <w:instrText xml:space="preserve"> TOC \o "1-3" \h \z \u </w:instrText>
          </w:r>
          <w:r w:rsidRPr="00B56A71">
            <w:rPr>
              <w:noProof w:val="0"/>
            </w:rPr>
            <w:fldChar w:fldCharType="separate"/>
          </w:r>
          <w:hyperlink w:anchor="_Toc104388597" w:history="1">
            <w:r w:rsidR="00AE2893" w:rsidRPr="00B56A71">
              <w:rPr>
                <w:rStyle w:val="aa"/>
                <w:b/>
              </w:rPr>
              <w:t>1.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_Toc104388597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3</w:t>
            </w:r>
            <w:r w:rsidR="00AE2893" w:rsidRPr="00B56A71">
              <w:rPr>
                <w:webHidden/>
              </w:rPr>
              <w:fldChar w:fldCharType="end"/>
            </w:r>
          </w:hyperlink>
        </w:p>
        <w:p w14:paraId="481735A6" w14:textId="77777777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eastAsia="ru-RU"/>
            </w:rPr>
          </w:pPr>
          <w:hyperlink w:anchor="_Toc104388598" w:history="1">
            <w:r w:rsidR="00AE2893" w:rsidRPr="00B56A71">
              <w:rPr>
                <w:rStyle w:val="aa"/>
                <w:i/>
              </w:rPr>
              <w:t>1.1 Производство электроэнергии по областям РК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_Toc104388598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3</w:t>
            </w:r>
            <w:r w:rsidR="00AE2893" w:rsidRPr="00B56A71">
              <w:rPr>
                <w:webHidden/>
              </w:rPr>
              <w:fldChar w:fldCharType="end"/>
            </w:r>
          </w:hyperlink>
        </w:p>
        <w:p w14:paraId="3D7201AA" w14:textId="7C3C5EE1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eastAsia="ru-RU"/>
            </w:rPr>
          </w:pPr>
          <w:hyperlink w:anchor="_Toc104388599" w:history="1">
            <w:r w:rsidR="00AE2893" w:rsidRPr="00B56A71">
              <w:rPr>
                <w:rStyle w:val="aa"/>
                <w:i/>
              </w:rPr>
              <w:t>1</w:t>
            </w:r>
            <w:r w:rsidR="00A0002A" w:rsidRPr="00B56A71">
              <w:rPr>
                <w:rStyle w:val="aa"/>
                <w:i/>
              </w:rPr>
              <w:t>.2 Производство электроэнергии</w:t>
            </w:r>
            <w:r w:rsidR="00AE2893" w:rsidRPr="00B56A71">
              <w:rPr>
                <w:rStyle w:val="aa"/>
                <w:i/>
              </w:rPr>
              <w:t xml:space="preserve"> энергопроизводящими организациями</w:t>
            </w:r>
          </w:hyperlink>
        </w:p>
        <w:p w14:paraId="59B6A0DC" w14:textId="20CCCD2D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kk-KZ" w:eastAsia="ru-RU"/>
            </w:rPr>
          </w:pPr>
          <w:hyperlink w:anchor="_Toc104388600" w:history="1">
            <w:r w:rsidR="00AE2893" w:rsidRPr="00B56A71">
              <w:rPr>
                <w:rStyle w:val="aa"/>
                <w:i/>
              </w:rPr>
              <w:t>АО «Самрук-Энерго»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kk-KZ"/>
            </w:rPr>
            <w:t>4</w:t>
          </w:r>
        </w:p>
        <w:p w14:paraId="4E460A69" w14:textId="26DA4E9B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01" w:history="1">
            <w:r w:rsidR="00A0002A" w:rsidRPr="00B56A71">
              <w:rPr>
                <w:rStyle w:val="aa"/>
                <w:i/>
              </w:rPr>
              <w:t>1.3</w:t>
            </w:r>
            <w:r w:rsidR="00AE2893" w:rsidRPr="00B56A71">
              <w:rPr>
                <w:rStyle w:val="aa"/>
                <w:i/>
              </w:rPr>
              <w:t xml:space="preserve"> Доли энергохолдингов и крупных энергопроизводящих организаций</w:t>
            </w:r>
            <w:r w:rsidR="00AE2893" w:rsidRPr="00B56A71">
              <w:rPr>
                <w:webHidden/>
              </w:rPr>
              <w:tab/>
            </w:r>
          </w:hyperlink>
          <w:r w:rsidR="009A3DA3" w:rsidRPr="00B56A71">
            <w:rPr>
              <w:lang w:val="en-US"/>
            </w:rPr>
            <w:t>5</w:t>
          </w:r>
        </w:p>
        <w:p w14:paraId="700A4CF6" w14:textId="3EB1FF41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02" w:history="1">
            <w:r w:rsidR="00AE2893" w:rsidRPr="00B56A71">
              <w:rPr>
                <w:rStyle w:val="aa"/>
                <w:b/>
              </w:rPr>
              <w:t>2.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b/>
              </w:rPr>
              <w:t>Потребление электрической энергии в ЕЭС Казахстана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en-US"/>
            </w:rPr>
            <w:t>5</w:t>
          </w:r>
        </w:p>
        <w:p w14:paraId="56376C02" w14:textId="110CFE5E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03" w:history="1">
            <w:r w:rsidR="00AE2893" w:rsidRPr="00B56A71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AE2893" w:rsidRPr="00B56A71">
              <w:rPr>
                <w:webHidden/>
              </w:rPr>
              <w:tab/>
            </w:r>
          </w:hyperlink>
          <w:r w:rsidR="009A3DA3" w:rsidRPr="00B56A71">
            <w:rPr>
              <w:lang w:val="en-US"/>
            </w:rPr>
            <w:t>7</w:t>
          </w:r>
        </w:p>
        <w:p w14:paraId="27375F45" w14:textId="10657D48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04" w:history="1">
            <w:r w:rsidR="00AE2893" w:rsidRPr="00B56A71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AE2893" w:rsidRPr="00B56A71">
              <w:rPr>
                <w:webHidden/>
              </w:rPr>
              <w:tab/>
            </w:r>
          </w:hyperlink>
          <w:r w:rsidR="009A3DA3" w:rsidRPr="00B56A71">
            <w:rPr>
              <w:lang w:val="en-US"/>
            </w:rPr>
            <w:t>8</w:t>
          </w:r>
        </w:p>
        <w:p w14:paraId="7C2F19D6" w14:textId="32BB2F0D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08" w:history="1">
            <w:r w:rsidR="00A0002A" w:rsidRPr="00B56A71">
              <w:rPr>
                <w:rStyle w:val="aa"/>
                <w:rFonts w:eastAsiaTheme="majorEastAsia"/>
                <w:i/>
              </w:rPr>
              <w:t>2.3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en-US"/>
            </w:rPr>
            <w:t>8</w:t>
          </w:r>
        </w:p>
        <w:p w14:paraId="35FF315C" w14:textId="386D6734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kk-KZ" w:eastAsia="ru-RU"/>
            </w:rPr>
          </w:pPr>
          <w:hyperlink w:anchor="_Toc104388609" w:history="1">
            <w:r w:rsidR="00AE2893" w:rsidRPr="00B56A71">
              <w:rPr>
                <w:rStyle w:val="aa"/>
                <w:i/>
              </w:rPr>
              <w:t>2.</w:t>
            </w:r>
            <w:r w:rsidR="00A0002A" w:rsidRPr="00B56A71">
              <w:rPr>
                <w:rStyle w:val="aa"/>
                <w:i/>
              </w:rPr>
              <w:t>4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i/>
              </w:rPr>
              <w:t>Экспорт-импорт электрической энергии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kk-KZ"/>
            </w:rPr>
            <w:t>9</w:t>
          </w:r>
        </w:p>
        <w:p w14:paraId="057C08F8" w14:textId="6F1C3D27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kk-KZ" w:eastAsia="ru-RU"/>
            </w:rPr>
          </w:pPr>
          <w:hyperlink w:anchor="_Toc104388613" w:history="1">
            <w:r w:rsidR="008A1BD0" w:rsidRPr="00B56A71">
              <w:rPr>
                <w:rStyle w:val="aa"/>
                <w:b/>
              </w:rPr>
              <w:t>3</w:t>
            </w:r>
            <w:r w:rsidR="00AE2893" w:rsidRPr="00B56A71">
              <w:rPr>
                <w:rStyle w:val="aa"/>
                <w:b/>
              </w:rPr>
              <w:t>.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b/>
              </w:rPr>
              <w:t>Уголь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_Toc104388613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1</w:t>
            </w:r>
            <w:r w:rsidR="00AE2893" w:rsidRPr="00B56A71">
              <w:rPr>
                <w:webHidden/>
              </w:rPr>
              <w:fldChar w:fldCharType="end"/>
            </w:r>
          </w:hyperlink>
          <w:r w:rsidR="00426C2D" w:rsidRPr="00B56A71">
            <w:rPr>
              <w:lang w:val="kk-KZ"/>
            </w:rPr>
            <w:t>0</w:t>
          </w:r>
        </w:p>
        <w:p w14:paraId="0270BDC8" w14:textId="552A376A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14" w:history="1">
            <w:r w:rsidR="008A1BD0" w:rsidRPr="00B56A71">
              <w:rPr>
                <w:rStyle w:val="aa"/>
                <w:b/>
              </w:rPr>
              <w:t>4</w:t>
            </w:r>
            <w:r w:rsidR="00AE2893" w:rsidRPr="00B56A71">
              <w:rPr>
                <w:rStyle w:val="aa"/>
                <w:b/>
              </w:rPr>
              <w:t>.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b/>
              </w:rPr>
              <w:t>Возобновляемые источники энергии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_Toc104388614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1</w:t>
            </w:r>
            <w:r w:rsidR="00AE2893" w:rsidRPr="00B56A71">
              <w:rPr>
                <w:webHidden/>
              </w:rPr>
              <w:fldChar w:fldCharType="end"/>
            </w:r>
          </w:hyperlink>
          <w:r w:rsidR="00426C2D" w:rsidRPr="00B56A71">
            <w:rPr>
              <w:lang w:val="en-US"/>
            </w:rPr>
            <w:t>1</w:t>
          </w:r>
        </w:p>
        <w:p w14:paraId="3A2D5129" w14:textId="4BBC7149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15" w:history="1">
            <w:r w:rsidR="009A3DA3" w:rsidRPr="00B56A71">
              <w:rPr>
                <w:rStyle w:val="aa"/>
                <w:i/>
                <w:lang w:val="en-US"/>
              </w:rPr>
              <w:t>4</w:t>
            </w:r>
            <w:r w:rsidR="00AE2893" w:rsidRPr="00B56A71">
              <w:rPr>
                <w:rStyle w:val="aa"/>
                <w:i/>
              </w:rPr>
              <w:t>.1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i/>
              </w:rPr>
              <w:t>Показатели ВИЭ в РК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_Toc104388615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1</w:t>
            </w:r>
            <w:r w:rsidR="00AE2893" w:rsidRPr="00B56A71">
              <w:rPr>
                <w:webHidden/>
              </w:rPr>
              <w:fldChar w:fldCharType="end"/>
            </w:r>
          </w:hyperlink>
          <w:r w:rsidR="00426C2D" w:rsidRPr="00B56A71">
            <w:rPr>
              <w:lang w:val="en-US"/>
            </w:rPr>
            <w:t>1</w:t>
          </w:r>
        </w:p>
        <w:p w14:paraId="778F71E0" w14:textId="61AC441E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16" w:history="1">
            <w:r w:rsidR="009A3DA3" w:rsidRPr="00B56A71">
              <w:rPr>
                <w:rStyle w:val="aa"/>
                <w:i/>
                <w:lang w:val="en-US"/>
              </w:rPr>
              <w:t>4</w:t>
            </w:r>
            <w:r w:rsidR="00AE2893" w:rsidRPr="00B56A71">
              <w:rPr>
                <w:rStyle w:val="aa"/>
                <w:i/>
              </w:rPr>
              <w:t>.2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i/>
              </w:rPr>
              <w:t>Тариф на поддержку ВИЭ</w:t>
            </w:r>
            <w:r w:rsidR="00AE2893" w:rsidRPr="00B56A71">
              <w:rPr>
                <w:webHidden/>
              </w:rPr>
              <w:tab/>
            </w:r>
            <w:r w:rsidR="00AE2893" w:rsidRPr="00B56A71">
              <w:rPr>
                <w:webHidden/>
              </w:rPr>
              <w:fldChar w:fldCharType="begin"/>
            </w:r>
            <w:r w:rsidR="00AE2893" w:rsidRPr="00B56A71">
              <w:rPr>
                <w:webHidden/>
              </w:rPr>
              <w:instrText xml:space="preserve"> PAGEREF _Toc104388616 \h </w:instrText>
            </w:r>
            <w:r w:rsidR="00AE2893" w:rsidRPr="00B56A71">
              <w:rPr>
                <w:webHidden/>
              </w:rPr>
            </w:r>
            <w:r w:rsidR="00AE2893" w:rsidRPr="00B56A71">
              <w:rPr>
                <w:webHidden/>
              </w:rPr>
              <w:fldChar w:fldCharType="separate"/>
            </w:r>
            <w:r w:rsidR="00AE2893" w:rsidRPr="00B56A71">
              <w:rPr>
                <w:webHidden/>
              </w:rPr>
              <w:t>1</w:t>
            </w:r>
            <w:r w:rsidR="00AE2893" w:rsidRPr="00B56A71">
              <w:rPr>
                <w:webHidden/>
              </w:rPr>
              <w:fldChar w:fldCharType="end"/>
            </w:r>
          </w:hyperlink>
          <w:r w:rsidR="00426C2D" w:rsidRPr="00B56A71">
            <w:rPr>
              <w:lang w:val="en-US"/>
            </w:rPr>
            <w:t>2</w:t>
          </w:r>
        </w:p>
        <w:p w14:paraId="68937BBA" w14:textId="1E4EDC95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20" w:history="1">
            <w:r w:rsidR="009A3DA3" w:rsidRPr="00B56A71">
              <w:rPr>
                <w:rStyle w:val="aa"/>
                <w:b/>
                <w:lang w:val="en-US"/>
              </w:rPr>
              <w:t>5</w:t>
            </w:r>
            <w:r w:rsidR="00AE2893" w:rsidRPr="00B56A71">
              <w:rPr>
                <w:rStyle w:val="aa"/>
                <w:b/>
              </w:rPr>
              <w:t>.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b/>
              </w:rPr>
              <w:t>Международное отношения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en-US"/>
            </w:rPr>
            <w:t>12</w:t>
          </w:r>
        </w:p>
        <w:p w14:paraId="7CFE869A" w14:textId="5743392C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21" w:history="1">
            <w:r w:rsidR="009A3DA3" w:rsidRPr="00B56A71">
              <w:rPr>
                <w:rStyle w:val="aa"/>
                <w:i/>
                <w:lang w:val="en-US"/>
              </w:rPr>
              <w:t>5</w:t>
            </w:r>
            <w:r w:rsidR="00AE2893" w:rsidRPr="00B56A71">
              <w:rPr>
                <w:rStyle w:val="aa"/>
                <w:i/>
              </w:rPr>
              <w:t>.1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en-US"/>
            </w:rPr>
            <w:t>12</w:t>
          </w:r>
        </w:p>
        <w:p w14:paraId="4B7EC1B3" w14:textId="7FB42043" w:rsidR="00AE2893" w:rsidRPr="00B56A71" w:rsidRDefault="00FF7CF4" w:rsidP="00B56A71">
          <w:pPr>
            <w:pStyle w:val="11"/>
            <w:shd w:val="clear" w:color="auto" w:fill="FFFFFF" w:themeFill="background1"/>
            <w:rPr>
              <w:sz w:val="22"/>
              <w:szCs w:val="22"/>
              <w:lang w:val="en-US" w:eastAsia="ru-RU"/>
            </w:rPr>
          </w:pPr>
          <w:hyperlink w:anchor="_Toc104388622" w:history="1">
            <w:r w:rsidR="009A3DA3" w:rsidRPr="00B56A71">
              <w:rPr>
                <w:rStyle w:val="aa"/>
                <w:rFonts w:eastAsia="Times New Roman"/>
                <w:i/>
                <w:lang w:val="en-US"/>
              </w:rPr>
              <w:t>5</w:t>
            </w:r>
            <w:r w:rsidR="00AE2893" w:rsidRPr="00B56A71">
              <w:rPr>
                <w:rStyle w:val="aa"/>
                <w:rFonts w:eastAsia="Times New Roman"/>
                <w:i/>
              </w:rPr>
              <w:t>.2</w:t>
            </w:r>
            <w:r w:rsidR="00AE2893" w:rsidRPr="00B56A71">
              <w:rPr>
                <w:sz w:val="22"/>
                <w:szCs w:val="22"/>
                <w:lang w:eastAsia="ru-RU"/>
              </w:rPr>
              <w:tab/>
            </w:r>
            <w:r w:rsidR="00AE2893" w:rsidRPr="00B56A71">
              <w:rPr>
                <w:rStyle w:val="aa"/>
                <w:i/>
              </w:rPr>
              <w:t>Обзор СМИ в странах СНГ</w:t>
            </w:r>
            <w:r w:rsidR="00AE2893" w:rsidRPr="00B56A71">
              <w:rPr>
                <w:webHidden/>
              </w:rPr>
              <w:tab/>
            </w:r>
          </w:hyperlink>
          <w:r w:rsidR="00426C2D" w:rsidRPr="00B56A71">
            <w:rPr>
              <w:lang w:val="en-US"/>
            </w:rPr>
            <w:t>14</w:t>
          </w:r>
        </w:p>
        <w:p w14:paraId="4067A634" w14:textId="77777777" w:rsidR="006265C7" w:rsidRPr="00B56A71" w:rsidRDefault="00E712C1" w:rsidP="00B56A71">
          <w:pPr>
            <w:pStyle w:val="11"/>
            <w:shd w:val="clear" w:color="auto" w:fill="FFFFFF" w:themeFill="background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B56A71">
            <w:rPr>
              <w:noProof w:val="0"/>
            </w:rPr>
            <w:fldChar w:fldCharType="end"/>
          </w:r>
        </w:p>
      </w:sdtContent>
    </w:sdt>
    <w:p w14:paraId="635FF0EE" w14:textId="77777777" w:rsidR="005D1AE3" w:rsidRPr="00B56A71" w:rsidRDefault="005D1AE3" w:rsidP="00B56A71">
      <w:pPr>
        <w:pStyle w:val="1"/>
        <w:shd w:val="clear" w:color="auto" w:fill="FFFFFF" w:themeFill="background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B56A71" w:rsidRDefault="00AC3F34" w:rsidP="00B56A7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B56A71" w:rsidRDefault="00537E8E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56A71">
        <w:rPr>
          <w:rFonts w:ascii="Times New Roman" w:hAnsi="Times New Roman" w:cs="Times New Roman"/>
        </w:rPr>
        <w:br w:type="page"/>
      </w:r>
    </w:p>
    <w:p w14:paraId="41A88C76" w14:textId="77777777" w:rsidR="00EE65F8" w:rsidRPr="00B56A71" w:rsidRDefault="00EE65F8" w:rsidP="00B56A7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216561" w14:textId="77777777" w:rsidR="00682876" w:rsidRPr="00B56A71" w:rsidRDefault="00541D3A" w:rsidP="00F35671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4388597"/>
      <w:r w:rsidRPr="00B56A71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Производство электрической энергии в ЕЭС Казахстана</w:t>
      </w:r>
      <w:bookmarkEnd w:id="0"/>
    </w:p>
    <w:p w14:paraId="6E3B2442" w14:textId="77777777" w:rsidR="00F31222" w:rsidRPr="00B56A71" w:rsidRDefault="00F31222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D49A5" w14:textId="77777777" w:rsidR="00A66E6A" w:rsidRPr="00B56A71" w:rsidRDefault="00A66E6A" w:rsidP="00B56A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январе-июне </w:t>
      </w:r>
      <w:r w:rsidRPr="00B56A71">
        <w:rPr>
          <w:rFonts w:ascii="Times New Roman" w:hAnsi="Times New Roman" w:cs="Times New Roman"/>
          <w:sz w:val="28"/>
        </w:rPr>
        <w:br/>
        <w:t xml:space="preserve">2022 года было выработано 56 383 млн. </w:t>
      </w:r>
      <w:proofErr w:type="spellStart"/>
      <w:r w:rsidRPr="00B56A71">
        <w:rPr>
          <w:rFonts w:ascii="Times New Roman" w:hAnsi="Times New Roman" w:cs="Times New Roman"/>
          <w:sz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B56A71">
        <w:rPr>
          <w:rFonts w:ascii="Times New Roman" w:hAnsi="Times New Roman" w:cs="Times New Roman"/>
          <w:sz w:val="28"/>
        </w:rPr>
        <w:br/>
        <w:t xml:space="preserve">942,4 млн. </w:t>
      </w:r>
      <w:proofErr w:type="spellStart"/>
      <w:r w:rsidRPr="00B56A71">
        <w:rPr>
          <w:rFonts w:ascii="Times New Roman" w:hAnsi="Times New Roman" w:cs="Times New Roman"/>
          <w:sz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</w:rPr>
        <w:t xml:space="preserve"> или на 1,6% меньше аналогичного периода 2021 года. Уменьшение выработки наблюдалось по Северной зоне ЕЭС Казахстана. </w:t>
      </w:r>
    </w:p>
    <w:p w14:paraId="582D35A0" w14:textId="77777777" w:rsidR="00305F73" w:rsidRPr="00B56A71" w:rsidRDefault="00305F73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1560"/>
        <w:gridCol w:w="2172"/>
        <w:gridCol w:w="1472"/>
        <w:gridCol w:w="1364"/>
        <w:gridCol w:w="1490"/>
        <w:gridCol w:w="1435"/>
      </w:tblGrid>
      <w:tr w:rsidR="00531B1A" w:rsidRPr="00B56A71" w14:paraId="14B7BBF4" w14:textId="77777777" w:rsidTr="00B56A71">
        <w:trPr>
          <w:trHeight w:val="324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20311AA4" w14:textId="4860CE29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Toc510196463"/>
            <w:r w:rsidRPr="00B5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596F10B1" w14:textId="713BDA42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Зона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  <w:vAlign w:val="center"/>
            <w:hideMark/>
          </w:tcPr>
          <w:p w14:paraId="14E040C7" w14:textId="77777777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14:paraId="7A21CA09" w14:textId="18714B19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602FFC"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  <w:vAlign w:val="center"/>
          </w:tcPr>
          <w:p w14:paraId="7D50C0DD" w14:textId="77777777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FFFFFF" w:themeFill="background1"/>
            <w:vAlign w:val="center"/>
            <w:hideMark/>
          </w:tcPr>
          <w:p w14:paraId="1E03D965" w14:textId="77777777" w:rsidR="00531B1A" w:rsidRPr="006F4826" w:rsidRDefault="00531B1A" w:rsidP="006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531B1A" w:rsidRPr="00B56A71" w14:paraId="610ACBB5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6D72D94A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67B24552" w14:textId="16D7BCCE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FFFFFF" w:themeFill="background1"/>
            <w:vAlign w:val="center"/>
            <w:hideMark/>
          </w:tcPr>
          <w:p w14:paraId="3D1A5825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  <w:hideMark/>
          </w:tcPr>
          <w:p w14:paraId="36B458DC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64" w:type="dxa"/>
            <w:shd w:val="clear" w:color="auto" w:fill="FFFFFF" w:themeFill="background1"/>
            <w:vAlign w:val="center"/>
            <w:hideMark/>
          </w:tcPr>
          <w:p w14:paraId="3FC1CC75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90" w:type="dxa"/>
            <w:vMerge/>
            <w:shd w:val="clear" w:color="auto" w:fill="FFFFFF" w:themeFill="background1"/>
            <w:vAlign w:val="center"/>
          </w:tcPr>
          <w:p w14:paraId="08CD8ADC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  <w:vAlign w:val="center"/>
            <w:hideMark/>
          </w:tcPr>
          <w:p w14:paraId="5054D20B" w14:textId="77777777" w:rsidR="00531B1A" w:rsidRPr="00B56A71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E6A" w:rsidRPr="00B56A71" w14:paraId="36E557C7" w14:textId="77777777" w:rsidTr="00B56A71">
        <w:trPr>
          <w:trHeight w:val="324"/>
        </w:trPr>
        <w:tc>
          <w:tcPr>
            <w:tcW w:w="562" w:type="dxa"/>
            <w:vMerge w:val="restart"/>
            <w:shd w:val="clear" w:color="auto" w:fill="FFFFFF" w:themeFill="background1"/>
          </w:tcPr>
          <w:p w14:paraId="24687317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7635C52E" w14:textId="6A06DD66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07DA5B2B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EE831FF" w14:textId="48EA387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57</w:t>
            </w:r>
            <w:r w:rsidR="00B56A71" w:rsidRPr="00B56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  <w:bCs/>
              </w:rPr>
              <w:t>325,4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CD2F861" w14:textId="5F27D9C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56</w:t>
            </w:r>
            <w:r w:rsidR="00B56A71" w:rsidRPr="00B56A71">
              <w:rPr>
                <w:rFonts w:ascii="Times New Roman" w:hAnsi="Times New Roman" w:cs="Times New Roman"/>
                <w:b/>
              </w:rPr>
              <w:t xml:space="preserve"> </w:t>
            </w:r>
            <w:r w:rsidR="00FF7CF4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48F5491" w14:textId="79FF2D9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-942,4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9AC0269" w14:textId="2CE7992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-1,6</w:t>
            </w:r>
            <w:r w:rsidR="00B56A71" w:rsidRPr="00B56A7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66E6A" w:rsidRPr="00B56A71" w14:paraId="76CCC114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56BC0A2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17653AC6" w14:textId="5613F572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218C6A5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22D9409D" w14:textId="5C864AE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45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779,1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3907DD0" w14:textId="32C43B1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44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364,9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9373F92" w14:textId="317B5B3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414,2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78EA7EB" w14:textId="4BEAF556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-3,1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5F3172BE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406E4B14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28180CE2" w14:textId="06DF528B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3DB3143E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A1C55B5" w14:textId="26F4A044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5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232,1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C10C9A9" w14:textId="6C847B4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5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629,4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B15281E" w14:textId="5FEFC02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397,3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5B0EAEE" w14:textId="0FD2B65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7,6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65F6A7CA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4370B070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070BCB67" w14:textId="62431B06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6A86E2DE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3BA3E2E" w14:textId="11B51F7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4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666,1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2AF05B41" w14:textId="4340547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4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484,4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1E99FB5" w14:textId="2585364A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-181,7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AA0CD73" w14:textId="21AAEAA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-3,9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6EBF9887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4F330409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428FE99E" w14:textId="552D8ACF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26022831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3BCCB8D1" w14:textId="073FCBD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816,8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7DAFBAC" w14:textId="64664A6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052,7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6F5D5D7" w14:textId="7E0D1A5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235,9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0198994" w14:textId="34F7B1A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28,9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39E0E942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601B4B5A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474B61DD" w14:textId="732EA921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31F63546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4D669E0A" w14:textId="750FF6A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829,7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4C9B6C7" w14:textId="4D35B903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851,6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975E5A1" w14:textId="3ABF65B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21,9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AF73CB6" w14:textId="1D66152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2,6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2B7FD246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6DC7B47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04616C56" w14:textId="122698FC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2885CD2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301CF816" w14:textId="4017347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1,6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2663B6F" w14:textId="75E023A4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702EA31" w14:textId="53615294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-1,6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5DF1D9D" w14:textId="69685876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-100%</w:t>
            </w:r>
          </w:p>
        </w:tc>
      </w:tr>
      <w:tr w:rsidR="00A66E6A" w:rsidRPr="00B56A71" w14:paraId="5850B601" w14:textId="77777777" w:rsidTr="00B56A71">
        <w:trPr>
          <w:trHeight w:val="324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196298AE" w14:textId="6C7456D5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61B290C8" w14:textId="2164216A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1A694231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31D1D1A" w14:textId="15F4276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44</w:t>
            </w:r>
            <w:r w:rsidR="00B56A71" w:rsidRPr="00B56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  <w:bCs/>
              </w:rPr>
              <w:t>044,6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1EF25D57" w14:textId="5299592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41</w:t>
            </w:r>
            <w:r w:rsidR="00B56A71" w:rsidRPr="00B56A71">
              <w:rPr>
                <w:rFonts w:ascii="Times New Roman" w:hAnsi="Times New Roman" w:cs="Times New Roman"/>
                <w:b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</w:rPr>
              <w:t>857,9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2F3A5DA" w14:textId="5FFE6E8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-2</w:t>
            </w:r>
            <w:r w:rsidR="00B56A71" w:rsidRPr="00B56A71">
              <w:rPr>
                <w:rFonts w:ascii="Times New Roman" w:hAnsi="Times New Roman" w:cs="Times New Roman"/>
                <w:b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</w:rPr>
              <w:t>186,7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682E6E77" w14:textId="0665A82B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-5%</w:t>
            </w:r>
          </w:p>
        </w:tc>
      </w:tr>
      <w:tr w:rsidR="00A66E6A" w:rsidRPr="00B56A71" w14:paraId="2A54EE81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5DA9706C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2B6317FC" w14:textId="76881563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139BED4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FEB52C6" w14:textId="583BE6DC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38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590,7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1D371C9" w14:textId="54122C57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36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505,4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7C10F87" w14:textId="3EE436AC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-2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085,3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47D69EA" w14:textId="04F1383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-5,4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460EDA6D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8348258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174EA30F" w14:textId="484ACA02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3ED221E8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E6BA89C" w14:textId="0D147D4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499,1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23302EA8" w14:textId="66171A8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485,9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A7AAF89" w14:textId="6A10582A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-13,2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FACDFB5" w14:textId="3505569D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-0,9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2931C8F1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8417EDE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42DE5FDD" w14:textId="11795F16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68107A13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B280E1B" w14:textId="278FE24D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283,6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2AB20E88" w14:textId="1F62ACE7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989,3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BE44064" w14:textId="7F27001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-294,3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E86ECA8" w14:textId="0EFBB1B9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-9%</w:t>
            </w:r>
          </w:p>
        </w:tc>
      </w:tr>
      <w:tr w:rsidR="00A66E6A" w:rsidRPr="00B56A71" w14:paraId="09DF6036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20EABA7E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75F68C35" w14:textId="03AD0D7A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0E6DB21C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2156A288" w14:textId="029B01E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387,7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13A60464" w14:textId="1F46927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598,3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30320A8" w14:textId="1A0E3174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210,6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A08ACF1" w14:textId="522B133A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54,3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44395409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12B28CB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597AB61B" w14:textId="68013DF3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53A91661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8CC68A6" w14:textId="4EA5D18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281,9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4D760DF" w14:textId="7F50173C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279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5AC508A" w14:textId="7E1E8034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-2,9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E9A659F" w14:textId="21339014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-1%</w:t>
            </w:r>
          </w:p>
        </w:tc>
      </w:tr>
      <w:tr w:rsidR="00A66E6A" w:rsidRPr="00B56A71" w14:paraId="463437E2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05EFED4B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6659BDDA" w14:textId="66CDF2FE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1BD53335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5D1A3804" w14:textId="68ED24B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1,6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51E3E165" w14:textId="65000BA1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E4AC7C5" w14:textId="39B8020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-1,6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5DE8F83" w14:textId="1A2F850D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-100%</w:t>
            </w:r>
          </w:p>
        </w:tc>
      </w:tr>
      <w:tr w:rsidR="00A66E6A" w:rsidRPr="00B56A71" w14:paraId="1903D874" w14:textId="77777777" w:rsidTr="00B56A71">
        <w:trPr>
          <w:trHeight w:val="324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1DC97BE9" w14:textId="7ABE8109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5C50A1C8" w14:textId="606F02C0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1C5B56D7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771F4022" w14:textId="7678C9AB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6</w:t>
            </w:r>
            <w:r w:rsidR="00B56A71" w:rsidRPr="00B56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  <w:bCs/>
              </w:rPr>
              <w:t>223,4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4EC43E1" w14:textId="55E9694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7</w:t>
            </w:r>
            <w:r w:rsidR="00B56A71" w:rsidRPr="00B56A71">
              <w:rPr>
                <w:rFonts w:ascii="Times New Roman" w:hAnsi="Times New Roman" w:cs="Times New Roman"/>
                <w:b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</w:rPr>
              <w:t>109,5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6F4B506" w14:textId="54689E9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886,1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24D1A06A" w14:textId="2C1008C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14,2</w:t>
            </w:r>
            <w:r w:rsidR="00B56A71" w:rsidRPr="00B56A7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66E6A" w:rsidRPr="00B56A71" w14:paraId="34D80199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4B2D15A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43939ABB" w14:textId="55A34C4C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10A3C171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7540C6CB" w14:textId="3DF24E9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876,4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5117432B" w14:textId="512CE70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4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590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478B858" w14:textId="270CCADE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713,6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2644B4C7" w14:textId="7E2EC9C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18,4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04615344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6E3831F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5DC2131C" w14:textId="0B16706C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796412C7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0F3154EE" w14:textId="13BE209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382,5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293F304" w14:textId="650CF86D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495,1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0DEE860" w14:textId="3A21496D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112,6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72857188" w14:textId="6400F78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8,1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01E05795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1C6712AB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24C3F7B3" w14:textId="112A3CB1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0D025703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2DD0BE6C" w14:textId="46392653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148,2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C25EEC8" w14:textId="160BFD9C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6463551" w14:textId="3C793E4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1,8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E7822EB" w14:textId="142483C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1,2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2445EF44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BC42650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168CAA2D" w14:textId="3943DEB9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2D6938EC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38B98589" w14:textId="5C6B9A5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270,1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0449D67" w14:textId="0F2BFDC9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303,4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35760F2" w14:textId="7B01AABF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33,3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6A2EE64C" w14:textId="57DF662B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12,3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29373C16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7C33CAA0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29F8CEA2" w14:textId="2EFEB35D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491BE8E7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4EC2CDC5" w14:textId="1052B5C4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546,2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225CCEF7" w14:textId="09E582E1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571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D7CAFBF" w14:textId="227E1F12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24,8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36F204F" w14:textId="305F5E6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4,5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209CF6B9" w14:textId="77777777" w:rsidTr="00B56A71">
        <w:trPr>
          <w:trHeight w:val="324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6CE86365" w14:textId="52F3DB14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4708D31C" w14:textId="69F16624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3897BF13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308A16F1" w14:textId="34BB2DED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7</w:t>
            </w:r>
            <w:r w:rsidR="00B56A71" w:rsidRPr="00B56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  <w:bCs/>
              </w:rPr>
              <w:t>057,4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C9EE9A0" w14:textId="0BDDA0FC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7</w:t>
            </w:r>
            <w:r w:rsidR="00B56A71" w:rsidRPr="00B56A71">
              <w:rPr>
                <w:rFonts w:ascii="Times New Roman" w:hAnsi="Times New Roman" w:cs="Times New Roman"/>
                <w:b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</w:rPr>
              <w:t>415,6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775834E" w14:textId="30622E20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358,2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23B1B8E" w14:textId="55B58D01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56A71">
              <w:rPr>
                <w:rFonts w:ascii="Times New Roman" w:hAnsi="Times New Roman" w:cs="Times New Roman"/>
                <w:b/>
              </w:rPr>
              <w:t>5,1</w:t>
            </w:r>
            <w:r w:rsidR="00B56A71" w:rsidRPr="00B56A7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66E6A" w:rsidRPr="00B56A71" w14:paraId="2FECB0C8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0DDB87BD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40B1CC68" w14:textId="2A39FE3F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7FFB8A45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6FF466C2" w14:textId="4821D96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E171DAF" w14:textId="199A1B9B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269,5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7DA8A22" w14:textId="6BA08E8C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-42,5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5F1FFBD" w14:textId="7424887B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-1,3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6BE360D6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3CD6DE09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2646A833" w14:textId="39F310C3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7FAF6133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0630D5F8" w14:textId="559E4B4A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584,8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1A8D4910" w14:textId="05C960FA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3</w:t>
            </w:r>
            <w:r w:rsidR="00B56A71" w:rsidRPr="00B56A71">
              <w:rPr>
                <w:rFonts w:ascii="Times New Roman" w:hAnsi="Times New Roman" w:cs="Times New Roman"/>
                <w:i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</w:rPr>
              <w:t>993,5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938A69B" w14:textId="285121F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408,7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D5C6033" w14:textId="3894CEA5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11,4</w:t>
            </w:r>
            <w:r w:rsidR="00B56A71" w:rsidRPr="00B56A7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66E6A" w:rsidRPr="00B56A71" w14:paraId="10217A7D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10AB5846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0D06E98E" w14:textId="1A10C6E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5D3AB125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2FAABA00" w14:textId="2FBF3B6C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3AE5882" w14:textId="65ABAAEE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2864A25" w14:textId="5221EE2A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-8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4D73BE4" w14:textId="28EFB0F8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-5%</w:t>
            </w:r>
          </w:p>
        </w:tc>
      </w:tr>
      <w:tr w:rsidR="00A66E6A" w:rsidRPr="00B56A71" w14:paraId="6675C74E" w14:textId="77777777" w:rsidTr="00B56A71">
        <w:trPr>
          <w:trHeight w:val="324"/>
        </w:trPr>
        <w:tc>
          <w:tcPr>
            <w:tcW w:w="562" w:type="dxa"/>
            <w:vMerge/>
            <w:shd w:val="clear" w:color="auto" w:fill="FFFFFF" w:themeFill="background1"/>
          </w:tcPr>
          <w:p w14:paraId="22C337E0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6F64CD06" w14:textId="18662C6E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  <w:hideMark/>
          </w:tcPr>
          <w:p w14:paraId="091A4131" w14:textId="77777777" w:rsidR="00A66E6A" w:rsidRPr="00B56A71" w:rsidRDefault="00A66E6A" w:rsidP="00B56A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4F439864" w14:textId="0FDF2E43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1,6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F3A18E1" w14:textId="5F5D6E38" w:rsidR="00A66E6A" w:rsidRPr="00B56A71" w:rsidRDefault="00A66E6A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2D966CD" w14:textId="18A9D1ED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9499214" w14:textId="12E46AA6" w:rsidR="00A66E6A" w:rsidRPr="00B56A71" w:rsidRDefault="00B56A71" w:rsidP="00B56A71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B56A71">
              <w:rPr>
                <w:rFonts w:ascii="Times New Roman" w:hAnsi="Times New Roman" w:cs="Times New Roman"/>
                <w:i/>
              </w:rPr>
              <w:t>0%</w:t>
            </w:r>
          </w:p>
        </w:tc>
      </w:tr>
    </w:tbl>
    <w:p w14:paraId="4F6BE476" w14:textId="77777777" w:rsidR="00514FE9" w:rsidRPr="00B56A71" w:rsidRDefault="00514FE9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792856A2" w14:textId="77777777" w:rsidR="00305F73" w:rsidRPr="00B56A71" w:rsidRDefault="004A4030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04388598"/>
      <w:r w:rsidRPr="00B56A71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B56A71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B56A71" w:rsidRDefault="00C16BDD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7D7350D5" w14:textId="77777777" w:rsidR="00A66E6A" w:rsidRPr="00B56A71" w:rsidRDefault="00A66E6A" w:rsidP="00B56A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sz w:val="28"/>
          <w:szCs w:val="28"/>
        </w:rPr>
        <w:t xml:space="preserve">В январе-июне 2022 года по сравнению с аналогичным периодом 2021 года производство электроэнергии значительно увеличилось в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A71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Pr="00B56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Туркестанской и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 областях. Резкое увеличение производства электроэнергии в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 области на 758,5 млн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. или на 54,1% связано с включением дополнительно двух блоков на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 ГРЭС в целях покрытия дефицита электроэнергии в Южной зоне. </w:t>
      </w:r>
    </w:p>
    <w:p w14:paraId="4BF0F643" w14:textId="77777777" w:rsidR="00A66E6A" w:rsidRPr="00B56A71" w:rsidRDefault="00A66E6A" w:rsidP="00B56A71">
      <w:pPr>
        <w:pStyle w:val="a3"/>
        <w:shd w:val="clear" w:color="auto" w:fill="FFFFFF" w:themeFill="background1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уменьшение производства электроэнергии наблюдалось в Актюбинской, Восточно-Казахстанской, Карагандинской,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>, Павлодарской и Северо-Казахстанской областях.</w:t>
      </w:r>
    </w:p>
    <w:p w14:paraId="06171679" w14:textId="77777777" w:rsidR="00305F73" w:rsidRPr="00B56A71" w:rsidRDefault="00305F73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B56A71" w14:paraId="7DC6DC5F" w14:textId="77777777" w:rsidTr="006F4826">
        <w:trPr>
          <w:trHeight w:val="324"/>
        </w:trPr>
        <w:tc>
          <w:tcPr>
            <w:tcW w:w="760" w:type="dxa"/>
            <w:vMerge w:val="restart"/>
            <w:shd w:val="clear" w:color="auto" w:fill="FFFFFF" w:themeFill="background1"/>
            <w:vAlign w:val="center"/>
            <w:hideMark/>
          </w:tcPr>
          <w:p w14:paraId="3EC5D95A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FFFFFF" w:themeFill="background1"/>
            <w:vAlign w:val="center"/>
            <w:hideMark/>
          </w:tcPr>
          <w:p w14:paraId="473030C7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14:paraId="1ECC2F64" w14:textId="2B8B6A6D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7F1AC1"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02FFC" w:rsidRPr="00B56A7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июнь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A42D4CA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0EA0B79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B56A71" w14:paraId="19CB755D" w14:textId="77777777" w:rsidTr="006F4826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51012A49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34C02370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1C4F43" w14:textId="77777777" w:rsidR="00514FE9" w:rsidRPr="006F4826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B19936F" w14:textId="77777777" w:rsidR="00514FE9" w:rsidRPr="006F4826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39D7D9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1A8775" w14:textId="77777777" w:rsidR="00514FE9" w:rsidRPr="00B56A71" w:rsidRDefault="00514FE9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4826" w:rsidRPr="00B56A71" w14:paraId="61EB9465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D622CCE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A5DA145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00A403" w14:textId="003BCFBD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2 726,5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10006" w14:textId="58551D8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2 739,9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AC677" w14:textId="0A11FCE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C865D" w14:textId="6360393F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0,5%</w:t>
            </w:r>
          </w:p>
        </w:tc>
      </w:tr>
      <w:tr w:rsidR="006F4826" w:rsidRPr="00B56A71" w14:paraId="13AEC015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5A8D523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9056F83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3DF96" w14:textId="1BF4B1BE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1 910,7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56605" w14:textId="3EB3B1CF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1 836,7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9033" w14:textId="71FAC05F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3F22E" w14:textId="5A74A20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-3,9%</w:t>
            </w:r>
          </w:p>
        </w:tc>
      </w:tr>
      <w:tr w:rsidR="006F4826" w:rsidRPr="00B56A71" w14:paraId="3216E719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20B924A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0F7DE41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0160E06" w14:textId="2A259ECD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3 548,7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4CEAE" w14:textId="2B7843E8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3 674,4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9A7A1" w14:textId="738D73A3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08ABA" w14:textId="60D496B1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3,5%</w:t>
            </w:r>
          </w:p>
        </w:tc>
      </w:tr>
      <w:tr w:rsidR="006F4826" w:rsidRPr="00B56A71" w14:paraId="34D95E11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3AC88A5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D02DE41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156C48" w14:textId="50DA161E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3 491,5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7EBFC" w14:textId="6D5DE70B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3 670,1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4F6B0" w14:textId="236AB014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8BD77" w14:textId="37A07636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5,1%</w:t>
            </w:r>
          </w:p>
        </w:tc>
      </w:tr>
      <w:tr w:rsidR="006F4826" w:rsidRPr="00B56A71" w14:paraId="21D7FECF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1FA71DE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FEF1442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9142D" w14:textId="6FE224AF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4 670,4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7C0EB" w14:textId="6FA74F37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4 495,2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09E2E" w14:textId="38D213DB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14E5B" w14:textId="3B780EBA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-3,8%</w:t>
            </w:r>
          </w:p>
        </w:tc>
      </w:tr>
      <w:tr w:rsidR="006F4826" w:rsidRPr="00B56A71" w14:paraId="50B0095E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6570783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3C83543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2B00ACE" w14:textId="4DC45978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1 402,2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54E8" w14:textId="786B4C5A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2 160,7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51A7B" w14:textId="561BB4AC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758,5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59E20" w14:textId="4B8EEE74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54,1%</w:t>
            </w:r>
          </w:p>
        </w:tc>
      </w:tr>
      <w:tr w:rsidR="006F4826" w:rsidRPr="00B56A71" w14:paraId="60B9AD23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C642987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999D35E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D4EA740" w14:textId="0785B0D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1 196,9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2FD84" w14:textId="72488DD7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1 285,8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4A4CA" w14:textId="2C8A109B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2D2B1" w14:textId="5B57CD71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7,4%</w:t>
            </w:r>
          </w:p>
        </w:tc>
      </w:tr>
      <w:tr w:rsidR="006F4826" w:rsidRPr="00B56A71" w14:paraId="251F4349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33F394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A1442C4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2366A" w14:textId="0FA8D429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7 997,8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E58DA" w14:textId="5B57C03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7 394,4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35C97" w14:textId="2DEEBA37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-603,4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3EBF0" w14:textId="616931ED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-7,5%</w:t>
            </w:r>
          </w:p>
        </w:tc>
      </w:tr>
      <w:tr w:rsidR="006F4826" w:rsidRPr="00B56A71" w14:paraId="028DE039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B650CFB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EAFBB46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6B027DA" w14:textId="391D57BE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58B3E" w14:textId="062DE2A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657,7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BBA71" w14:textId="3F6FE2DA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C50A0" w14:textId="5E018319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15,6%</w:t>
            </w:r>
          </w:p>
        </w:tc>
      </w:tr>
      <w:tr w:rsidR="006F4826" w:rsidRPr="00B56A71" w14:paraId="308BEA00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7DF92DF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7123646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0B9144B" w14:textId="7241FCC4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C3446" w14:textId="306DD4E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E2FA8" w14:textId="2F809BD7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-11,4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70BC8" w14:textId="13CD5E75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-3,4%</w:t>
            </w:r>
          </w:p>
        </w:tc>
      </w:tr>
      <w:tr w:rsidR="006F4826" w:rsidRPr="00B56A71" w14:paraId="67189DED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29CBC86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1F90ED6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ABAFD63" w14:textId="043BE39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2 369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7A10C" w14:textId="7E58E33A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2 459,7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A1A49" w14:textId="5974E4A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F1C98" w14:textId="3F4CA394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3,8%</w:t>
            </w:r>
          </w:p>
        </w:tc>
      </w:tr>
      <w:tr w:rsidR="006F4826" w:rsidRPr="00B56A71" w14:paraId="7A891034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66F7B78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E0736C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8E55A" w14:textId="3D6B2EC8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24 637,2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395ED" w14:textId="7DDDE58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23 926,8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B4B9C" w14:textId="3ADFA631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-710,4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08772" w14:textId="0F114A7C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-2,9%</w:t>
            </w:r>
          </w:p>
        </w:tc>
      </w:tr>
      <w:tr w:rsidR="006F4826" w:rsidRPr="00B56A71" w14:paraId="6DDEC87B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73F9B64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3938F2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A923A" w14:textId="08DAF96C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1 533,1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8DA4" w14:textId="2073AFA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807,2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EACDC" w14:textId="685844F0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-725,9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A5D6C" w14:textId="66FEB863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-47,3%</w:t>
            </w:r>
          </w:p>
        </w:tc>
      </w:tr>
      <w:tr w:rsidR="006F4826" w:rsidRPr="00B56A71" w14:paraId="2BC7BF83" w14:textId="77777777" w:rsidTr="00A66E6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6BE0521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2D792F1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i/>
                <w:lang w:eastAsia="ru-RU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CD3C1" w14:textId="006BE77D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932,6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499C3" w14:textId="75DB1A86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945,9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B910D" w14:textId="10CBD932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876F1" w14:textId="45D0E713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6F4826">
              <w:rPr>
                <w:rFonts w:ascii="Times New Roman" w:hAnsi="Times New Roman" w:cs="Times New Roman"/>
                <w:i/>
              </w:rPr>
              <w:t>1,4%</w:t>
            </w:r>
          </w:p>
        </w:tc>
      </w:tr>
      <w:tr w:rsidR="006F4826" w:rsidRPr="00B56A71" w14:paraId="34530CE1" w14:textId="77777777" w:rsidTr="006F4826">
        <w:trPr>
          <w:trHeight w:val="340"/>
        </w:trPr>
        <w:tc>
          <w:tcPr>
            <w:tcW w:w="760" w:type="dxa"/>
            <w:shd w:val="clear" w:color="auto" w:fill="FFFFFF" w:themeFill="background1"/>
            <w:vAlign w:val="center"/>
            <w:hideMark/>
          </w:tcPr>
          <w:p w14:paraId="290AD4C4" w14:textId="77777777" w:rsidR="006F4826" w:rsidRPr="00B56A71" w:rsidRDefault="006F4826" w:rsidP="006F48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FFFFF" w:themeFill="background1"/>
            <w:vAlign w:val="center"/>
            <w:hideMark/>
          </w:tcPr>
          <w:p w14:paraId="1F912451" w14:textId="77777777" w:rsidR="006F4826" w:rsidRPr="006F4826" w:rsidRDefault="006F4826" w:rsidP="006F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2B0B59" w14:textId="1BC81C2E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826">
              <w:rPr>
                <w:rFonts w:ascii="Times New Roman" w:hAnsi="Times New Roman" w:cs="Times New Roman"/>
                <w:b/>
              </w:rPr>
              <w:t>57 325,4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5F1997" w14:textId="4B1BF0A5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F4826">
              <w:rPr>
                <w:rFonts w:ascii="Times New Roman" w:hAnsi="Times New Roman" w:cs="Times New Roman"/>
                <w:b/>
              </w:rPr>
              <w:t>56 383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65A1E6" w14:textId="328F3AAD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F4826">
              <w:rPr>
                <w:rFonts w:ascii="Times New Roman" w:hAnsi="Times New Roman" w:cs="Times New Roman"/>
                <w:b/>
              </w:rPr>
              <w:t>-942,4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00F20E" w14:textId="28F052AA" w:rsidR="006F4826" w:rsidRPr="006F4826" w:rsidRDefault="006F4826" w:rsidP="006F4826">
            <w:pPr>
              <w:pStyle w:val="af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F4826">
              <w:rPr>
                <w:rFonts w:ascii="Times New Roman" w:hAnsi="Times New Roman" w:cs="Times New Roman"/>
                <w:b/>
              </w:rPr>
              <w:t>-1,6%</w:t>
            </w:r>
          </w:p>
        </w:tc>
      </w:tr>
    </w:tbl>
    <w:p w14:paraId="7121EF13" w14:textId="77777777" w:rsidR="00E566ED" w:rsidRPr="00B56A71" w:rsidRDefault="00E566ED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6D745EE3" w14:textId="28590212" w:rsidR="00BF3092" w:rsidRPr="00B56A71" w:rsidRDefault="008A1BD0" w:rsidP="00B56A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  <w:r w:rsidRPr="00B56A71">
        <w:rPr>
          <w:rFonts w:ascii="Times New Roman" w:hAnsi="Times New Roman" w:cs="Times New Roman"/>
          <w:i/>
          <w:sz w:val="28"/>
        </w:rPr>
        <w:t>1.</w:t>
      </w:r>
      <w:r w:rsidRPr="00B56A71">
        <w:rPr>
          <w:rFonts w:ascii="Times New Roman" w:hAnsi="Times New Roman" w:cs="Times New Roman"/>
          <w:i/>
          <w:sz w:val="28"/>
          <w:lang w:val="en-US"/>
        </w:rPr>
        <w:t>2</w:t>
      </w:r>
      <w:r w:rsidR="00BC462A" w:rsidRPr="00B56A71">
        <w:rPr>
          <w:rFonts w:ascii="Times New Roman" w:hAnsi="Times New Roman" w:cs="Times New Roman"/>
          <w:i/>
          <w:sz w:val="28"/>
        </w:rPr>
        <w:t xml:space="preserve"> </w:t>
      </w:r>
      <w:r w:rsidR="00763ABA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Производство электроэнергии </w:t>
      </w:r>
      <w:proofErr w:type="spellStart"/>
      <w:r w:rsidR="00763ABA" w:rsidRPr="00B56A71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энергопроизводящими</w:t>
      </w:r>
      <w:proofErr w:type="spellEnd"/>
      <w:r w:rsidR="00763ABA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 о</w:t>
      </w:r>
      <w:r w:rsidR="00F52587" w:rsidRPr="00B56A71">
        <w:rPr>
          <w:rFonts w:ascii="Times New Roman" w:hAnsi="Times New Roman" w:cs="Times New Roman"/>
          <w:i/>
          <w:color w:val="000000" w:themeColor="text1"/>
          <w:sz w:val="28"/>
        </w:rPr>
        <w:t>рганизациями</w:t>
      </w:r>
    </w:p>
    <w:p w14:paraId="246922E0" w14:textId="77777777" w:rsidR="00763ABA" w:rsidRPr="00B56A71" w:rsidRDefault="000F513C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4" w:name="_Toc104388600"/>
      <w:r w:rsidRPr="00B56A71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proofErr w:type="spellStart"/>
      <w:r w:rsidRPr="00B56A71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proofErr w:type="spellEnd"/>
      <w:r w:rsidRPr="00B56A71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4"/>
    </w:p>
    <w:p w14:paraId="706BC151" w14:textId="77777777" w:rsidR="000F513C" w:rsidRPr="00B56A71" w:rsidRDefault="000F513C" w:rsidP="00B56A71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Yu Gothic UI Semibold" w:hAnsi="Times New Roman" w:cs="Times New Roman"/>
          <w:i/>
          <w:sz w:val="28"/>
          <w:szCs w:val="28"/>
        </w:rPr>
      </w:pPr>
    </w:p>
    <w:p w14:paraId="70E42760" w14:textId="5AF94343" w:rsidR="000D46F5" w:rsidRPr="00B56A71" w:rsidRDefault="009C30BA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B56A71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B56A71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B56A71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 w:rsidR="00080996" w:rsidRPr="00B56A71">
        <w:rPr>
          <w:rFonts w:ascii="Times New Roman" w:eastAsia="Yu Gothic UI Semibold" w:hAnsi="Times New Roman" w:cs="Times New Roman"/>
          <w:sz w:val="28"/>
          <w:szCs w:val="28"/>
          <w:lang w:val="kk-KZ"/>
        </w:rPr>
        <w:t>июнь</w:t>
      </w:r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2022 года составил </w:t>
      </w:r>
      <w:r w:rsidR="00080996" w:rsidRPr="00B56A71">
        <w:rPr>
          <w:rFonts w:ascii="Times New Roman" w:eastAsia="Yu Gothic UI Semibold" w:hAnsi="Times New Roman" w:cs="Times New Roman"/>
          <w:sz w:val="28"/>
          <w:szCs w:val="28"/>
        </w:rPr>
        <w:t>17 256,2</w:t>
      </w:r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. Снижение выработки электроэнергии в сравнении с показателями аналогичного периода 2021 года составило </w:t>
      </w:r>
      <w:r w:rsidR="00080996" w:rsidRPr="00B56A71">
        <w:rPr>
          <w:rFonts w:ascii="Times New Roman" w:eastAsia="Yu Gothic UI Semibold" w:hAnsi="Times New Roman" w:cs="Times New Roman"/>
          <w:sz w:val="28"/>
          <w:szCs w:val="28"/>
        </w:rPr>
        <w:t>-595,3 млн.</w:t>
      </w:r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B56A71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или 3,</w:t>
      </w:r>
      <w:r w:rsidR="00080996" w:rsidRPr="00B56A71">
        <w:rPr>
          <w:rFonts w:ascii="Times New Roman" w:eastAsia="Yu Gothic UI Semibold" w:hAnsi="Times New Roman" w:cs="Times New Roman"/>
          <w:sz w:val="28"/>
          <w:szCs w:val="28"/>
          <w:lang w:val="kk-KZ"/>
        </w:rPr>
        <w:t>3</w:t>
      </w:r>
      <w:r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%. Снижение наблюдается на </w:t>
      </w:r>
      <w:r w:rsidR="00080996" w:rsidRPr="00B56A71">
        <w:rPr>
          <w:rFonts w:ascii="Times New Roman" w:eastAsia="Yu Gothic UI Semibold" w:hAnsi="Times New Roman" w:cs="Times New Roman"/>
          <w:sz w:val="28"/>
          <w:szCs w:val="28"/>
        </w:rPr>
        <w:t>АО «</w:t>
      </w:r>
      <w:proofErr w:type="spellStart"/>
      <w:r w:rsidR="00080996" w:rsidRPr="00B56A71">
        <w:rPr>
          <w:rFonts w:ascii="Times New Roman" w:eastAsia="Yu Gothic UI Semibold" w:hAnsi="Times New Roman" w:cs="Times New Roman"/>
          <w:sz w:val="28"/>
          <w:szCs w:val="28"/>
        </w:rPr>
        <w:t>Экибастузская</w:t>
      </w:r>
      <w:proofErr w:type="spellEnd"/>
      <w:r w:rsidR="00080996" w:rsidRPr="00B56A71">
        <w:rPr>
          <w:rFonts w:ascii="Times New Roman" w:eastAsia="Yu Gothic UI Semibold" w:hAnsi="Times New Roman" w:cs="Times New Roman"/>
          <w:sz w:val="28"/>
          <w:szCs w:val="28"/>
        </w:rPr>
        <w:t xml:space="preserve"> ГРЭС-2»</w:t>
      </w:r>
      <w:r w:rsidRPr="00B56A71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14:paraId="7BC77DE4" w14:textId="77777777" w:rsidR="008364B1" w:rsidRPr="00B56A71" w:rsidRDefault="008364B1" w:rsidP="00B56A71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6A71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8364B1" w:rsidRPr="00B56A71" w14:paraId="1BA9211D" w14:textId="77777777" w:rsidTr="006F4826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FFFFFF" w:themeFill="background1"/>
            <w:vAlign w:val="center"/>
            <w:hideMark/>
          </w:tcPr>
          <w:p w14:paraId="2F3582F3" w14:textId="3736FCF5" w:rsidR="008364B1" w:rsidRPr="00B56A71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FFFFFF" w:themeFill="background1"/>
            <w:vAlign w:val="center"/>
            <w:hideMark/>
          </w:tcPr>
          <w:p w14:paraId="32ED6624" w14:textId="77777777" w:rsidR="008364B1" w:rsidRPr="00B56A71" w:rsidRDefault="008364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  <w:hideMark/>
          </w:tcPr>
          <w:p w14:paraId="58743FF4" w14:textId="77777777" w:rsidR="008364B1" w:rsidRPr="00B56A71" w:rsidRDefault="008364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  <w:hideMark/>
          </w:tcPr>
          <w:p w14:paraId="7EC65B6A" w14:textId="77777777" w:rsidR="008364B1" w:rsidRPr="00B56A71" w:rsidRDefault="008364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</w:tc>
        <w:tc>
          <w:tcPr>
            <w:tcW w:w="2087" w:type="dxa"/>
            <w:gridSpan w:val="2"/>
            <w:shd w:val="clear" w:color="auto" w:fill="FFFFFF" w:themeFill="background1"/>
            <w:vAlign w:val="center"/>
            <w:hideMark/>
          </w:tcPr>
          <w:p w14:paraId="1AADE14E" w14:textId="77777777" w:rsidR="008364B1" w:rsidRPr="00B56A71" w:rsidRDefault="008364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</w:t>
            </w:r>
            <w:r w:rsidR="0076489C"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/202</w:t>
            </w:r>
            <w:r w:rsidR="0076489C"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:rsidR="009C30BA" w:rsidRPr="00B56A71" w14:paraId="6DD48D08" w14:textId="77777777" w:rsidTr="006F4826">
        <w:trPr>
          <w:trHeight w:val="665"/>
          <w:jc w:val="center"/>
        </w:trPr>
        <w:tc>
          <w:tcPr>
            <w:tcW w:w="531" w:type="dxa"/>
            <w:vMerge/>
            <w:shd w:val="clear" w:color="auto" w:fill="FFFFFF" w:themeFill="background1"/>
            <w:vAlign w:val="center"/>
            <w:hideMark/>
          </w:tcPr>
          <w:p w14:paraId="42681CB8" w14:textId="77777777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FFFFFF" w:themeFill="background1"/>
            <w:vAlign w:val="center"/>
            <w:hideMark/>
          </w:tcPr>
          <w:p w14:paraId="2F2287C0" w14:textId="77777777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  <w:hideMark/>
          </w:tcPr>
          <w:p w14:paraId="5ABEA079" w14:textId="4AEA540E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080996" w:rsidRPr="00B56A71">
              <w:rPr>
                <w:rFonts w:ascii="Times New Roman" w:hAnsi="Times New Roman" w:cs="Times New Roman"/>
                <w:b/>
                <w:bCs/>
                <w:lang w:val="kk-KZ"/>
              </w:rPr>
              <w:t>июнь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14:paraId="5E1F25FC" w14:textId="5E513459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FFFFFF" w:themeFill="background1"/>
            <w:vAlign w:val="center"/>
            <w:hideMark/>
          </w:tcPr>
          <w:p w14:paraId="6C012131" w14:textId="23344EAC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080996" w:rsidRPr="00B56A71">
              <w:rPr>
                <w:rFonts w:ascii="Times New Roman" w:hAnsi="Times New Roman" w:cs="Times New Roman"/>
                <w:b/>
                <w:bCs/>
                <w:lang w:val="kk-KZ"/>
              </w:rPr>
              <w:t>июнь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14:paraId="02633D2E" w14:textId="2584B678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2EC23D" w14:textId="417D06A3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B56A71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  <w:hideMark/>
          </w:tcPr>
          <w:p w14:paraId="00DE5E4E" w14:textId="30C18285" w:rsidR="009C30BA" w:rsidRPr="00B56A71" w:rsidRDefault="009C30B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80996" w:rsidRPr="00B56A71" w14:paraId="17B30222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0E335CAE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63772619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B56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CFD7155" w14:textId="109C6254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17</w:t>
            </w:r>
            <w:r w:rsidRPr="00B56A7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b/>
                <w:bCs/>
              </w:rPr>
              <w:t>851,5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51F1CB6E" w14:textId="39A9CB5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4416170C" w14:textId="5E6D035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17 256,2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1E7F0A44" w14:textId="40A27218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30,6%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9A38E" w14:textId="1C80CE5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-595,3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0EC431B1" w14:textId="7216AE22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b/>
                <w:bCs/>
              </w:rPr>
              <w:t>-3,3%</w:t>
            </w:r>
          </w:p>
        </w:tc>
      </w:tr>
      <w:tr w:rsidR="00080996" w:rsidRPr="00B56A71" w14:paraId="0C20465F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496599FC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59D124E6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478168EA" w14:textId="5D9F1E76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657,1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AA2BF49" w14:textId="21F7AD8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60912B09" w14:textId="1C546D8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682,6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C2CD81A" w14:textId="79D2A0EC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F6B4380" w14:textId="2DB76D0A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25,5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109481C" w14:textId="32E68AB1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</w:tr>
      <w:tr w:rsidR="00080996" w:rsidRPr="00B56A71" w14:paraId="7375329D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4D386914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0823F172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65F25956" w14:textId="3C606ED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10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696,7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1D5A178E" w14:textId="100535C1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18,7%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244657DD" w14:textId="6DDEEDC4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10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847,3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9A57262" w14:textId="0DDE6A09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21DCD1" w14:textId="3633816D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150,6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D20EEC7" w14:textId="1BCF685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1,4%</w:t>
            </w:r>
          </w:p>
        </w:tc>
      </w:tr>
      <w:tr w:rsidR="00080996" w:rsidRPr="00B56A71" w14:paraId="6CEF3ABE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7223A7A5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5CE35376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1805ACB6" w14:textId="5A89A72A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758,5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2CBF899A" w14:textId="70FA74A3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6,6%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4B0E975C" w14:textId="31F9092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</w:t>
            </w:r>
            <w:r w:rsidRPr="00B56A71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B56A71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9D18A07" w14:textId="55B67DE8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A8EDB5" w14:textId="58CD0621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-846,5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9B41750" w14:textId="248EF2CD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-22,5%</w:t>
            </w:r>
          </w:p>
        </w:tc>
      </w:tr>
      <w:tr w:rsidR="00080996" w:rsidRPr="00B56A71" w14:paraId="6D081A91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30AD6D55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08481559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5067A50A" w14:textId="3BE6819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267,7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33342D5" w14:textId="2D8A8E6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5097A2D2" w14:textId="39EEF10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276,9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644E2A07" w14:textId="3081430C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AF4348" w14:textId="188A328B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9,2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FB4FAD8" w14:textId="0D7BA51A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3,4%</w:t>
            </w:r>
          </w:p>
        </w:tc>
      </w:tr>
      <w:tr w:rsidR="00080996" w:rsidRPr="00B56A71" w14:paraId="2044057E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6AF00E4E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1661BA41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3E330317" w14:textId="611D0F5C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388,6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60A5B07" w14:textId="5171851E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1652F4EF" w14:textId="002625D8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449,2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78B430E" w14:textId="0DDBA9C5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98157B" w14:textId="6522DA9E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60,6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97CB54C" w14:textId="31BED0C4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15,6%</w:t>
            </w:r>
          </w:p>
        </w:tc>
      </w:tr>
      <w:tr w:rsidR="00080996" w:rsidRPr="00B56A71" w14:paraId="1CC6F295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6C93874A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72BA1DE3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69197EFB" w14:textId="5AD52CD5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10,2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12294438" w14:textId="609959F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542AD46F" w14:textId="6553E7E3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10,2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A249A18" w14:textId="0440D740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938302F" w14:textId="58C7A420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3B9D4E05" w14:textId="761D36EA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0%</w:t>
            </w:r>
          </w:p>
        </w:tc>
      </w:tr>
      <w:tr w:rsidR="00080996" w:rsidRPr="00B56A71" w14:paraId="42414040" w14:textId="77777777" w:rsidTr="006F4826">
        <w:trPr>
          <w:trHeight w:val="340"/>
          <w:jc w:val="center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1754ECAA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FFFFFF" w:themeFill="background1"/>
            <w:vAlign w:val="center"/>
            <w:hideMark/>
          </w:tcPr>
          <w:p w14:paraId="3007E184" w14:textId="77777777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396361CA" w14:textId="65001233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72,7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4AB5E3F" w14:textId="4861843D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center"/>
          </w:tcPr>
          <w:p w14:paraId="2D4B64E3" w14:textId="1934214C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06A35AD" w14:textId="5245CF7F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59A0630" w14:textId="487B8234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5,3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0EC3F32" w14:textId="172766CA" w:rsidR="00080996" w:rsidRPr="00B56A71" w:rsidRDefault="0008099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6A71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</w:tr>
    </w:tbl>
    <w:p w14:paraId="359B9202" w14:textId="0821C799" w:rsidR="00211524" w:rsidRPr="00B56A71" w:rsidRDefault="008A1BD0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" w:name="_Toc104388601"/>
      <w:bookmarkEnd w:id="3"/>
      <w:r w:rsidRPr="00B56A71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1.3</w:t>
      </w:r>
      <w:r w:rsidR="00F52587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AC0DD3"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="00211524" w:rsidRPr="00B56A71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="00211524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="00211524" w:rsidRPr="00B56A71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="00211524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5"/>
      <w:r w:rsidR="00211524"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C3D18D1" w14:textId="77777777" w:rsidR="00AC0DD3" w:rsidRPr="00B56A71" w:rsidRDefault="00211524" w:rsidP="00B56A71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AC0DD3"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C0DD3" w:rsidRPr="00B56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="00AC0DD3" w:rsidRPr="00B56A71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EEDC558" w14:textId="77777777" w:rsidR="004E43BC" w:rsidRPr="00B56A71" w:rsidRDefault="004E43BC" w:rsidP="00B56A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2B89C62" w14:textId="1C6269E1" w:rsidR="005B4E26" w:rsidRPr="00B56A71" w:rsidRDefault="004E43BC" w:rsidP="00B56A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proofErr w:type="spellStart"/>
      <w:r w:rsidRPr="00B56A71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56A71">
        <w:rPr>
          <w:rFonts w:ascii="Times New Roman" w:hAnsi="Times New Roman" w:cs="Times New Roman"/>
          <w:sz w:val="28"/>
        </w:rPr>
        <w:t>» на рынке электрической энергии Казахстана остается лидирующей и составляет 3</w:t>
      </w:r>
      <w:r w:rsidR="009C30BA" w:rsidRPr="00B56A71">
        <w:rPr>
          <w:rFonts w:ascii="Times New Roman" w:hAnsi="Times New Roman" w:cs="Times New Roman"/>
          <w:sz w:val="28"/>
          <w:lang w:val="kk-KZ"/>
        </w:rPr>
        <w:t>0</w:t>
      </w:r>
      <w:r w:rsidRPr="00B56A71">
        <w:rPr>
          <w:rFonts w:ascii="Times New Roman" w:hAnsi="Times New Roman" w:cs="Times New Roman"/>
          <w:sz w:val="28"/>
        </w:rPr>
        <w:t>,</w:t>
      </w:r>
      <w:r w:rsidR="00080996" w:rsidRPr="00B56A71">
        <w:rPr>
          <w:rFonts w:ascii="Times New Roman" w:hAnsi="Times New Roman" w:cs="Times New Roman"/>
          <w:sz w:val="28"/>
        </w:rPr>
        <w:t>6</w:t>
      </w:r>
      <w:r w:rsidRPr="00B56A71">
        <w:rPr>
          <w:rFonts w:ascii="Times New Roman" w:hAnsi="Times New Roman" w:cs="Times New Roman"/>
          <w:sz w:val="28"/>
        </w:rPr>
        <w:t>%.</w:t>
      </w:r>
    </w:p>
    <w:p w14:paraId="3F542628" w14:textId="77777777" w:rsidR="00BA383A" w:rsidRPr="00B56A71" w:rsidRDefault="00C621B2" w:rsidP="00B56A71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D941BB" wp14:editId="7A789504">
                <wp:simplePos x="0" y="0"/>
                <wp:positionH relativeFrom="margin">
                  <wp:posOffset>2432761</wp:posOffset>
                </wp:positionH>
                <wp:positionV relativeFrom="paragraph">
                  <wp:posOffset>778129</wp:posOffset>
                </wp:positionV>
                <wp:extent cx="1536192" cy="1021918"/>
                <wp:effectExtent l="0" t="0" r="0" b="698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1021918"/>
                          <a:chOff x="9657" y="0"/>
                          <a:chExt cx="2028190" cy="1424774"/>
                        </a:xfrm>
                      </wpg:grpSpPr>
                      <wps:wsp>
                        <wps:cNvPr id="7" name="椭圆 9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FE6E634-EEC9-4F81-9C4A-7C69A477A8AE}"/>
                            </a:ext>
                          </a:extLst>
                        </wps:cNvPr>
                        <wps:cNvSpPr/>
                        <wps:spPr>
                          <a:xfrm>
                            <a:off x="285008" y="0"/>
                            <a:ext cx="1443309" cy="1424774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35000">
                                <a:sysClr val="window" lastClr="FFFFFF">
                                  <a:lumMod val="85000"/>
                                </a:sysClr>
                              </a:gs>
                              <a:gs pos="100000">
                                <a:srgbClr val="F1F1F1"/>
                              </a:gs>
                            </a:gsLst>
                            <a:lin ang="2700000" scaled="1"/>
                            <a:tileRect/>
                          </a:gradFill>
                          <a:ln w="285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文本框 2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        </a:ext>
                          </a:extLst>
                        </wps:cNvPr>
                        <wps:cNvSpPr txBox="1"/>
                        <wps:spPr>
                          <a:xfrm>
                            <a:off x="9657" y="191331"/>
                            <a:ext cx="2028190" cy="97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F1BA14" w14:textId="77777777" w:rsidR="00FF7CF4" w:rsidRPr="005217AD" w:rsidRDefault="00FF7CF4" w:rsidP="0029181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Казахстан</w:t>
                              </w:r>
                            </w:p>
                            <w:p w14:paraId="3C856364" w14:textId="77777777" w:rsidR="00FF7CF4" w:rsidRDefault="00FF7CF4" w:rsidP="0008099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56 383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  <w:p w14:paraId="38D79D71" w14:textId="77777777" w:rsidR="00FF7CF4" w:rsidRPr="00291819" w:rsidRDefault="00FF7CF4" w:rsidP="0029181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млн. </w:t>
                              </w:r>
                              <w:proofErr w:type="spellStart"/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кВтч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941BB" id="Группа 3" o:spid="_x0000_s1026" style="position:absolute;left:0;text-align:left;margin-left:191.55pt;margin-top:61.25pt;width:120.95pt;height:80.45pt;z-index:251661312;mso-position-horizontal-relative:margin;mso-width-relative:margin;mso-height-relative:margin" coordorigin="96" coordsize="20281,1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">
                <v:oval id="椭圆 99" o:spid="_x0000_s1027" style="position:absolute;left:2850;width:14433;height:1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mA8QA&#10;AADaAAAADwAAAGRycy9kb3ducmV2LnhtbESPQWsCMRSE74L/ITzBi9SsHlS2RikFaVUUqqW9vm5e&#10;d5cmL8smuqu/3hQEj8PMfMPMl6014ky1Lx0rGA0TEMSZ0yXnCj6Pq6cZCB+QNRrHpOBCHpaLbmeO&#10;qXYNf9D5EHIRIexTVFCEUKVS+qwgi37oKuLo/braYoiyzqWusYlwa+Q4SSbSYslxocCKXgvK/g4n&#10;q6AZfO1/1pXb7g2/ba7bXF+/zU6pfq99eQYRqA2P8L39rhVM4f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JgPEAAAA2gAAAA8AAAAAAAAAAAAAAAAAmAIAAGRycy9k&#10;b3ducmV2LnhtbFBLBQYAAAAABAAEAPUAAACJAwAAAAA=&#10;" fillcolor="#d9d9d9" stroked="f" strokeweight="2.25pt">
                  <v:fill color2="#f1f1f1" rotate="t" angle="45" colors="0 #d9d9d9;22938f #d9d9d9" focus="100%" type="gradien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6;top:1913;width:20282;height:9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62F1BA14" w14:textId="77777777" w:rsidR="00FF7CF4" w:rsidRPr="005217AD" w:rsidRDefault="00FF7CF4" w:rsidP="00291819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Казахстан</w:t>
                        </w:r>
                      </w:p>
                      <w:p w14:paraId="3C856364" w14:textId="77777777" w:rsidR="00FF7CF4" w:rsidRDefault="00FF7CF4" w:rsidP="0008099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56 383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  <w:p w14:paraId="38D79D71" w14:textId="77777777" w:rsidR="00FF7CF4" w:rsidRPr="00291819" w:rsidRDefault="00FF7CF4" w:rsidP="00291819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млн. </w:t>
                        </w:r>
                        <w:proofErr w:type="spellStart"/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кВтч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56A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F054" wp14:editId="7ACDA4C6">
                <wp:simplePos x="0" y="0"/>
                <wp:positionH relativeFrom="column">
                  <wp:posOffset>1479499</wp:posOffset>
                </wp:positionH>
                <wp:positionV relativeFrom="paragraph">
                  <wp:posOffset>571907</wp:posOffset>
                </wp:positionV>
                <wp:extent cx="762000" cy="617017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70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A5B88" w14:textId="77777777" w:rsidR="00FF7CF4" w:rsidRPr="00291819" w:rsidRDefault="00FF7CF4" w:rsidP="001944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1F054" id="文本框 29" o:spid="_x0000_s1029" type="#_x0000_t202" style="position:absolute;left:0;text-align:left;margin-left:116.5pt;margin-top:45.05pt;width:60pt;height:4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" filled="f" stroked="f">
                <v:textbox style="mso-fit-shape-to-text:t">
                  <w:txbxContent>
                    <w:p w14:paraId="551A5B88" w14:textId="77777777" w:rsidR="00FF7CF4" w:rsidRPr="00291819" w:rsidRDefault="00FF7CF4" w:rsidP="001944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B56A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372D1A" wp14:editId="10CF18E1">
            <wp:extent cx="4490187" cy="2640787"/>
            <wp:effectExtent l="0" t="0" r="5715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489C1C" w14:textId="77777777" w:rsidR="000F513C" w:rsidRPr="00B56A71" w:rsidRDefault="000F513C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98DE6" w14:textId="77777777" w:rsidR="004119EF" w:rsidRPr="00B56A71" w:rsidRDefault="004119EF" w:rsidP="00B56A71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507606020"/>
      <w:bookmarkStart w:id="7" w:name="_Toc104388602"/>
      <w:r w:rsidRPr="00B56A71">
        <w:rPr>
          <w:rFonts w:ascii="Times New Roman" w:hAnsi="Times New Roman" w:cs="Times New Roman"/>
          <w:b/>
          <w:color w:val="auto"/>
          <w:sz w:val="28"/>
        </w:rPr>
        <w:t>Потребление электрической энергии в ЕЭС Казахстана</w:t>
      </w:r>
      <w:bookmarkEnd w:id="6"/>
      <w:bookmarkEnd w:id="7"/>
    </w:p>
    <w:p w14:paraId="13E5A572" w14:textId="77777777" w:rsidR="004119EF" w:rsidRPr="00B56A71" w:rsidRDefault="004119EF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14:paraId="352B2A36" w14:textId="77777777" w:rsidR="00A43094" w:rsidRPr="00B56A71" w:rsidRDefault="00A43094" w:rsidP="00B56A71">
      <w:pPr>
        <w:shd w:val="clear" w:color="auto" w:fill="FFFFFF" w:themeFill="background1"/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56A71">
        <w:rPr>
          <w:rFonts w:ascii="Times New Roman" w:hAnsi="Times New Roman" w:cs="Times New Roman"/>
          <w:sz w:val="28"/>
          <w:lang w:val="kk-KZ"/>
        </w:rPr>
        <w:t>В январе-июне 2022г. по сравнению с январем-июнем 2021 года индекс промышленного производства (далее ИПП) составил 103,5%. Увеличение объемов производства зафиксировано в 17 регионах республики, снижение наблюдается в Жетісу, Кызылординской и Павлодарской областях.</w:t>
      </w:r>
    </w:p>
    <w:p w14:paraId="27E119B5" w14:textId="77777777" w:rsidR="00AB24CD" w:rsidRPr="00B56A71" w:rsidRDefault="00AB24CD" w:rsidP="00B56A71">
      <w:pPr>
        <w:shd w:val="clear" w:color="auto" w:fill="FFFFFF" w:themeFill="background1"/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1A3F0ED" w14:textId="77777777" w:rsidR="001855B1" w:rsidRPr="00B56A71" w:rsidRDefault="001855B1" w:rsidP="00B56A71">
      <w:pPr>
        <w:shd w:val="clear" w:color="auto" w:fill="FFFFFF" w:themeFill="background1"/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объемов промышленной продукции по регионам</w:t>
      </w:r>
    </w:p>
    <w:p w14:paraId="095E621B" w14:textId="77777777" w:rsidR="001855B1" w:rsidRPr="00B56A71" w:rsidRDefault="001855B1" w:rsidP="00B56A71">
      <w:pPr>
        <w:shd w:val="clear" w:color="auto" w:fill="FFFFFF" w:themeFill="background1"/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B56A71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5FAC0876" w14:textId="175D7E0A" w:rsidR="00B65886" w:rsidRPr="00B56A71" w:rsidRDefault="00A43094" w:rsidP="00B56A71">
      <w:pPr>
        <w:shd w:val="clear" w:color="auto" w:fill="FFFFFF" w:themeFill="background1"/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6A71">
        <w:rPr>
          <w:rFonts w:ascii="Calibri" w:hAnsi="Calibri" w:cs="Arial"/>
          <w:noProof/>
          <w:lang w:eastAsia="ru-RU"/>
        </w:rPr>
        <w:drawing>
          <wp:inline distT="0" distB="0" distL="0" distR="0" wp14:anchorId="78B8FDC0" wp14:editId="6BEBB0D3">
            <wp:extent cx="5812404" cy="294198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A94FE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городе Алматы за счет роста производства растительного масла, металлоконструкций, строительных растворов, легковых и грузовых автомобилей ИПП составил 110,6%.</w:t>
      </w:r>
    </w:p>
    <w:p w14:paraId="4CD2AA84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В городе Шымкент за счет увеличения производства лекарств, топочного мазута, дизельного топлива, бензина, керосина, ИПП составил 110,1%.</w:t>
      </w:r>
    </w:p>
    <w:p w14:paraId="48E4666A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области Абай ИПП составил 108,9% за счет роста добычи медных и золотосодержащих руд, производства медных концентратов,  золота в сплаве доре,  рафинированной меди.</w:t>
      </w:r>
    </w:p>
    <w:p w14:paraId="7D39CFE3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Восточно-Казахстанской области ИПП составил 108,2% за счет роста добычи медных концентратов, производства рафинированной меди, аффинированного золота и серебра, природного урана.</w:t>
      </w:r>
    </w:p>
    <w:p w14:paraId="2DE9406F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Жамбылской области за счет роста добычи золотосодержащих руд, производства колбасных изделий, топочного мазута, фосфора, фармацевтических препаратов ИПП составил 108,1%.</w:t>
      </w:r>
    </w:p>
    <w:p w14:paraId="6859BDA9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Акмолинской области за счет увеличения добычи золотосодержащих руд, медных концентратов, производства золота в сплаве доре, рафинированной меди ИПП составил 108%.</w:t>
      </w:r>
    </w:p>
    <w:p w14:paraId="55CDE658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Алматинской области ИПП составил 106,2% за счет увеличения производства безалкогольных напитков, пива, шоколада, сигарет, товарного бетона, лекарств, прутков и стержней горячекатаных из стали.</w:t>
      </w:r>
    </w:p>
    <w:p w14:paraId="570A91AA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Атырауской области ИПП составил 105,6% за счет увеличения добычи сырой нефти, производства бензина, дизельного топлива, углеводородных сжиженных газов.</w:t>
      </w:r>
    </w:p>
    <w:p w14:paraId="4B82FC7A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области Ұлытау ИПП составил 105,5% за счет роста добычи свинцово-цинковых руд, цинковых концентратов, производства золота необработанного, черновой и рафинированной меди.</w:t>
      </w:r>
    </w:p>
    <w:p w14:paraId="7B1CA65D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Карагандинской области рост ИПП составил 105% за счет увеличения производства чугуна, аффинированного золота, золота в сплаве доре,  черновой меди, электрических проводов.</w:t>
      </w:r>
    </w:p>
    <w:p w14:paraId="15273A05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городе Нур-Султан ИПП составил 102,8% за счет роста производства аффинированного золота, безалкогольных напитков, товарного бетона.</w:t>
      </w:r>
    </w:p>
    <w:p w14:paraId="1CE98B97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Актюбинской области ИПП составил 102,7% за счет роста добычи медных, железных и хромовых руд, производства прутков и стержней горячекатаных из стали. </w:t>
      </w:r>
    </w:p>
    <w:p w14:paraId="469CD50E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Западно-Казахстанской ИПП составил 102,2% за счет роста добычи газового конденсата, бесшовных труб из стали, товарного бетона.</w:t>
      </w:r>
    </w:p>
    <w:p w14:paraId="09A65294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Туркестанской области за счет роста добычи золотосодержащих концентратов, производства сыров, хлопка, золота в сплаве доре ИПП составил 101,9%.</w:t>
      </w:r>
    </w:p>
    <w:p w14:paraId="4CBABF19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Северо-Казахстанской области за счет роста добычи урановых и ториевых руд, производства муки, спирта питьевого, мешков и пакетов упаковочных, товарного бетона, тракторов ИПП составил 101,5%.</w:t>
      </w:r>
    </w:p>
    <w:p w14:paraId="3341F8ED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Мангистауской области ИПП составил 101,5% за счет увеличения производства аммиака, насосов для перекачки жидкости, нефтепромыслового оборудования.</w:t>
      </w:r>
    </w:p>
    <w:p w14:paraId="04F76395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Костанайской области ИПП составил 101,4% за счет увеличения добычи алюминиевых и медных руд,  медных концентратов, производства муки, отрубей, готовых кормов для животных, прутков и стержней горячекатаных из стали, тракторов, грузовых и легковых автомобилей.</w:t>
      </w:r>
    </w:p>
    <w:p w14:paraId="21B4098C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В Павлодарской области ИПП составил 98,6% за счет снижения добычи медных руд и концентратов, производства бензина, дизельного топлива, феррохрома, электроэнергии.</w:t>
      </w:r>
    </w:p>
    <w:p w14:paraId="12DEFF1A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Кызылординской области ИПП составил 96,4% за счет сокращения добычи сырой нефти, производства углеводородных сжиженных газов.</w:t>
      </w:r>
    </w:p>
    <w:p w14:paraId="0FED479D" w14:textId="77777777" w:rsidR="00A43094" w:rsidRPr="00B56A71" w:rsidRDefault="00A43094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56A71">
        <w:rPr>
          <w:rFonts w:ascii="Times New Roman" w:hAnsi="Times New Roman" w:cs="Times New Roman"/>
          <w:sz w:val="28"/>
          <w:szCs w:val="28"/>
          <w:lang w:val="kk-KZ" w:eastAsia="ru-RU"/>
        </w:rPr>
        <w:t>В области Жетісу ИПП составил 94% за счет снижения производства металлоконструкций, электрических аккумуляторов.</w:t>
      </w:r>
    </w:p>
    <w:p w14:paraId="613F5DD9" w14:textId="77777777" w:rsidR="00AB24CD" w:rsidRPr="00B56A71" w:rsidRDefault="00AB24CD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kk-KZ" w:eastAsia="ru-RU"/>
        </w:rPr>
      </w:pPr>
    </w:p>
    <w:p w14:paraId="57004378" w14:textId="77777777" w:rsidR="00220F66" w:rsidRPr="00B56A71" w:rsidRDefault="00031F5F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104388603"/>
      <w:r w:rsidRPr="00B56A71">
        <w:rPr>
          <w:rFonts w:ascii="Times New Roman" w:hAnsi="Times New Roman" w:cs="Times New Roman"/>
          <w:i/>
          <w:color w:val="auto"/>
          <w:sz w:val="28"/>
        </w:rPr>
        <w:t>2.1</w:t>
      </w:r>
      <w:r w:rsidR="00220F66" w:rsidRPr="00B56A71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8"/>
    </w:p>
    <w:p w14:paraId="4029332D" w14:textId="77777777" w:rsidR="00BB5A83" w:rsidRPr="00B56A71" w:rsidRDefault="00BB5A83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20FF3157" w14:textId="727C0A42" w:rsidR="008A1BD0" w:rsidRPr="00B56A71" w:rsidRDefault="009C30BA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="00080996" w:rsidRPr="00B56A71">
        <w:rPr>
          <w:rFonts w:ascii="Times New Roman" w:hAnsi="Times New Roman" w:cs="Times New Roman"/>
          <w:sz w:val="28"/>
        </w:rPr>
        <w:t>июне</w:t>
      </w:r>
      <w:r w:rsidRPr="00B56A71">
        <w:rPr>
          <w:rFonts w:ascii="Times New Roman" w:hAnsi="Times New Roman" w:cs="Times New Roman"/>
          <w:sz w:val="28"/>
        </w:rPr>
        <w:t xml:space="preserve"> 2022 года наблюдалось </w:t>
      </w:r>
      <w:r w:rsidR="00541298" w:rsidRPr="00B56A71">
        <w:rPr>
          <w:rFonts w:ascii="Times New Roman" w:hAnsi="Times New Roman" w:cs="Times New Roman"/>
          <w:sz w:val="28"/>
          <w:lang w:val="kk-KZ"/>
        </w:rPr>
        <w:t>уменьшение</w:t>
      </w:r>
      <w:r w:rsidRPr="00B56A71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</w:t>
      </w:r>
      <w:r w:rsidR="00080996" w:rsidRPr="00B56A71">
        <w:rPr>
          <w:rFonts w:ascii="Times New Roman" w:hAnsi="Times New Roman" w:cs="Times New Roman"/>
          <w:sz w:val="28"/>
        </w:rPr>
        <w:t xml:space="preserve">ными показателями 2021 года на 280,9 млн. </w:t>
      </w:r>
      <w:proofErr w:type="spellStart"/>
      <w:r w:rsidR="00080996" w:rsidRPr="00B56A71">
        <w:rPr>
          <w:rFonts w:ascii="Times New Roman" w:hAnsi="Times New Roman" w:cs="Times New Roman"/>
          <w:sz w:val="28"/>
        </w:rPr>
        <w:t>кВтч</w:t>
      </w:r>
      <w:proofErr w:type="spellEnd"/>
      <w:r w:rsidR="00080996" w:rsidRPr="00B56A71">
        <w:rPr>
          <w:rFonts w:ascii="Times New Roman" w:hAnsi="Times New Roman" w:cs="Times New Roman"/>
          <w:sz w:val="28"/>
        </w:rPr>
        <w:t xml:space="preserve"> или на 0,5</w:t>
      </w:r>
      <w:r w:rsidRPr="00B56A71">
        <w:rPr>
          <w:rFonts w:ascii="Times New Roman" w:hAnsi="Times New Roman" w:cs="Times New Roman"/>
          <w:sz w:val="28"/>
        </w:rPr>
        <w:t xml:space="preserve">%. Так, в западной и южной зонах республики потребление увеличилось на </w:t>
      </w:r>
      <w:r w:rsidR="006A106B" w:rsidRPr="00B56A71">
        <w:rPr>
          <w:rFonts w:ascii="Times New Roman" w:hAnsi="Times New Roman" w:cs="Times New Roman"/>
          <w:sz w:val="28"/>
        </w:rPr>
        <w:t xml:space="preserve">4,6% </w:t>
      </w:r>
      <w:r w:rsidRPr="00B56A71">
        <w:rPr>
          <w:rFonts w:ascii="Times New Roman" w:hAnsi="Times New Roman" w:cs="Times New Roman"/>
          <w:sz w:val="28"/>
        </w:rPr>
        <w:t xml:space="preserve">и на </w:t>
      </w:r>
      <w:r w:rsidR="006A106B" w:rsidRPr="00B56A71">
        <w:rPr>
          <w:rFonts w:ascii="Times New Roman" w:hAnsi="Times New Roman" w:cs="Times New Roman"/>
          <w:sz w:val="28"/>
        </w:rPr>
        <w:t>1</w:t>
      </w:r>
      <w:r w:rsidRPr="00B56A71">
        <w:rPr>
          <w:rFonts w:ascii="Times New Roman" w:hAnsi="Times New Roman" w:cs="Times New Roman"/>
          <w:sz w:val="28"/>
        </w:rPr>
        <w:t>% соответственно.</w:t>
      </w:r>
    </w:p>
    <w:p w14:paraId="32889D30" w14:textId="77777777" w:rsidR="00220F66" w:rsidRPr="00B56A71" w:rsidRDefault="00220F66" w:rsidP="00B56A71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7C6544" w:rsidRPr="00131C81" w14:paraId="79AD2809" w14:textId="77777777" w:rsidTr="00131C81">
        <w:trPr>
          <w:trHeight w:val="340"/>
        </w:trPr>
        <w:tc>
          <w:tcPr>
            <w:tcW w:w="615" w:type="dxa"/>
            <w:vMerge w:val="restart"/>
            <w:shd w:val="clear" w:color="auto" w:fill="FFFFFF" w:themeFill="background1"/>
            <w:vAlign w:val="center"/>
            <w:hideMark/>
          </w:tcPr>
          <w:p w14:paraId="3E030404" w14:textId="32B4BE48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531B1A" w:rsidRPr="00131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3184" w:type="dxa"/>
            <w:vMerge w:val="restart"/>
            <w:shd w:val="clear" w:color="auto" w:fill="FFFFFF" w:themeFill="background1"/>
            <w:vAlign w:val="center"/>
            <w:hideMark/>
          </w:tcPr>
          <w:p w14:paraId="14BDF588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14:paraId="56812158" w14:textId="569054DB" w:rsidR="007C6544" w:rsidRPr="00131C81" w:rsidRDefault="00DA0DBB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080996"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2E91CFD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hAnsi="Times New Roman" w:cs="Times New Roman"/>
                <w:b/>
              </w:rPr>
              <w:t>Δ,</w:t>
            </w: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3409DE97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hAnsi="Times New Roman" w:cs="Times New Roman"/>
                <w:b/>
              </w:rPr>
              <w:t xml:space="preserve">Δ, </w:t>
            </w: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131C81" w14:paraId="4DBF2AB8" w14:textId="77777777" w:rsidTr="00131C81">
        <w:trPr>
          <w:trHeight w:val="340"/>
        </w:trPr>
        <w:tc>
          <w:tcPr>
            <w:tcW w:w="615" w:type="dxa"/>
            <w:vMerge/>
            <w:shd w:val="clear" w:color="auto" w:fill="FFFFFF" w:themeFill="background1"/>
            <w:vAlign w:val="center"/>
          </w:tcPr>
          <w:p w14:paraId="02E5D1AB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FFFFFF" w:themeFill="background1"/>
            <w:vAlign w:val="center"/>
          </w:tcPr>
          <w:p w14:paraId="45A92BEB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0606A2F4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7A6272F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3A06EC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69286532" w14:textId="77777777" w:rsidR="007C6544" w:rsidRPr="00131C81" w:rsidRDefault="007C654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C81" w:rsidRPr="00131C81" w14:paraId="5009D14A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39D6C2D7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7EFD7E74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5DE92BDD" w14:textId="266DDC48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31C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56 396,6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544A3B6" w14:textId="2AFEF9C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81">
              <w:rPr>
                <w:rFonts w:ascii="Times New Roman" w:hAnsi="Times New Roman" w:cs="Times New Roman"/>
                <w:b/>
              </w:rPr>
              <w:t>56 115,7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496292" w14:textId="04DA3652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31C81">
              <w:rPr>
                <w:rFonts w:ascii="Times New Roman" w:hAnsi="Times New Roman" w:cs="Times New Roman"/>
                <w:b/>
              </w:rPr>
              <w:t>-280,9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5752A2" w14:textId="3107D2F3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898">
              <w:rPr>
                <w:rFonts w:ascii="Times New Roman" w:hAnsi="Times New Roman" w:cs="Times New Roman"/>
                <w:b/>
              </w:rPr>
              <w:t>-0,5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31C81" w:rsidRPr="00131C81" w14:paraId="45EDEFDD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23AEE5D1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07B345EA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038DE453" w14:textId="6B1009BA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36 959,6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757CEE1C" w14:textId="10B7524B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36 238,4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4C79D95" w14:textId="64C973C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-721,2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F54F40" w14:textId="3C4328D8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898">
              <w:rPr>
                <w:rFonts w:ascii="Times New Roman" w:hAnsi="Times New Roman" w:cs="Times New Roman"/>
                <w:i/>
              </w:rPr>
              <w:t>-2%</w:t>
            </w:r>
          </w:p>
        </w:tc>
      </w:tr>
      <w:tr w:rsidR="00131C81" w:rsidRPr="00131C81" w14:paraId="706E6CE3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5417D22B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30E69024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18348AB9" w14:textId="27329BF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7 079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32BAA649" w14:textId="60895CBB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7 401,5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D8A1882" w14:textId="30BDCD09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322,5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DB12D5" w14:textId="6AF66C73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898">
              <w:rPr>
                <w:rFonts w:ascii="Times New Roman" w:hAnsi="Times New Roman" w:cs="Times New Roman"/>
                <w:i/>
              </w:rPr>
              <w:t>4,6%</w:t>
            </w:r>
          </w:p>
        </w:tc>
      </w:tr>
      <w:tr w:rsidR="00131C81" w:rsidRPr="00131C81" w14:paraId="1129759D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575435E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54A3C47D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29B5E1C1" w14:textId="35C4481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12 358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41A263A2" w14:textId="5FA88F2B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12 475,8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DD51260" w14:textId="14E87F5E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117,8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2E9C28" w14:textId="6EED2C84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898">
              <w:rPr>
                <w:rFonts w:ascii="Times New Roman" w:hAnsi="Times New Roman" w:cs="Times New Roman"/>
                <w:i/>
              </w:rPr>
              <w:t>1%</w:t>
            </w:r>
          </w:p>
        </w:tc>
      </w:tr>
      <w:tr w:rsidR="00131C81" w:rsidRPr="00131C81" w14:paraId="35A14859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7E91BBA8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FFFFFF" w:themeFill="background1"/>
            <w:vAlign w:val="bottom"/>
            <w:hideMark/>
          </w:tcPr>
          <w:p w14:paraId="37D92201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 </w:t>
            </w:r>
            <w:proofErr w:type="spellStart"/>
            <w:r w:rsidRPr="00131C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т.ч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1FFA5183" w14:textId="5C224D5E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115DD9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E1C863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D14718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C81" w:rsidRPr="00131C81" w14:paraId="697AA010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0761560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3C2D0568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Акмолинская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26354498" w14:textId="0280F98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4 715,9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64953E94" w14:textId="5C4AD389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5 201,2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C8E98EB" w14:textId="5B808B5F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485,3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8D5175" w14:textId="5573D17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10,3%</w:t>
            </w:r>
          </w:p>
        </w:tc>
      </w:tr>
      <w:tr w:rsidR="00131C81" w:rsidRPr="00131C81" w14:paraId="2AA86D5A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205B663F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6D6E4FF5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3BFE5860" w14:textId="1104D6C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9 548,5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279123C8" w14:textId="0E1F27E9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9 484,1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6167F62" w14:textId="5F062000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-64,5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219045" w14:textId="2D00CD6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-0,7%</w:t>
            </w:r>
          </w:p>
        </w:tc>
      </w:tr>
      <w:tr w:rsidR="00131C81" w:rsidRPr="00131C81" w14:paraId="2D0007F1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1A77D7B6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029B1592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Алматинская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12973B36" w14:textId="05F09BE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5 140,5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4EC750CC" w14:textId="1E7BCAC8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5 276,5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F738C35" w14:textId="20FE0E95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D6AEE3" w14:textId="7FA4666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2,6%</w:t>
            </w:r>
          </w:p>
        </w:tc>
      </w:tr>
      <w:tr w:rsidR="00131C81" w:rsidRPr="00131C81" w14:paraId="551B757E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753D7B58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52B1D428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Атырауская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0B24DFAC" w14:textId="476F6AC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883,9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20A5747F" w14:textId="3A2D5EA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817,5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672E9A8" w14:textId="0478723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-66,4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7A8A62" w14:textId="7B785EFB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-7,5%</w:t>
            </w:r>
          </w:p>
        </w:tc>
      </w:tr>
      <w:tr w:rsidR="00131C81" w:rsidRPr="00131C81" w14:paraId="59A4C0BA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19773CD7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0E65CFC9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72E11707" w14:textId="1321EBD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2 419,6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403D4C8C" w14:textId="5B531C91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2 400,4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AAE6B02" w14:textId="17800913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-19,2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4BDE87" w14:textId="6E5BB9D0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-0,8%</w:t>
            </w:r>
          </w:p>
        </w:tc>
      </w:tr>
      <w:tr w:rsidR="00131C81" w:rsidRPr="00131C81" w14:paraId="0BE5EFF3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208277B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483665CA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Жамбылская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69EBE1D4" w14:textId="0BA79FB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10 864,4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19436DFD" w14:textId="689FF3A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9 653,6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ADF52EF" w14:textId="55B02903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-1 210,8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7D745C" w14:textId="6C0EBE1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-11,1%</w:t>
            </w:r>
          </w:p>
        </w:tc>
      </w:tr>
      <w:tr w:rsidR="00131C81" w:rsidRPr="00131C81" w14:paraId="45307C75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0F3300F1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32B7D1DA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50FA69CB" w14:textId="1D0DBD22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3 259,5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31B9632B" w14:textId="45D0718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3 370,2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01E3AF8" w14:textId="519693B5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110,7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C9077A" w14:textId="52896EE1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3,4%</w:t>
            </w:r>
          </w:p>
        </w:tc>
      </w:tr>
      <w:tr w:rsidR="00131C81" w:rsidRPr="00131C81" w14:paraId="7F4183C5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702363A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18B1EA23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7C7001AD" w14:textId="5D39D44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2 572,6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6FFD3631" w14:textId="6199013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2 618,3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014E8D0" w14:textId="1D6DFFFB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45,7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346CE0" w14:textId="3C57976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1,8%</w:t>
            </w:r>
          </w:p>
        </w:tc>
      </w:tr>
      <w:tr w:rsidR="00131C81" w:rsidRPr="00131C81" w14:paraId="7E230A15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0F6917D4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4DC3CBD9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Костанайская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6B7027A2" w14:textId="7EC7F371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3 386,8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48AD6FF5" w14:textId="2B25BB8E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3 405,2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0ACD874" w14:textId="25426E32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F8BACC" w14:textId="7F176F2A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0,5%</w:t>
            </w:r>
          </w:p>
        </w:tc>
      </w:tr>
      <w:tr w:rsidR="00131C81" w:rsidRPr="00131C81" w14:paraId="51DED6C6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2146D00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34A659F5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Кызылординская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6CD5CA31" w14:textId="79FD2EE4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1 246,9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60BAB0DC" w14:textId="301B8763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1 412,9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51FD9E3" w14:textId="3AFEA296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F6BDDE" w14:textId="35C9E48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13,3%</w:t>
            </w:r>
          </w:p>
        </w:tc>
      </w:tr>
      <w:tr w:rsidR="00131C81" w:rsidRPr="00131C81" w14:paraId="6B64C157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6CE23DB2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3E65D8B7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Мангистауская</w:t>
            </w:r>
            <w:proofErr w:type="spellEnd"/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6437B27B" w14:textId="77E931B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6 083,7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47C6F5E5" w14:textId="4C0E75D2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6 242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6D42A88" w14:textId="21CB3511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158,3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70832B" w14:textId="5D99F10A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2,6%</w:t>
            </w:r>
          </w:p>
        </w:tc>
      </w:tr>
      <w:tr w:rsidR="00131C81" w:rsidRPr="00131C81" w14:paraId="11799783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135A13B4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01B2A5DA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3D915E48" w14:textId="4502EA4C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2 741,3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0CDAD1F2" w14:textId="18F55920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2 899,4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1B4D69A" w14:textId="420690E8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158,1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99B9CC" w14:textId="0556561F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5,8%</w:t>
            </w:r>
          </w:p>
        </w:tc>
      </w:tr>
      <w:tr w:rsidR="00131C81" w:rsidRPr="00131C81" w14:paraId="3CFD10EC" w14:textId="77777777" w:rsidTr="00131C81">
        <w:trPr>
          <w:trHeight w:val="7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00B62C4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67CC3471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2004BECD" w14:textId="0C64D805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2 550,7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7118850D" w14:textId="560F0310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2 379,9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4B547F8" w14:textId="0141E0C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-170,8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96E5DC" w14:textId="1E4605E2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-6,7%</w:t>
            </w:r>
          </w:p>
        </w:tc>
      </w:tr>
      <w:tr w:rsidR="00131C81" w:rsidRPr="00B56A71" w14:paraId="759E3F04" w14:textId="77777777" w:rsidTr="00131C81">
        <w:trPr>
          <w:trHeight w:val="340"/>
        </w:trPr>
        <w:tc>
          <w:tcPr>
            <w:tcW w:w="615" w:type="dxa"/>
            <w:shd w:val="clear" w:color="auto" w:fill="FFFFFF" w:themeFill="background1"/>
            <w:vAlign w:val="center"/>
            <w:hideMark/>
          </w:tcPr>
          <w:p w14:paraId="537F0C11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FFFFFF" w:themeFill="background1"/>
            <w:vAlign w:val="center"/>
            <w:hideMark/>
          </w:tcPr>
          <w:p w14:paraId="4BFEDC50" w14:textId="7777777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1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Туркестанская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14:paraId="0B56D7BC" w14:textId="294092A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  <w:color w:val="000000"/>
              </w:rPr>
              <w:t>982,3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1D9F05A4" w14:textId="3593F354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954,5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8A81CD9" w14:textId="0E044D1D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-27,8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679A7B" w14:textId="1849C1E7" w:rsidR="00131C81" w:rsidRPr="00131C81" w:rsidRDefault="00131C81" w:rsidP="00131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31C81">
              <w:rPr>
                <w:rFonts w:ascii="Times New Roman" w:hAnsi="Times New Roman" w:cs="Times New Roman"/>
                <w:i/>
              </w:rPr>
              <w:t>-2,8%</w:t>
            </w:r>
          </w:p>
        </w:tc>
      </w:tr>
    </w:tbl>
    <w:p w14:paraId="52E47097" w14:textId="77777777" w:rsidR="004E6BB1" w:rsidRPr="00B56A71" w:rsidRDefault="004E6BB1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9" w:name="_Toc510196470"/>
    </w:p>
    <w:p w14:paraId="1A2C29C3" w14:textId="77777777" w:rsidR="00426C2D" w:rsidRPr="00B56A71" w:rsidRDefault="00426C2D" w:rsidP="00B56A71">
      <w:pPr>
        <w:shd w:val="clear" w:color="auto" w:fill="FFFFFF" w:themeFill="background1"/>
      </w:pPr>
    </w:p>
    <w:p w14:paraId="4D822CE4" w14:textId="77777777" w:rsidR="006A106B" w:rsidRPr="00B56A71" w:rsidRDefault="006A106B" w:rsidP="00B56A71">
      <w:pPr>
        <w:shd w:val="clear" w:color="auto" w:fill="FFFFFF" w:themeFill="background1"/>
      </w:pPr>
    </w:p>
    <w:p w14:paraId="2B4AD643" w14:textId="77777777" w:rsidR="00426C2D" w:rsidRPr="00B56A71" w:rsidRDefault="00426C2D" w:rsidP="00B56A71">
      <w:pPr>
        <w:shd w:val="clear" w:color="auto" w:fill="FFFFFF" w:themeFill="background1"/>
      </w:pPr>
    </w:p>
    <w:p w14:paraId="20C03FAD" w14:textId="77777777" w:rsidR="00220F66" w:rsidRPr="00B56A71" w:rsidRDefault="00031F5F" w:rsidP="00B56A71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104388604"/>
      <w:r w:rsidRPr="00B56A71">
        <w:rPr>
          <w:rFonts w:ascii="Times New Roman" w:hAnsi="Times New Roman" w:cs="Times New Roman"/>
          <w:i/>
          <w:color w:val="auto"/>
          <w:sz w:val="28"/>
        </w:rPr>
        <w:lastRenderedPageBreak/>
        <w:t>2.2</w:t>
      </w:r>
      <w:r w:rsidR="00220F66" w:rsidRPr="00B56A71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B56A71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B56A71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B56A71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B56A71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9"/>
      <w:proofErr w:type="spellStart"/>
      <w:r w:rsidR="00194BBF" w:rsidRPr="00B56A71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B56A71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B56A71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B56A71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0"/>
    </w:p>
    <w:p w14:paraId="0A579C21" w14:textId="77777777" w:rsidR="00220F66" w:rsidRPr="00B56A71" w:rsidRDefault="00220F66" w:rsidP="00B56A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E0D4E04" w14:textId="5C045E50" w:rsidR="00220F66" w:rsidRPr="00B56A71" w:rsidRDefault="009C30BA" w:rsidP="00B56A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t>За январь-</w:t>
      </w:r>
      <w:r w:rsidR="002063FD" w:rsidRPr="00B56A71">
        <w:rPr>
          <w:rFonts w:ascii="Times New Roman" w:hAnsi="Times New Roman" w:cs="Times New Roman"/>
          <w:sz w:val="28"/>
        </w:rPr>
        <w:t>июнь</w:t>
      </w:r>
      <w:r w:rsidRPr="00B56A71">
        <w:rPr>
          <w:rFonts w:ascii="Times New Roman" w:hAnsi="Times New Roman" w:cs="Times New Roman"/>
          <w:sz w:val="28"/>
        </w:rPr>
        <w:t xml:space="preserve"> 2022 года наблюдается снижение электропотребления потребителями</w:t>
      </w:r>
      <w:r w:rsidRPr="00B56A71">
        <w:rPr>
          <w:rFonts w:ascii="Times New Roman" w:hAnsi="Times New Roman" w:cs="Times New Roman"/>
        </w:rPr>
        <w:t xml:space="preserve"> </w:t>
      </w:r>
      <w:proofErr w:type="spellStart"/>
      <w:r w:rsidRPr="00B56A71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B56A71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B56A71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B56A71">
        <w:rPr>
          <w:rFonts w:ascii="Times New Roman" w:hAnsi="Times New Roman" w:cs="Times New Roman"/>
          <w:sz w:val="28"/>
        </w:rPr>
        <w:t xml:space="preserve"> организаций</w:t>
      </w:r>
      <w:r w:rsidR="0076489C" w:rsidRPr="00B56A71">
        <w:rPr>
          <w:rFonts w:ascii="Times New Roman" w:hAnsi="Times New Roman" w:cs="Times New Roman"/>
          <w:sz w:val="28"/>
        </w:rPr>
        <w:t>.</w:t>
      </w:r>
    </w:p>
    <w:p w14:paraId="3F76D9DA" w14:textId="77777777" w:rsidR="00220F66" w:rsidRPr="00B56A71" w:rsidRDefault="00220F66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3795"/>
        <w:gridCol w:w="1320"/>
        <w:gridCol w:w="1231"/>
        <w:gridCol w:w="1590"/>
        <w:gridCol w:w="1564"/>
      </w:tblGrid>
      <w:tr w:rsidR="00713B89" w:rsidRPr="00713B89" w14:paraId="7ADA82B4" w14:textId="77777777" w:rsidTr="00713B89">
        <w:trPr>
          <w:trHeight w:val="300"/>
        </w:trPr>
        <w:tc>
          <w:tcPr>
            <w:tcW w:w="53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D905756" w14:textId="1FEA5FC3" w:rsidR="00220F66" w:rsidRPr="00713B89" w:rsidRDefault="00531B1A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5736199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  <w:hideMark/>
          </w:tcPr>
          <w:p w14:paraId="2673FEE1" w14:textId="457485C0" w:rsidR="00220F66" w:rsidRPr="00713B89" w:rsidRDefault="00220F66" w:rsidP="003F1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Январь</w:t>
            </w:r>
            <w:r w:rsidR="006E752A" w:rsidRPr="00713B8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-</w:t>
            </w:r>
            <w:r w:rsidR="003F1C3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июнь</w:t>
            </w:r>
          </w:p>
        </w:tc>
        <w:tc>
          <w:tcPr>
            <w:tcW w:w="1590" w:type="dxa"/>
            <w:vMerge w:val="restart"/>
            <w:shd w:val="clear" w:color="auto" w:fill="FFFFFF" w:themeFill="background1"/>
            <w:vAlign w:val="center"/>
            <w:hideMark/>
          </w:tcPr>
          <w:p w14:paraId="4B05BE7A" w14:textId="77777777" w:rsidR="00220F66" w:rsidRPr="00713B89" w:rsidRDefault="00B4336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Δ</w:t>
            </w:r>
            <w:r w:rsidR="00220F66"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, млн. </w:t>
            </w:r>
            <w:proofErr w:type="spellStart"/>
            <w:r w:rsidR="00220F66"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4" w:type="dxa"/>
            <w:vMerge w:val="restart"/>
            <w:shd w:val="clear" w:color="auto" w:fill="FFFFFF" w:themeFill="background1"/>
            <w:vAlign w:val="center"/>
            <w:hideMark/>
          </w:tcPr>
          <w:p w14:paraId="366925C3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Δ, %</w:t>
            </w:r>
          </w:p>
        </w:tc>
      </w:tr>
      <w:tr w:rsidR="00713B89" w:rsidRPr="00713B89" w14:paraId="78609179" w14:textId="77777777" w:rsidTr="00713B89">
        <w:trPr>
          <w:trHeight w:val="315"/>
        </w:trPr>
        <w:tc>
          <w:tcPr>
            <w:tcW w:w="531" w:type="dxa"/>
            <w:vMerge/>
            <w:shd w:val="clear" w:color="auto" w:fill="FFFFFF" w:themeFill="background1"/>
            <w:vAlign w:val="center"/>
            <w:hideMark/>
          </w:tcPr>
          <w:p w14:paraId="2BD51D91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FFFFFF" w:themeFill="background1"/>
            <w:vAlign w:val="center"/>
            <w:hideMark/>
          </w:tcPr>
          <w:p w14:paraId="29DC05FD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14:paraId="78DE8B3B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</w:t>
            </w:r>
            <w:r w:rsidR="00194BBF"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год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14:paraId="0C904BDA" w14:textId="77777777" w:rsidR="00220F66" w:rsidRPr="00713B89" w:rsidRDefault="00194BBF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2022</w:t>
            </w:r>
            <w:r w:rsidR="00220F66"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vMerge/>
            <w:shd w:val="clear" w:color="auto" w:fill="FFFFFF" w:themeFill="background1"/>
            <w:vAlign w:val="center"/>
            <w:hideMark/>
          </w:tcPr>
          <w:p w14:paraId="16BA8F96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  <w:vAlign w:val="center"/>
            <w:hideMark/>
          </w:tcPr>
          <w:p w14:paraId="0E233979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13B89" w:rsidRPr="00713B89" w14:paraId="12D54849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vAlign w:val="center"/>
          </w:tcPr>
          <w:p w14:paraId="2BB9C9D7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14:paraId="118112C0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FB91AD5" w14:textId="161E4899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22 686,4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1B471102" w14:textId="32259280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21 841,7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06432FA" w14:textId="4119A692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-844,7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044B9A" w14:textId="05756D4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-3,7%</w:t>
            </w:r>
          </w:p>
        </w:tc>
      </w:tr>
      <w:tr w:rsidR="00713B89" w:rsidRPr="00713B89" w14:paraId="58AD982F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1B42DD62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6F33A94D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ERG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BF2F1B9" w14:textId="3492367C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7 578,3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2301EB3" w14:textId="168E4470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7 527,3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B16805C" w14:textId="721BF466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-50,9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472044" w14:textId="6E04D1D3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-0,7%</w:t>
            </w:r>
          </w:p>
        </w:tc>
      </w:tr>
      <w:tr w:rsidR="00713B89" w:rsidRPr="00713B89" w14:paraId="6A4F91A5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16B427DB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1869BBCD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 xml:space="preserve">ТОО «Корпорация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Казахмыс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2B5666A4" w14:textId="7779530F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1 887,7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2CAC59C7" w14:textId="4E609535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1 978,8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AFCE39C" w14:textId="09BD0E58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91,1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2B4B9FB" w14:textId="7875BFA2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</w:tr>
      <w:tr w:rsidR="00713B89" w:rsidRPr="00713B89" w14:paraId="41EFEB72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09936161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760B8912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Казцинк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339678A4" w14:textId="7FE51782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1 464,5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2E9F0438" w14:textId="09D2AF30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1 245,5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571AD9D" w14:textId="5C4E0BC3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-219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2EA3" w14:textId="03CED9E8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-15%</w:t>
            </w:r>
          </w:p>
        </w:tc>
      </w:tr>
      <w:tr w:rsidR="00713B89" w:rsidRPr="00713B89" w14:paraId="2F5384A0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2C285227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21E45E90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Арселор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Миттал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510C7D39" w14:textId="087DAD2A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1 868,3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672CD569" w14:textId="398F4A48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1 718,4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E0417F4" w14:textId="6508862E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-149,9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7BA51" w14:textId="1FAA176E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-8%</w:t>
            </w:r>
          </w:p>
        </w:tc>
      </w:tr>
      <w:tr w:rsidR="00713B89" w:rsidRPr="00713B89" w14:paraId="569568CB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3213C7BE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3BE280CA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ТОО «ККС»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7B73AB22" w14:textId="7EC9D03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3 288,9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1F792AD2" w14:textId="25666196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3 347,6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66C6A52" w14:textId="3FA61835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58,7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378FD4" w14:textId="06E43849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1,8%</w:t>
            </w:r>
          </w:p>
        </w:tc>
      </w:tr>
      <w:tr w:rsidR="00713B89" w:rsidRPr="00713B89" w14:paraId="6F2F4F40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3CE2171A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489D14BD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АО «ЦАЭК»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4D317DC3" w14:textId="2386172E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2 936,6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7EB27947" w14:textId="069D049B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2 808,1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FE39806" w14:textId="027C1744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-128,5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94BE223" w14:textId="137FE40D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-4,4%</w:t>
            </w:r>
          </w:p>
        </w:tc>
      </w:tr>
      <w:tr w:rsidR="00713B89" w:rsidRPr="00713B89" w14:paraId="222D2565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050031E1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7386404E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</w:pP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>Жамбылская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ru-RU"/>
              </w:rPr>
              <w:t xml:space="preserve"> ГРЭС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005DD9B0" w14:textId="71FF9140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1 159,6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14:paraId="2B74F767" w14:textId="688D8C11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701,6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143E251" w14:textId="6415E6E4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-458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4E129E" w14:textId="4F5FCF9E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-39,5%</w:t>
            </w:r>
          </w:p>
        </w:tc>
      </w:tr>
      <w:tr w:rsidR="00713B89" w:rsidRPr="00713B89" w14:paraId="52ED1EB9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3900600B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FFFFFF" w:themeFill="background1"/>
            <w:vAlign w:val="center"/>
            <w:hideMark/>
          </w:tcPr>
          <w:p w14:paraId="5E71635B" w14:textId="77777777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3EFD8056" w14:textId="64ECCB40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2 502,6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1E313AC3" w14:textId="449EA13F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2 514,4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1A8044F" w14:textId="5DC9CDAB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11,9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BA30C1" w14:textId="45E8DF9E" w:rsidR="002063FD" w:rsidRPr="00713B89" w:rsidRDefault="002063FD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</w:tr>
    </w:tbl>
    <w:p w14:paraId="6DC08B67" w14:textId="77777777" w:rsidR="00220F66" w:rsidRPr="00B56A71" w:rsidRDefault="00220F66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6CFFF" w14:textId="1B92583E" w:rsidR="009C30BA" w:rsidRPr="00B56A71" w:rsidRDefault="009C30BA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t>В январе-</w:t>
      </w:r>
      <w:r w:rsidR="00E50595" w:rsidRPr="00B56A71">
        <w:rPr>
          <w:rFonts w:ascii="Times New Roman" w:hAnsi="Times New Roman" w:cs="Times New Roman"/>
          <w:sz w:val="28"/>
        </w:rPr>
        <w:t>июне</w:t>
      </w:r>
      <w:r w:rsidRPr="00B56A71">
        <w:rPr>
          <w:rFonts w:ascii="Times New Roman" w:hAnsi="Times New Roman" w:cs="Times New Roman"/>
          <w:sz w:val="28"/>
        </w:rPr>
        <w:t xml:space="preserve"> 2022 года наблюдается рост потребления электроэнергии ко</w:t>
      </w:r>
      <w:r w:rsidR="00E50595" w:rsidRPr="00B56A71">
        <w:rPr>
          <w:rFonts w:ascii="Times New Roman" w:hAnsi="Times New Roman" w:cs="Times New Roman"/>
          <w:sz w:val="28"/>
        </w:rPr>
        <w:t>мпаниями АО «</w:t>
      </w:r>
      <w:proofErr w:type="spellStart"/>
      <w:r w:rsidR="00E50595" w:rsidRPr="00B56A71">
        <w:rPr>
          <w:rFonts w:ascii="Times New Roman" w:hAnsi="Times New Roman" w:cs="Times New Roman"/>
          <w:sz w:val="28"/>
        </w:rPr>
        <w:t>Самрук-Энерго</w:t>
      </w:r>
      <w:proofErr w:type="spellEnd"/>
      <w:r w:rsidR="00E50595" w:rsidRPr="00B56A71">
        <w:rPr>
          <w:rFonts w:ascii="Times New Roman" w:hAnsi="Times New Roman" w:cs="Times New Roman"/>
          <w:sz w:val="28"/>
        </w:rPr>
        <w:t xml:space="preserve">» на 66,1 млн. </w:t>
      </w:r>
      <w:proofErr w:type="spellStart"/>
      <w:r w:rsidR="00E50595" w:rsidRPr="00B56A71">
        <w:rPr>
          <w:rFonts w:ascii="Times New Roman" w:hAnsi="Times New Roman" w:cs="Times New Roman"/>
          <w:sz w:val="28"/>
        </w:rPr>
        <w:t>кВтч</w:t>
      </w:r>
      <w:proofErr w:type="spellEnd"/>
      <w:r w:rsidR="00E50595" w:rsidRPr="00B56A71">
        <w:rPr>
          <w:rFonts w:ascii="Times New Roman" w:hAnsi="Times New Roman" w:cs="Times New Roman"/>
          <w:sz w:val="28"/>
        </w:rPr>
        <w:t xml:space="preserve"> или на 1,7</w:t>
      </w:r>
      <w:r w:rsidRPr="00B56A71">
        <w:rPr>
          <w:rFonts w:ascii="Times New Roman" w:hAnsi="Times New Roman" w:cs="Times New Roman"/>
          <w:sz w:val="28"/>
        </w:rPr>
        <w:t>% в сравнении с аналогичными показателями 2021 год.</w:t>
      </w:r>
    </w:p>
    <w:p w14:paraId="30A8CA96" w14:textId="77777777" w:rsidR="00F861C7" w:rsidRPr="00B56A71" w:rsidRDefault="00F861C7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220F66" w:rsidRPr="00713B89" w14:paraId="2F649177" w14:textId="77777777" w:rsidTr="00713B89">
        <w:trPr>
          <w:trHeight w:val="300"/>
        </w:trPr>
        <w:tc>
          <w:tcPr>
            <w:tcW w:w="53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709A62" w14:textId="02DF88D0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A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531B1A" w:rsidRPr="00713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8DF7CCA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FFFFFF" w:themeFill="background1"/>
            <w:vAlign w:val="center"/>
            <w:hideMark/>
          </w:tcPr>
          <w:p w14:paraId="70C32D64" w14:textId="119F8D04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hAnsi="Times New Roman" w:cs="Times New Roman"/>
                <w:b/>
                <w:bCs/>
                <w:szCs w:val="24"/>
              </w:rPr>
              <w:t>Январь</w:t>
            </w:r>
            <w:r w:rsidR="006E752A" w:rsidRPr="00713B89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="00E50595" w:rsidRPr="00713B89">
              <w:rPr>
                <w:rFonts w:ascii="Times New Roman" w:hAnsi="Times New Roman" w:cs="Times New Roman"/>
                <w:b/>
                <w:bCs/>
                <w:szCs w:val="24"/>
              </w:rPr>
              <w:t>июнь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vAlign w:val="center"/>
            <w:hideMark/>
          </w:tcPr>
          <w:p w14:paraId="0AB157A2" w14:textId="77777777" w:rsidR="00220F66" w:rsidRPr="00713B89" w:rsidRDefault="00B4336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</w:t>
            </w:r>
            <w:r w:rsidR="00220F66"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, млн. </w:t>
            </w:r>
            <w:proofErr w:type="spellStart"/>
            <w:r w:rsidR="00220F66"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FFFFFF" w:themeFill="background1"/>
            <w:vAlign w:val="center"/>
            <w:hideMark/>
          </w:tcPr>
          <w:p w14:paraId="507B9088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Δ, %</w:t>
            </w:r>
          </w:p>
        </w:tc>
      </w:tr>
      <w:tr w:rsidR="00220F66" w:rsidRPr="00713B89" w14:paraId="50BD1B31" w14:textId="77777777" w:rsidTr="00713B89">
        <w:trPr>
          <w:trHeight w:val="315"/>
        </w:trPr>
        <w:tc>
          <w:tcPr>
            <w:tcW w:w="531" w:type="dxa"/>
            <w:vMerge/>
            <w:shd w:val="clear" w:color="auto" w:fill="FFFFFF" w:themeFill="background1"/>
            <w:vAlign w:val="center"/>
            <w:hideMark/>
          </w:tcPr>
          <w:p w14:paraId="402D56D3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shd w:val="clear" w:color="auto" w:fill="FFFFFF" w:themeFill="background1"/>
            <w:vAlign w:val="center"/>
            <w:hideMark/>
          </w:tcPr>
          <w:p w14:paraId="2668B944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  <w:hideMark/>
          </w:tcPr>
          <w:p w14:paraId="1A982CAA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</w:t>
            </w:r>
            <w:r w:rsidR="00194BBF"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193" w:type="dxa"/>
            <w:shd w:val="clear" w:color="auto" w:fill="FFFFFF" w:themeFill="background1"/>
            <w:vAlign w:val="center"/>
            <w:hideMark/>
          </w:tcPr>
          <w:p w14:paraId="5AF629C2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</w:t>
            </w:r>
            <w:r w:rsidR="00194BBF"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Pr="00713B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  <w:hideMark/>
          </w:tcPr>
          <w:p w14:paraId="30ACD391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  <w:vAlign w:val="center"/>
            <w:hideMark/>
          </w:tcPr>
          <w:p w14:paraId="713D1E37" w14:textId="77777777" w:rsidR="00220F66" w:rsidRPr="00713B89" w:rsidRDefault="00220F66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E50595" w:rsidRPr="00713B89" w14:paraId="365E85E5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vAlign w:val="center"/>
            <w:hideMark/>
          </w:tcPr>
          <w:p w14:paraId="01C90058" w14:textId="549049E2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FFFFFF" w:themeFill="background1"/>
            <w:vAlign w:val="center"/>
            <w:hideMark/>
          </w:tcPr>
          <w:p w14:paraId="171EE5C5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Самрук-Энерго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7617A15" w14:textId="7061CB56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 </w:t>
            </w:r>
            <w:r w:rsid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952,5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11953500" w14:textId="48D8CFA8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4 018,6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241EEB69" w14:textId="50185B62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66,1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139EDA4" w14:textId="4E0515BF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13B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E50595" w:rsidRPr="00713B89" w14:paraId="463E7EB9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63436972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FFFFFF" w:themeFill="background1"/>
            <w:noWrap/>
            <w:vAlign w:val="center"/>
            <w:hideMark/>
          </w:tcPr>
          <w:p w14:paraId="2C3130A7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76244245" w14:textId="78FF9FCC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151,5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680F3578" w14:textId="2F181478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153,9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2A8325B8" w14:textId="319E16E8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2,4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44AD79E" w14:textId="22E43ACA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/>
              </w:rPr>
              <w:t>1,6%</w:t>
            </w:r>
          </w:p>
        </w:tc>
      </w:tr>
      <w:tr w:rsidR="00E50595" w:rsidRPr="00713B89" w14:paraId="599E21DC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66904D21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FFFFFF" w:themeFill="background1"/>
            <w:noWrap/>
            <w:vAlign w:val="center"/>
            <w:hideMark/>
          </w:tcPr>
          <w:p w14:paraId="48EBE798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АлатауЖарык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Компаниясы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D208EAF" w14:textId="0021628D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478,8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050E8899" w14:textId="621CB8CF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518,5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199B11D4" w14:textId="02FB1B1C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39,7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D07A6FD" w14:textId="4FA660C3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/>
              </w:rPr>
              <w:t>8,3%</w:t>
            </w:r>
          </w:p>
        </w:tc>
      </w:tr>
      <w:tr w:rsidR="00E50595" w:rsidRPr="00B56A71" w14:paraId="03CAE635" w14:textId="77777777" w:rsidTr="00713B89">
        <w:trPr>
          <w:trHeight w:val="340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14:paraId="2285C8C5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FFFFFF" w:themeFill="background1"/>
            <w:noWrap/>
            <w:vAlign w:val="center"/>
            <w:hideMark/>
          </w:tcPr>
          <w:p w14:paraId="0173EADD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705C3BA" w14:textId="562F6098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3 322,2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14:paraId="13328D31" w14:textId="3444A830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3 346,2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155F4ED8" w14:textId="4C144B5B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460773C" w14:textId="718B140F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713B89">
              <w:rPr>
                <w:rFonts w:ascii="Times New Roman" w:hAnsi="Times New Roman" w:cs="Times New Roman"/>
                <w:bCs/>
                <w:i/>
                <w:color w:val="000000"/>
              </w:rPr>
              <w:t>0,7%</w:t>
            </w:r>
          </w:p>
        </w:tc>
      </w:tr>
    </w:tbl>
    <w:p w14:paraId="3D064CFE" w14:textId="77777777" w:rsidR="002E292E" w:rsidRPr="00B56A71" w:rsidRDefault="002E292E" w:rsidP="00B56A71">
      <w:pPr>
        <w:pStyle w:val="a3"/>
        <w:keepNext/>
        <w:keepLines/>
        <w:shd w:val="clear" w:color="auto" w:fill="FFFFFF" w:themeFill="background1"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1" w:name="_Toc510196469"/>
      <w:bookmarkStart w:id="12" w:name="_Toc507606021"/>
    </w:p>
    <w:p w14:paraId="502C9EE9" w14:textId="2208621E" w:rsidR="00961F76" w:rsidRPr="00B56A71" w:rsidRDefault="008A1BD0" w:rsidP="00B56A71">
      <w:pPr>
        <w:pStyle w:val="a3"/>
        <w:keepNext/>
        <w:keepLines/>
        <w:shd w:val="clear" w:color="auto" w:fill="FFFFFF" w:themeFill="background1"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r w:rsidRPr="00B56A71">
        <w:rPr>
          <w:rFonts w:ascii="Times New Roman" w:eastAsiaTheme="majorEastAsia" w:hAnsi="Times New Roman" w:cs="Times New Roman"/>
          <w:i/>
          <w:sz w:val="28"/>
          <w:szCs w:val="32"/>
        </w:rPr>
        <w:t>2.</w:t>
      </w:r>
      <w:r w:rsidRPr="00B56A71">
        <w:rPr>
          <w:rFonts w:ascii="Times New Roman" w:eastAsiaTheme="majorEastAsia" w:hAnsi="Times New Roman" w:cs="Times New Roman"/>
          <w:i/>
          <w:sz w:val="28"/>
          <w:szCs w:val="32"/>
          <w:lang w:val="en-US"/>
        </w:rPr>
        <w:t>3</w:t>
      </w:r>
      <w:r w:rsidR="00E342DF" w:rsidRPr="00B56A71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bookmarkStart w:id="13" w:name="_Toc104388608"/>
      <w:r w:rsidR="001855B1" w:rsidRPr="00B56A71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1"/>
      <w:bookmarkEnd w:id="13"/>
    </w:p>
    <w:p w14:paraId="5AD925B0" w14:textId="77777777" w:rsidR="00BB5A83" w:rsidRPr="00B56A71" w:rsidRDefault="00BB5A83" w:rsidP="00B56A71">
      <w:pPr>
        <w:pStyle w:val="a3"/>
        <w:keepNext/>
        <w:keepLines/>
        <w:shd w:val="clear" w:color="auto" w:fill="FFFFFF" w:themeFill="background1"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49216653" w:rsidR="009C30BA" w:rsidRPr="00B56A71" w:rsidRDefault="009C30BA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sz w:val="28"/>
          <w:szCs w:val="28"/>
        </w:rPr>
        <w:t>За январь-</w:t>
      </w:r>
      <w:r w:rsidR="00E50595" w:rsidRPr="00B56A71">
        <w:rPr>
          <w:rFonts w:ascii="Times New Roman" w:hAnsi="Times New Roman" w:cs="Times New Roman"/>
          <w:sz w:val="28"/>
          <w:szCs w:val="28"/>
        </w:rPr>
        <w:t>июнь</w:t>
      </w:r>
      <w:r w:rsidRPr="00B56A71">
        <w:rPr>
          <w:rFonts w:ascii="Times New Roman" w:hAnsi="Times New Roman" w:cs="Times New Roman"/>
          <w:sz w:val="28"/>
          <w:szCs w:val="28"/>
        </w:rPr>
        <w:t xml:space="preserve"> 2022 года по отношению к аналогичному периоду 2021 года потребление электроэнергии по крупным потребителям </w:t>
      </w:r>
      <w:r w:rsidR="00E50595" w:rsidRPr="00B56A71">
        <w:rPr>
          <w:rFonts w:ascii="Times New Roman" w:hAnsi="Times New Roman" w:cs="Times New Roman"/>
          <w:sz w:val="28"/>
          <w:szCs w:val="28"/>
        </w:rPr>
        <w:t>уменьшилось</w:t>
      </w:r>
      <w:r w:rsidRPr="00B56A71">
        <w:rPr>
          <w:rFonts w:ascii="Times New Roman" w:hAnsi="Times New Roman" w:cs="Times New Roman"/>
          <w:sz w:val="28"/>
          <w:szCs w:val="28"/>
        </w:rPr>
        <w:t xml:space="preserve"> на </w:t>
      </w:r>
      <w:r w:rsidR="00E50595" w:rsidRPr="00B56A71">
        <w:rPr>
          <w:rFonts w:ascii="Times New Roman" w:hAnsi="Times New Roman" w:cs="Times New Roman"/>
          <w:sz w:val="28"/>
          <w:szCs w:val="28"/>
        </w:rPr>
        <w:t>28,4</w:t>
      </w:r>
      <w:r w:rsidRPr="00B56A7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 или на 0,</w:t>
      </w:r>
      <w:r w:rsidR="00E50595" w:rsidRPr="00B56A71">
        <w:rPr>
          <w:rFonts w:ascii="Times New Roman" w:hAnsi="Times New Roman" w:cs="Times New Roman"/>
          <w:sz w:val="28"/>
          <w:szCs w:val="28"/>
        </w:rPr>
        <w:t>2</w:t>
      </w:r>
      <w:r w:rsidRPr="00B56A7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B9DFB3C" w14:textId="77777777" w:rsidR="001855B1" w:rsidRPr="00B56A71" w:rsidRDefault="001855B1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6A71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1855B1" w:rsidRPr="00713B89" w14:paraId="7E59A958" w14:textId="77777777" w:rsidTr="00713B89">
        <w:trPr>
          <w:trHeight w:val="324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  <w:hideMark/>
          </w:tcPr>
          <w:p w14:paraId="46BBE30B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FFFFFF" w:themeFill="background1"/>
            <w:vAlign w:val="center"/>
            <w:hideMark/>
          </w:tcPr>
          <w:p w14:paraId="31020A51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FFFFFF" w:themeFill="background1"/>
            <w:vAlign w:val="center"/>
          </w:tcPr>
          <w:p w14:paraId="36529FCA" w14:textId="64AADB52" w:rsidR="001855B1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Январь-июнь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C8E479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FFFFFF" w:themeFill="background1"/>
            <w:vAlign w:val="center"/>
          </w:tcPr>
          <w:p w14:paraId="27F1B280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855B1" w:rsidRPr="00713B89" w14:paraId="61481E95" w14:textId="77777777" w:rsidTr="00713B89">
        <w:trPr>
          <w:trHeight w:val="324"/>
        </w:trPr>
        <w:tc>
          <w:tcPr>
            <w:tcW w:w="845" w:type="dxa"/>
            <w:vMerge/>
            <w:shd w:val="clear" w:color="auto" w:fill="FFFFFF" w:themeFill="background1"/>
            <w:vAlign w:val="center"/>
            <w:hideMark/>
          </w:tcPr>
          <w:p w14:paraId="50C294CC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shd w:val="clear" w:color="auto" w:fill="FFFFFF" w:themeFill="background1"/>
            <w:vAlign w:val="center"/>
            <w:hideMark/>
          </w:tcPr>
          <w:p w14:paraId="53D32B74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6D6B5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DD7C83A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A29372F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14:paraId="3A36BEF2" w14:textId="77777777" w:rsidR="001855B1" w:rsidRPr="00713B89" w:rsidRDefault="001855B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13B89" w:rsidRPr="00713B89" w14:paraId="262A0F8C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26CA1DB6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32E291F4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061861" w14:textId="67F0393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1 868,3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9E219CE" w14:textId="69A19F38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1 852,9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04C223" w14:textId="7F3957D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-15,4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7B988B6F" w14:textId="5629914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-0,8%</w:t>
            </w:r>
          </w:p>
        </w:tc>
      </w:tr>
      <w:tr w:rsidR="00713B89" w:rsidRPr="00713B89" w14:paraId="7AA03916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36A328D4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2C6224FC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319477" w14:textId="008A750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2 699,7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519668F" w14:textId="0C0023C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2 527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8040CF" w14:textId="2CE7504A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-172,8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05431C45" w14:textId="503F40E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-6,4%</w:t>
            </w:r>
          </w:p>
        </w:tc>
      </w:tr>
      <w:tr w:rsidR="00713B89" w:rsidRPr="00713B89" w14:paraId="646BAAD7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6FBAFFC5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73F30F4A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9E8B49" w14:textId="54732EE1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576,8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3523DAC" w14:textId="11B31F81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632,3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14B444" w14:textId="7D5044CE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55,5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36548B2A" w14:textId="79FE6A8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9,6%</w:t>
            </w:r>
          </w:p>
        </w:tc>
      </w:tr>
      <w:tr w:rsidR="00713B89" w:rsidRPr="00713B89" w14:paraId="2DB18F6E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1185D91E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56E713A9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EA2A56" w14:textId="018964E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1 394,3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7670D52" w14:textId="4E3D2D26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1 380,8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6C1CE" w14:textId="5BEC595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-13,5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61F5CC75" w14:textId="14B7D0A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-1%</w:t>
            </w:r>
          </w:p>
        </w:tc>
      </w:tr>
      <w:tr w:rsidR="00713B89" w:rsidRPr="00713B89" w14:paraId="7D7874D4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0FD82A28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72D60709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D8E18D" w14:textId="374AA6A3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818,9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7651ACAB" w14:textId="61D4FA2B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778,1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A2325" w14:textId="633AB073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-40,8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3B030235" w14:textId="1168F5B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-5%</w:t>
            </w:r>
          </w:p>
        </w:tc>
      </w:tr>
      <w:tr w:rsidR="00713B89" w:rsidRPr="00713B89" w14:paraId="504898DC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1126F775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1EF00285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9D78F0" w14:textId="3242972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646,1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C357A1C" w14:textId="1BD7771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661,2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A65CE" w14:textId="64C492E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15,1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50405D50" w14:textId="7CD16453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2,3%</w:t>
            </w:r>
          </w:p>
        </w:tc>
      </w:tr>
      <w:tr w:rsidR="00713B89" w:rsidRPr="00713B89" w14:paraId="3BFC1595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0C1CFEC0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4F65C286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E4600E" w14:textId="3B5C871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1 554,3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0D45B69B" w14:textId="09E4D43F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1 560,2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7B10A8" w14:textId="1F72498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5,9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7A3AC748" w14:textId="6AC11BED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0,4%</w:t>
            </w:r>
          </w:p>
        </w:tc>
      </w:tr>
      <w:tr w:rsidR="00713B89" w:rsidRPr="00713B89" w14:paraId="518DD908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50D4DBDB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11033B86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РГП «Канал им.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Сатпаева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0F4AC9" w14:textId="6A0C0CDD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125,8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9B4E953" w14:textId="6AAF583E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136,3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67C2A2" w14:textId="1DD3CE6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10,5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43A2A482" w14:textId="3217D99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8,4%</w:t>
            </w:r>
          </w:p>
        </w:tc>
      </w:tr>
      <w:tr w:rsidR="00713B89" w:rsidRPr="00713B89" w14:paraId="462C6726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49CBDE86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2D24939F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40058A" w14:textId="02443CA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963,3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0621639E" w14:textId="7CB2519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1 009,5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F747D7" w14:textId="2C3990A2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46,1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2E8BD9B9" w14:textId="2CC5DDEE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4,8%</w:t>
            </w:r>
          </w:p>
        </w:tc>
      </w:tr>
      <w:tr w:rsidR="00713B89" w:rsidRPr="00713B89" w14:paraId="03938E67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307DE796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692A239B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«НДФЗ» </w:t>
            </w:r>
          </w:p>
          <w:p w14:paraId="10A4E168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(входит в структуру ТОО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67FC12" w14:textId="4A57BE4D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810,1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03DF53C" w14:textId="7A5FBCAC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846,1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5EF90" w14:textId="1CD267A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3CF44F50" w14:textId="4BCB8C0D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4,4%</w:t>
            </w:r>
          </w:p>
        </w:tc>
      </w:tr>
      <w:tr w:rsidR="00713B89" w:rsidRPr="00713B89" w14:paraId="250BB7A2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4ECAACD4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50552FAF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Таразский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133146" w14:textId="44E0F71B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160,5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E564F6D" w14:textId="690F91C6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30,3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31F252" w14:textId="7502115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-130,2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772A18F0" w14:textId="6172B16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-81,1%</w:t>
            </w:r>
          </w:p>
        </w:tc>
      </w:tr>
      <w:tr w:rsidR="00713B89" w:rsidRPr="00713B89" w14:paraId="70D95A3F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4D9092D9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3E5E763C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EAA8BF" w14:textId="3556A6BF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302,7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D589621" w14:textId="5531480D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370,5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845BA8" w14:textId="212538A8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67,8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42BD3CFC" w14:textId="675A433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22,4%</w:t>
            </w:r>
          </w:p>
        </w:tc>
      </w:tr>
      <w:tr w:rsidR="00713B89" w:rsidRPr="00713B89" w14:paraId="0C058D78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5D6826C2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7FA3D4B0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235993" w14:textId="701067A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940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303D23" w14:textId="6CD25ED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949,1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A62E4D" w14:textId="13D0CA9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9,1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394AF77F" w14:textId="671184A3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1%</w:t>
            </w:r>
          </w:p>
        </w:tc>
      </w:tr>
      <w:tr w:rsidR="00713B89" w:rsidRPr="00713B89" w14:paraId="672A60D4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4C10EF43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40B7BFCC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45C282" w14:textId="52EDD83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471,2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343E76A" w14:textId="1BE20CE2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484,6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11C6D1" w14:textId="6864D832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13,4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28051CB0" w14:textId="5CF2B939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2,8%</w:t>
            </w:r>
          </w:p>
        </w:tc>
      </w:tr>
      <w:tr w:rsidR="00713B89" w:rsidRPr="00713B89" w14:paraId="4E485ACE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5FD19D80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07941457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DD031A" w14:textId="7DFB2140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1 885,1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77CCF0CE" w14:textId="21582804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1 873,3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3F126A" w14:textId="4BA62478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-11,8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6AB21E7C" w14:textId="551DA80E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-0,6%</w:t>
            </w:r>
          </w:p>
        </w:tc>
      </w:tr>
      <w:tr w:rsidR="00713B89" w:rsidRPr="00713B89" w14:paraId="7FFA480B" w14:textId="77777777" w:rsidTr="00713B89">
        <w:trPr>
          <w:trHeight w:val="340"/>
        </w:trPr>
        <w:tc>
          <w:tcPr>
            <w:tcW w:w="845" w:type="dxa"/>
            <w:shd w:val="clear" w:color="auto" w:fill="FFFFFF" w:themeFill="background1"/>
            <w:vAlign w:val="center"/>
            <w:hideMark/>
          </w:tcPr>
          <w:p w14:paraId="48D06FEB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FFFFFF" w:themeFill="background1"/>
            <w:vAlign w:val="center"/>
            <w:hideMark/>
          </w:tcPr>
          <w:p w14:paraId="7F627777" w14:textId="77777777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DFC0C" w14:textId="3B474EE8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2 618,9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050B6740" w14:textId="0609493F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i/>
                <w:lang w:eastAsia="ru-RU"/>
              </w:rPr>
              <w:t>2 479,2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84C4B7" w14:textId="38D2E406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B89">
              <w:rPr>
                <w:rFonts w:ascii="Times New Roman" w:hAnsi="Times New Roman" w:cs="Times New Roman"/>
                <w:i/>
              </w:rPr>
              <w:t>-139,7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7D7B5860" w14:textId="37DB5348" w:rsidR="00713B89" w:rsidRPr="00713B89" w:rsidRDefault="00713B89" w:rsidP="00713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16A0">
              <w:rPr>
                <w:rFonts w:ascii="Times New Roman" w:hAnsi="Times New Roman" w:cs="Times New Roman"/>
                <w:i/>
              </w:rPr>
              <w:t>-5,3%</w:t>
            </w:r>
          </w:p>
        </w:tc>
      </w:tr>
      <w:tr w:rsidR="00E50595" w:rsidRPr="00B56A71" w14:paraId="071AA03F" w14:textId="77777777" w:rsidTr="00713B89">
        <w:trPr>
          <w:trHeight w:val="340"/>
        </w:trPr>
        <w:tc>
          <w:tcPr>
            <w:tcW w:w="5812" w:type="dxa"/>
            <w:gridSpan w:val="2"/>
            <w:shd w:val="clear" w:color="auto" w:fill="FFFFFF" w:themeFill="background1"/>
            <w:vAlign w:val="center"/>
            <w:hideMark/>
          </w:tcPr>
          <w:p w14:paraId="3FAAC0DD" w14:textId="77777777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4B5A34C" w14:textId="3E28CFF1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lang w:eastAsia="ru-RU"/>
              </w:rPr>
              <w:t>17 026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7465941" w14:textId="5615CF50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lang w:eastAsia="ru-RU"/>
              </w:rPr>
              <w:t>16 997,6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DAC066" w14:textId="4F0BA55B" w:rsidR="00E50595" w:rsidRPr="00713B89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lang w:eastAsia="ru-RU"/>
              </w:rPr>
              <w:t>-28,4</w:t>
            </w:r>
          </w:p>
        </w:tc>
        <w:tc>
          <w:tcPr>
            <w:tcW w:w="1038" w:type="dxa"/>
            <w:shd w:val="clear" w:color="auto" w:fill="FFFFFF" w:themeFill="background1"/>
            <w:vAlign w:val="center"/>
            <w:hideMark/>
          </w:tcPr>
          <w:p w14:paraId="6313BBDB" w14:textId="657B2303" w:rsidR="00E50595" w:rsidRPr="00B56A71" w:rsidRDefault="00E5059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lang w:eastAsia="ru-RU"/>
              </w:rPr>
              <w:t>-0,2</w:t>
            </w:r>
            <w:r w:rsidR="00713B8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14:paraId="35B9A8AE" w14:textId="77777777" w:rsidR="00677ED6" w:rsidRPr="00B56A71" w:rsidRDefault="00677ED6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77777777" w:rsidR="00BB5A83" w:rsidRPr="00B56A71" w:rsidRDefault="00EF54F8" w:rsidP="00B56A71">
      <w:pPr>
        <w:pStyle w:val="1"/>
        <w:numPr>
          <w:ilvl w:val="1"/>
          <w:numId w:val="43"/>
        </w:numPr>
        <w:shd w:val="clear" w:color="auto" w:fill="FFFFFF" w:themeFill="background1"/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04388609"/>
      <w:bookmarkEnd w:id="12"/>
      <w:r w:rsidRPr="00B56A71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14"/>
    </w:p>
    <w:p w14:paraId="56FCE798" w14:textId="77777777" w:rsidR="00BB5A83" w:rsidRPr="00B56A71" w:rsidRDefault="00BB5A83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6105C039" w14:textId="72E75DEF" w:rsidR="00CB71FC" w:rsidRPr="00B56A71" w:rsidRDefault="00CB71F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</w:t>
      </w:r>
      <w:r w:rsidR="00E50595" w:rsidRPr="00B56A71">
        <w:rPr>
          <w:rFonts w:ascii="Times New Roman" w:hAnsi="Times New Roman" w:cs="Times New Roman"/>
          <w:sz w:val="28"/>
          <w:szCs w:val="28"/>
        </w:rPr>
        <w:t>июне</w:t>
      </w:r>
      <w:r w:rsidRPr="00B56A71">
        <w:rPr>
          <w:rFonts w:ascii="Times New Roman" w:hAnsi="Times New Roman" w:cs="Times New Roman"/>
          <w:sz w:val="28"/>
          <w:szCs w:val="28"/>
        </w:rPr>
        <w:t xml:space="preserve"> 2022 года экспорт в РФ составил </w:t>
      </w:r>
      <w:r w:rsidR="00E50595" w:rsidRPr="00B56A71">
        <w:rPr>
          <w:rFonts w:ascii="Times New Roman" w:hAnsi="Times New Roman" w:cs="Times New Roman"/>
          <w:sz w:val="28"/>
          <w:szCs w:val="28"/>
        </w:rPr>
        <w:t>512,3</w:t>
      </w:r>
      <w:r w:rsidRPr="00B56A7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="00E50595" w:rsidRPr="00B56A71">
        <w:rPr>
          <w:rFonts w:ascii="Times New Roman" w:hAnsi="Times New Roman" w:cs="Times New Roman"/>
          <w:sz w:val="28"/>
          <w:szCs w:val="28"/>
        </w:rPr>
        <w:t>595,3</w:t>
      </w:r>
      <w:r w:rsidRPr="00B56A7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>.</w:t>
      </w:r>
    </w:p>
    <w:p w14:paraId="282E4C0A" w14:textId="5E6E6ED4" w:rsidR="00F17D61" w:rsidRPr="00B56A71" w:rsidRDefault="00CB71F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</w:t>
      </w:r>
      <w:r w:rsidR="00E50595" w:rsidRPr="00B56A71">
        <w:rPr>
          <w:rFonts w:ascii="Times New Roman" w:hAnsi="Times New Roman" w:cs="Times New Roman"/>
          <w:sz w:val="28"/>
          <w:szCs w:val="28"/>
        </w:rPr>
        <w:t>490,2</w:t>
      </w:r>
      <w:r w:rsidRPr="00B56A7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</w:t>
      </w:r>
      <w:r w:rsidR="00E50595" w:rsidRPr="00B56A71">
        <w:rPr>
          <w:rFonts w:ascii="Times New Roman" w:hAnsi="Times New Roman" w:cs="Times New Roman"/>
          <w:sz w:val="28"/>
          <w:szCs w:val="28"/>
        </w:rPr>
        <w:t>504,7</w:t>
      </w:r>
      <w:r w:rsidRPr="00B56A7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B56A7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56A71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77777777" w:rsidR="00EF54F8" w:rsidRPr="00B56A71" w:rsidRDefault="00EF54F8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56A7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713B89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0F36FAC8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713B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="00B56A71"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713B89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713B89" w:rsidRDefault="00D66043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6A71" w:rsidRPr="00713B89" w14:paraId="5ABB7F65" w14:textId="77777777" w:rsidTr="00713B89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4B465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94A80" w14:textId="688A697C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BF919" w14:textId="20FDAB0A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023CC" w14:textId="656E9D82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A42A6" w14:textId="4EDE2902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-35,8</w:t>
            </w:r>
            <w:r w:rsid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56A71" w:rsidRPr="00713B89" w14:paraId="24AE4320" w14:textId="77777777" w:rsidTr="00713B89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C1BE7" w14:textId="5EC02621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71993" w14:textId="3334E336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D0023" w14:textId="26F6EC35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-77,1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AE91F" w14:textId="3BD8214C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17,7</w:t>
            </w:r>
            <w:r w:rsidR="00713B89"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B56A71" w:rsidRPr="00713B89" w14:paraId="56B27A6F" w14:textId="77777777" w:rsidTr="00713B89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76E4" w14:textId="74DF794E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-1 022,4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DDA5A" w14:textId="0BA245FA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-423,6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E7A25" w14:textId="5AAFAFB8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598,8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0DA45" w14:textId="6D8225D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-58,6</w:t>
            </w:r>
            <w:r w:rsidR="00713B89"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B56A71" w:rsidRPr="00713B89" w14:paraId="361E0AB9" w14:textId="77777777" w:rsidTr="00713B89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D7582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1E248" w14:textId="12446BEB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2A6C5" w14:textId="745FD36A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49966" w14:textId="49E534E6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DC2FC" w14:textId="34F2A304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  <w:r w:rsid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56A71" w:rsidRPr="00713B89" w14:paraId="317FE6E3" w14:textId="77777777" w:rsidTr="00713B89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A1916" w14:textId="7972F161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11645" w14:textId="499927D9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00E29" w14:textId="2A895E31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C2478" w14:textId="5B64984F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26,7</w:t>
            </w:r>
            <w:r w:rsidR="00713B89" w:rsidRPr="00713B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B56A71" w:rsidRPr="00B56A71" w14:paraId="1FA82525" w14:textId="77777777" w:rsidTr="00713B89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85A1" w14:textId="77777777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"+" дефицит,"-"избыток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E51A0" w14:textId="419EE400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E1C52" w14:textId="44F81BBD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174A5" w14:textId="0BBE21AB" w:rsidR="00B56A71" w:rsidRPr="00713B89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4A559" w14:textId="3D33EFF5" w:rsidR="00B56A71" w:rsidRPr="00B56A71" w:rsidRDefault="00B56A71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-71,2</w:t>
            </w:r>
            <w:r w:rsidR="00713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</w:tbl>
    <w:p w14:paraId="10A5BFCE" w14:textId="77777777" w:rsidR="000F513C" w:rsidRPr="00B56A71" w:rsidRDefault="000F513C" w:rsidP="00B56A71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77777777" w:rsidR="000F513C" w:rsidRPr="00B56A71" w:rsidRDefault="00BB5A83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B56A71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B56A71" w:rsidRDefault="00A32670" w:rsidP="00B56A71">
      <w:pPr>
        <w:pStyle w:val="1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104388613"/>
      <w:r w:rsidRPr="00B56A71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16" w:name="_Toc510196473"/>
      <w:bookmarkEnd w:id="15"/>
    </w:p>
    <w:p w14:paraId="178D5724" w14:textId="77777777" w:rsidR="00AD64FC" w:rsidRPr="00B56A71" w:rsidRDefault="00AD64FC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bookmarkEnd w:id="16"/>
    <w:p w14:paraId="0D502750" w14:textId="77777777" w:rsidR="00713B89" w:rsidRPr="00F74570" w:rsidRDefault="00713B89" w:rsidP="00713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70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июне</w:t>
      </w:r>
      <w:r w:rsidRPr="00F74570">
        <w:rPr>
          <w:rFonts w:ascii="Times New Roman" w:hAnsi="Times New Roman" w:cs="Times New Roman"/>
          <w:sz w:val="28"/>
          <w:szCs w:val="28"/>
        </w:rPr>
        <w:t xml:space="preserve"> </w:t>
      </w:r>
      <w:r w:rsidRPr="00F74570">
        <w:rPr>
          <w:rFonts w:ascii="Times New Roman" w:hAnsi="Times New Roman" w:cs="Times New Roman"/>
          <w:sz w:val="28"/>
          <w:szCs w:val="28"/>
        </w:rPr>
        <w:br/>
        <w:t xml:space="preserve">2022 года добыто </w:t>
      </w:r>
      <w:r w:rsidRPr="00AC7F7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7F73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C7F73">
        <w:rPr>
          <w:rFonts w:ascii="Times New Roman" w:hAnsi="Times New Roman" w:cs="Times New Roman"/>
          <w:sz w:val="28"/>
          <w:szCs w:val="28"/>
        </w:rPr>
        <w:t>8</w:t>
      </w:r>
      <w:r w:rsidRPr="00F74570">
        <w:rPr>
          <w:rFonts w:ascii="Times New Roman" w:hAnsi="Times New Roman" w:cs="Times New Roman"/>
          <w:sz w:val="28"/>
          <w:szCs w:val="28"/>
        </w:rPr>
        <w:t xml:space="preserve"> тыс. тонн каменного угля, что на 6,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570">
        <w:rPr>
          <w:rFonts w:ascii="Times New Roman" w:hAnsi="Times New Roman" w:cs="Times New Roman"/>
          <w:sz w:val="28"/>
          <w:szCs w:val="28"/>
        </w:rPr>
        <w:t>% больше чем за аналогичный период 2021 года (</w:t>
      </w:r>
      <w:r>
        <w:rPr>
          <w:rFonts w:ascii="Times New Roman" w:hAnsi="Times New Roman" w:cs="Times New Roman"/>
          <w:sz w:val="28"/>
          <w:szCs w:val="28"/>
          <w:lang w:val="kk-KZ"/>
        </w:rPr>
        <w:t>52 147</w:t>
      </w:r>
      <w:r w:rsidRPr="00F7457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570">
        <w:rPr>
          <w:rFonts w:ascii="Times New Roman" w:hAnsi="Times New Roman" w:cs="Times New Roman"/>
          <w:sz w:val="28"/>
          <w:szCs w:val="28"/>
        </w:rPr>
        <w:t xml:space="preserve"> тыс. тонн).</w:t>
      </w:r>
    </w:p>
    <w:p w14:paraId="5FB2C92E" w14:textId="77777777" w:rsidR="000E75C2" w:rsidRPr="00B56A71" w:rsidRDefault="000E75C2" w:rsidP="00B56A71">
      <w:pPr>
        <w:shd w:val="clear" w:color="auto" w:fill="FFFFFF" w:themeFill="background1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6A71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713B89" w14:paraId="1E9EF225" w14:textId="77777777" w:rsidTr="00713B89">
        <w:trPr>
          <w:trHeight w:val="274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68DCD2E8" w14:textId="2EB8B800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FFFFFF" w:themeFill="background1"/>
            <w:vAlign w:val="center"/>
          </w:tcPr>
          <w:p w14:paraId="7A940F61" w14:textId="2AC97AFD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D1EFB2B" w14:textId="6336B3C4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июнь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966F12" w14:textId="13A6EFA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E2FE632" w14:textId="10CA8064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713B89" w14:paraId="0F5EC809" w14:textId="77777777" w:rsidTr="00713B89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64278" w14:textId="3F5C8763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0C64B" w14:textId="59BBB48A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B89" w:rsidRPr="00713B89" w14:paraId="2D77D1ED" w14:textId="77777777" w:rsidTr="00713B89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D0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713B89" w:rsidRPr="00713B89" w:rsidRDefault="00713B89" w:rsidP="00713B8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i/>
              </w:rPr>
            </w:pPr>
            <w:r w:rsidRPr="00713B89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BB06" w14:textId="082C0601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32 284,8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4AA4C" w14:textId="3B321E9B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33 881,3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260CA2" w14:textId="2F858B64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1 596,5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99B1" w14:textId="30FC0359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4,9%</w:t>
            </w:r>
          </w:p>
        </w:tc>
      </w:tr>
      <w:tr w:rsidR="00713B89" w:rsidRPr="00713B89" w14:paraId="20A5EB81" w14:textId="77777777" w:rsidTr="00713B89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D0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713B89" w:rsidRPr="00713B89" w:rsidRDefault="00713B89" w:rsidP="00713B8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i/>
              </w:rPr>
            </w:pPr>
            <w:r w:rsidRPr="00713B89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E601" w14:textId="2FB91C9A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15 943,5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985A8" w14:textId="501BC034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16 347,8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29814E" w14:textId="249B6AD5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404,3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702B" w14:textId="150354BB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2,5%</w:t>
            </w:r>
          </w:p>
        </w:tc>
      </w:tr>
      <w:tr w:rsidR="00713B89" w:rsidRPr="00713B89" w14:paraId="6D1C5776" w14:textId="77777777" w:rsidTr="00713B89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D0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713B89" w:rsidRPr="00713B89" w:rsidRDefault="00713B89" w:rsidP="00713B8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i/>
              </w:rPr>
            </w:pPr>
            <w:r w:rsidRPr="00713B89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99B7" w14:textId="1661D3B1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 xml:space="preserve">  3 669,8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FE270" w14:textId="06DFDCA7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4 004,2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EBE2D" w14:textId="627B5520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334,4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295DE" w14:textId="289C4D2D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3B89">
              <w:rPr>
                <w:rFonts w:ascii="Times New Roman" w:hAnsi="Times New Roman" w:cs="Times New Roman"/>
                <w:i/>
                <w:color w:val="000000"/>
              </w:rPr>
              <w:t>9,1%</w:t>
            </w:r>
          </w:p>
        </w:tc>
      </w:tr>
      <w:tr w:rsidR="00713B89" w:rsidRPr="00B56A71" w14:paraId="247DF3FE" w14:textId="77777777" w:rsidTr="00713B89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735446C5" w14:textId="77777777" w:rsidR="00713B89" w:rsidRPr="00713B89" w:rsidRDefault="00713B89" w:rsidP="00713B8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32BEBFB" w14:textId="5EC9A4CB" w:rsidR="00713B89" w:rsidRPr="00713B89" w:rsidRDefault="00713B89" w:rsidP="00713B8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7D070C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ABC3" w14:textId="0CA75F5B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F73">
              <w:rPr>
                <w:rFonts w:ascii="Times New Roman" w:hAnsi="Times New Roman" w:cs="Times New Roman"/>
                <w:b/>
                <w:bCs/>
              </w:rPr>
              <w:t xml:space="preserve">  52 147,2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3ECB" w14:textId="40CC0E5E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17A">
              <w:rPr>
                <w:rFonts w:ascii="Times New Roman" w:hAnsi="Times New Roman" w:cs="Times New Roman"/>
                <w:b/>
                <w:bCs/>
              </w:rPr>
              <w:t xml:space="preserve">  55 341,8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1FD240" w14:textId="6E02358F" w:rsidR="00713B89" w:rsidRPr="00713B89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517A">
              <w:rPr>
                <w:rFonts w:ascii="Times New Roman" w:hAnsi="Times New Roman" w:cs="Times New Roman"/>
                <w:b/>
                <w:color w:val="000000"/>
              </w:rPr>
              <w:t xml:space="preserve">  3 194,6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DFA8" w14:textId="0F497A1D" w:rsidR="00713B89" w:rsidRPr="00B56A71" w:rsidRDefault="00713B89" w:rsidP="00713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70C">
              <w:rPr>
                <w:rFonts w:ascii="Times New Roman" w:hAnsi="Times New Roman" w:cs="Times New Roman"/>
                <w:b/>
                <w:color w:val="000000"/>
              </w:rPr>
              <w:t>6,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7D070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B56A71" w:rsidRDefault="0092430A" w:rsidP="00B56A7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EC03B" w14:textId="77777777" w:rsidR="00713B89" w:rsidRPr="00713B89" w:rsidRDefault="00713B89" w:rsidP="00713B8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89">
        <w:rPr>
          <w:rFonts w:ascii="Times New Roman" w:hAnsi="Times New Roman" w:cs="Times New Roman"/>
          <w:sz w:val="28"/>
          <w:szCs w:val="28"/>
        </w:rPr>
        <w:t xml:space="preserve">В январе-июне 2022 года ТОО «Богатырь </w:t>
      </w:r>
      <w:proofErr w:type="spellStart"/>
      <w:r w:rsidRPr="00713B89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713B89">
        <w:rPr>
          <w:rFonts w:ascii="Times New Roman" w:hAnsi="Times New Roman" w:cs="Times New Roman"/>
          <w:sz w:val="28"/>
          <w:szCs w:val="28"/>
        </w:rPr>
        <w:t xml:space="preserve">» добыто 21 832,8 тыс. тонн, что на 1,8% меньше, чем за соответствующий период 2021 года (22 243,5 тыс. тонн).  </w:t>
      </w:r>
    </w:p>
    <w:p w14:paraId="10316031" w14:textId="77777777" w:rsidR="00713B89" w:rsidRPr="00713B89" w:rsidRDefault="00713B89" w:rsidP="00713B8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89">
        <w:rPr>
          <w:rFonts w:ascii="Times New Roman" w:hAnsi="Times New Roman" w:cs="Times New Roman"/>
          <w:sz w:val="28"/>
          <w:szCs w:val="28"/>
        </w:rPr>
        <w:t>Реализованный объем угля в январе-июне 2022 года составил 21 905,2 тыс. тонн, из них на внутренний рынок РК 16 583 тыс. тонн, что на 9% меньше, чем за аналогичный период 2021 года (18 229,6 тыс. тонн) и на экспорт (РФ) – 5 322,2 тыс. тонн, что на 24,1% больше, чем за соответствующий период 2021 года (4 287,4 тыс. тонн).</w:t>
      </w:r>
    </w:p>
    <w:p w14:paraId="4C96D063" w14:textId="5143F996" w:rsidR="00BA4728" w:rsidRPr="00B56A71" w:rsidRDefault="00713B89" w:rsidP="00713B8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13B89">
        <w:rPr>
          <w:rFonts w:ascii="Times New Roman" w:hAnsi="Times New Roman" w:cs="Times New Roman"/>
          <w:sz w:val="28"/>
          <w:szCs w:val="28"/>
        </w:rPr>
        <w:t xml:space="preserve">По показателям за январь-июнь 2022 года в сравнении с аналогичными показателями в 2021 году в ТОО «Богатырь </w:t>
      </w:r>
      <w:proofErr w:type="spellStart"/>
      <w:r w:rsidRPr="00713B89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713B89">
        <w:rPr>
          <w:rFonts w:ascii="Times New Roman" w:hAnsi="Times New Roman" w:cs="Times New Roman"/>
          <w:sz w:val="28"/>
          <w:szCs w:val="28"/>
        </w:rPr>
        <w:t xml:space="preserve">» наблюдается снижение реализации угля на 611,7 тыс. тонн или на 2,7%. </w:t>
      </w:r>
      <w:r w:rsidR="00BA4728" w:rsidRPr="00B56A71">
        <w:rPr>
          <w:rFonts w:ascii="Times New Roman" w:hAnsi="Times New Roman" w:cs="Times New Roman"/>
          <w:i/>
          <w:sz w:val="24"/>
        </w:rPr>
        <w:t xml:space="preserve"> </w:t>
      </w:r>
    </w:p>
    <w:p w14:paraId="75388BC5" w14:textId="77777777" w:rsidR="00305F73" w:rsidRPr="00B56A71" w:rsidRDefault="00BC7B85" w:rsidP="00B56A71">
      <w:pPr>
        <w:shd w:val="clear" w:color="auto" w:fill="FFFFFF" w:themeFill="background1"/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B56A71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B56A71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AA202C" w14:paraId="6EDD4C85" w14:textId="77777777" w:rsidTr="00AA202C">
        <w:trPr>
          <w:trHeight w:val="36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55701ED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45F1903A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F36E493" w14:textId="2E1A867D" w:rsidR="00E73EE7" w:rsidRPr="00AA202C" w:rsidRDefault="00E73EE7" w:rsidP="00AA202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Январь</w:t>
            </w:r>
            <w:r w:rsidR="005217BE" w:rsidRPr="00AA202C">
              <w:rPr>
                <w:rFonts w:ascii="Times New Roman" w:hAnsi="Times New Roman" w:cs="Times New Roman"/>
                <w:b/>
              </w:rPr>
              <w:t>-</w:t>
            </w:r>
            <w:r w:rsidR="00AA202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7EBBDA2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Δ,</w:t>
            </w:r>
            <w:r w:rsidRPr="00AA202C">
              <w:rPr>
                <w:rFonts w:ascii="Times New Roman" w:hAnsi="Times New Roman" w:cs="Times New Roman"/>
              </w:rPr>
              <w:t xml:space="preserve"> </w:t>
            </w:r>
            <w:r w:rsidRPr="00AA202C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  <w:vAlign w:val="center"/>
          </w:tcPr>
          <w:p w14:paraId="09D6CEB7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AA202C" w14:paraId="0DA04F45" w14:textId="77777777" w:rsidTr="00AA202C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670C79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563EEC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AA202C" w:rsidRDefault="00E73EE7" w:rsidP="00B56A7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2C" w:rsidRPr="00AA202C" w14:paraId="08846164" w14:textId="77777777" w:rsidTr="00FF7CF4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AA202C" w:rsidRPr="00AA202C" w:rsidRDefault="00AA202C" w:rsidP="00AA202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E16D5F3" w14:textId="507E0E3C" w:rsidR="00AA202C" w:rsidRPr="00AA202C" w:rsidRDefault="00AA202C" w:rsidP="00AA202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18 229,6</w:t>
            </w:r>
          </w:p>
        </w:tc>
        <w:tc>
          <w:tcPr>
            <w:tcW w:w="1559" w:type="dxa"/>
            <w:shd w:val="clear" w:color="auto" w:fill="FFFFFF" w:themeFill="background1"/>
          </w:tcPr>
          <w:p w14:paraId="6D1A9DD9" w14:textId="684CD55B" w:rsidR="00AA202C" w:rsidRPr="00AA202C" w:rsidRDefault="00AA202C" w:rsidP="00AA202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16 583</w:t>
            </w:r>
          </w:p>
        </w:tc>
        <w:tc>
          <w:tcPr>
            <w:tcW w:w="1134" w:type="dxa"/>
            <w:shd w:val="clear" w:color="auto" w:fill="FFFFFF" w:themeFill="background1"/>
          </w:tcPr>
          <w:p w14:paraId="31266E1E" w14:textId="6C8DDDEC" w:rsidR="00AA202C" w:rsidRPr="00AA202C" w:rsidRDefault="00AA202C" w:rsidP="00AA202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-1 646,6</w:t>
            </w:r>
          </w:p>
        </w:tc>
        <w:tc>
          <w:tcPr>
            <w:tcW w:w="1461" w:type="dxa"/>
            <w:shd w:val="clear" w:color="auto" w:fill="FFFFFF" w:themeFill="background1"/>
          </w:tcPr>
          <w:p w14:paraId="2A5B381C" w14:textId="7F117113" w:rsidR="00AA202C" w:rsidRPr="00AA202C" w:rsidRDefault="00AA202C" w:rsidP="00AA20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-9%</w:t>
            </w:r>
          </w:p>
        </w:tc>
      </w:tr>
      <w:tr w:rsidR="00AA202C" w:rsidRPr="00B56A71" w14:paraId="73603C29" w14:textId="77777777" w:rsidTr="00AA202C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AA202C" w:rsidRPr="00AA202C" w:rsidRDefault="00AA202C" w:rsidP="00AA202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  <w:r w:rsidRPr="00AA202C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78FD81" w14:textId="75426EDF" w:rsidR="00AA202C" w:rsidRPr="00AA202C" w:rsidRDefault="00AA202C" w:rsidP="00AA202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0925">
              <w:rPr>
                <w:rFonts w:ascii="Times New Roman" w:hAnsi="Times New Roman" w:cs="Times New Roman"/>
                <w:b/>
              </w:rPr>
              <w:t>4 287,4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A1FDDA" w14:textId="0C9433C5" w:rsidR="00AA202C" w:rsidRPr="00AA202C" w:rsidRDefault="00AA202C" w:rsidP="00AA20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925">
              <w:rPr>
                <w:rFonts w:ascii="Times New Roman" w:hAnsi="Times New Roman" w:cs="Times New Roman"/>
                <w:b/>
              </w:rPr>
              <w:t>5 322,2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9472AE" w14:textId="1445DE86" w:rsidR="00AA202C" w:rsidRPr="00AA202C" w:rsidRDefault="00AA202C" w:rsidP="00AA20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0925">
              <w:rPr>
                <w:rFonts w:ascii="Times New Roman" w:hAnsi="Times New Roman" w:cs="Times New Roman"/>
                <w:b/>
                <w:lang w:val="en-US"/>
              </w:rPr>
              <w:t>1 034,8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470058EC" w14:textId="7957F911" w:rsidR="00AA202C" w:rsidRPr="00B56A71" w:rsidRDefault="00AA202C" w:rsidP="00AA20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  <w:r w:rsidRPr="007D070C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C641641" w14:textId="77777777" w:rsidR="000318EE" w:rsidRPr="00B56A71" w:rsidRDefault="000318EE" w:rsidP="00B56A71">
      <w:pPr>
        <w:pStyle w:val="1"/>
        <w:shd w:val="clear" w:color="auto" w:fill="FFFFFF" w:themeFill="background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  <w:bookmarkStart w:id="17" w:name="_Toc503289885"/>
      <w:bookmarkStart w:id="18" w:name="_Toc104388614"/>
    </w:p>
    <w:p w14:paraId="079EBBDE" w14:textId="77777777" w:rsidR="000318EE" w:rsidRPr="00B56A71" w:rsidRDefault="000318EE" w:rsidP="00B56A71">
      <w:pPr>
        <w:pStyle w:val="1"/>
        <w:shd w:val="clear" w:color="auto" w:fill="FFFFFF" w:themeFill="background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</w:p>
    <w:p w14:paraId="6F99D6F0" w14:textId="77777777" w:rsidR="000318EE" w:rsidRPr="00B56A71" w:rsidRDefault="000318EE" w:rsidP="00B56A71">
      <w:pPr>
        <w:pStyle w:val="1"/>
        <w:shd w:val="clear" w:color="auto" w:fill="FFFFFF" w:themeFill="background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BD7A43A" w14:textId="77777777" w:rsidR="000318EE" w:rsidRPr="00B56A71" w:rsidRDefault="000318EE" w:rsidP="00B56A71">
      <w:pPr>
        <w:shd w:val="clear" w:color="auto" w:fill="FFFFFF" w:themeFill="background1"/>
      </w:pPr>
    </w:p>
    <w:p w14:paraId="1AC44CC5" w14:textId="77777777" w:rsidR="000318EE" w:rsidRPr="00B56A71" w:rsidRDefault="000318EE" w:rsidP="00B56A71">
      <w:pPr>
        <w:shd w:val="clear" w:color="auto" w:fill="FFFFFF" w:themeFill="background1"/>
      </w:pPr>
    </w:p>
    <w:p w14:paraId="77C1D33E" w14:textId="77777777" w:rsidR="000318EE" w:rsidRPr="00B56A71" w:rsidRDefault="000318EE" w:rsidP="00B56A71">
      <w:pPr>
        <w:shd w:val="clear" w:color="auto" w:fill="FFFFFF" w:themeFill="background1"/>
      </w:pPr>
    </w:p>
    <w:p w14:paraId="61D1DBC5" w14:textId="77777777" w:rsidR="000318EE" w:rsidRPr="00B56A71" w:rsidRDefault="000318EE" w:rsidP="00B56A71">
      <w:pPr>
        <w:shd w:val="clear" w:color="auto" w:fill="FFFFFF" w:themeFill="background1"/>
      </w:pPr>
    </w:p>
    <w:p w14:paraId="4AE90449" w14:textId="77777777" w:rsidR="000318EE" w:rsidRPr="00B56A71" w:rsidRDefault="000318EE" w:rsidP="00B56A71">
      <w:pPr>
        <w:shd w:val="clear" w:color="auto" w:fill="FFFFFF" w:themeFill="background1"/>
      </w:pPr>
    </w:p>
    <w:p w14:paraId="685637B0" w14:textId="77777777" w:rsidR="000318EE" w:rsidRPr="00B56A71" w:rsidRDefault="000318EE" w:rsidP="00B56A71">
      <w:pPr>
        <w:shd w:val="clear" w:color="auto" w:fill="FFFFFF" w:themeFill="background1"/>
      </w:pPr>
    </w:p>
    <w:p w14:paraId="4EA34C9A" w14:textId="77777777" w:rsidR="000318EE" w:rsidRPr="00B56A71" w:rsidRDefault="000318EE" w:rsidP="00B56A71">
      <w:pPr>
        <w:shd w:val="clear" w:color="auto" w:fill="FFFFFF" w:themeFill="background1"/>
      </w:pPr>
    </w:p>
    <w:p w14:paraId="69BE9ED6" w14:textId="77777777" w:rsidR="000318EE" w:rsidRPr="00B56A71" w:rsidRDefault="000318EE" w:rsidP="00B56A71">
      <w:pPr>
        <w:shd w:val="clear" w:color="auto" w:fill="FFFFFF" w:themeFill="background1"/>
      </w:pPr>
    </w:p>
    <w:p w14:paraId="50E0715A" w14:textId="77777777" w:rsidR="000318EE" w:rsidRPr="00B56A71" w:rsidRDefault="000318EE" w:rsidP="00B56A71">
      <w:pPr>
        <w:shd w:val="clear" w:color="auto" w:fill="FFFFFF" w:themeFill="background1"/>
      </w:pPr>
    </w:p>
    <w:p w14:paraId="28D03E93" w14:textId="20A6658B" w:rsidR="006C42DB" w:rsidRPr="00B56A71" w:rsidRDefault="006C42DB" w:rsidP="00B56A71">
      <w:pPr>
        <w:pStyle w:val="1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56A71">
        <w:rPr>
          <w:rFonts w:ascii="Times New Roman" w:hAnsi="Times New Roman" w:cs="Times New Roman"/>
          <w:b/>
          <w:color w:val="auto"/>
        </w:rPr>
        <w:lastRenderedPageBreak/>
        <w:t>Возобновляемые источники энергии</w:t>
      </w:r>
      <w:bookmarkEnd w:id="17"/>
      <w:bookmarkEnd w:id="18"/>
    </w:p>
    <w:p w14:paraId="57FD667E" w14:textId="77777777" w:rsidR="00327D81" w:rsidRPr="00B56A71" w:rsidRDefault="00327D81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2F51C87D" w14:textId="4A12F26D" w:rsidR="00F52587" w:rsidRPr="00B56A71" w:rsidRDefault="00F52587" w:rsidP="00B56A71">
      <w:pPr>
        <w:pStyle w:val="1"/>
        <w:numPr>
          <w:ilvl w:val="1"/>
          <w:numId w:val="10"/>
        </w:numPr>
        <w:shd w:val="clear" w:color="auto" w:fill="FFFFFF" w:themeFill="background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104388615"/>
      <w:r w:rsidRPr="00B56A71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19"/>
    </w:p>
    <w:p w14:paraId="6F853FA5" w14:textId="77777777" w:rsidR="00756921" w:rsidRPr="00B56A71" w:rsidRDefault="00756921" w:rsidP="00B56A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46BD7173" w14:textId="76E56561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 xml:space="preserve">По данным Министерства энергетики РК объем производства электроэнергии объектами по использованию ВИЭ (СЭС, ВЭС, БГС, малые ГЭС) РК за январь-июнь 2022 года составил 2 392,5 млн. </w:t>
      </w:r>
      <w:proofErr w:type="spellStart"/>
      <w:r w:rsidRPr="00AA202C">
        <w:rPr>
          <w:rFonts w:ascii="Times New Roman" w:hAnsi="Times New Roman" w:cs="Times New Roman"/>
          <w:sz w:val="28"/>
        </w:rPr>
        <w:t>кВтч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. В сравнении с январем-июнем 2021 года </w:t>
      </w:r>
      <w:r w:rsidR="00822DB8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="00822DB8">
        <w:rPr>
          <w:rFonts w:ascii="Times New Roman" w:hAnsi="Times New Roman" w:cs="Times New Roman"/>
          <w:sz w:val="28"/>
        </w:rPr>
        <w:t xml:space="preserve">   </w:t>
      </w:r>
      <w:r w:rsidRPr="00AA202C">
        <w:rPr>
          <w:rFonts w:ascii="Times New Roman" w:hAnsi="Times New Roman" w:cs="Times New Roman"/>
          <w:sz w:val="28"/>
        </w:rPr>
        <w:t>(</w:t>
      </w:r>
      <w:proofErr w:type="gramEnd"/>
      <w:r w:rsidRPr="00AA202C">
        <w:rPr>
          <w:rFonts w:ascii="Times New Roman" w:hAnsi="Times New Roman" w:cs="Times New Roman"/>
          <w:sz w:val="28"/>
        </w:rPr>
        <w:t xml:space="preserve">2 011,9 млн. </w:t>
      </w:r>
      <w:proofErr w:type="spellStart"/>
      <w:r w:rsidRPr="00AA202C">
        <w:rPr>
          <w:rFonts w:ascii="Times New Roman" w:hAnsi="Times New Roman" w:cs="Times New Roman"/>
          <w:sz w:val="28"/>
        </w:rPr>
        <w:t>кВтч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) прирост составил 380,6 млн. </w:t>
      </w:r>
      <w:proofErr w:type="spellStart"/>
      <w:r w:rsidRPr="00AA202C">
        <w:rPr>
          <w:rFonts w:ascii="Times New Roman" w:hAnsi="Times New Roman" w:cs="Times New Roman"/>
          <w:sz w:val="28"/>
        </w:rPr>
        <w:t>кВтч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 или 18,9%. Повышение производства электроэнергии наблюдается на ВЭС, СЭС и малых ГЭС по сравнению с аналогичным периодом 2021 года, в то время как объем выработки БГУ снизился по сравнению с прошлым годом.</w:t>
      </w:r>
    </w:p>
    <w:p w14:paraId="6CB610DC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 xml:space="preserve">Всего по данным Министерства энергетики РК на июнь 2022 года в Казахстане действует 140 объектов ВИЭ (ВЭС - 893,95МВт; СЭС - 1147,51МВт; Малые ГЭС – 280,98МВт; </w:t>
      </w:r>
      <w:proofErr w:type="spellStart"/>
      <w:r w:rsidRPr="00AA202C">
        <w:rPr>
          <w:rFonts w:ascii="Times New Roman" w:hAnsi="Times New Roman" w:cs="Times New Roman"/>
          <w:sz w:val="28"/>
        </w:rPr>
        <w:t>БиоЭС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 – 7,82МВт).</w:t>
      </w:r>
    </w:p>
    <w:p w14:paraId="1FB1AEBA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>С начала года введено в эксплуатацию 6 объектов суммарной мощностью 269,9 МВт:</w:t>
      </w:r>
    </w:p>
    <w:p w14:paraId="7E88D123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>- СЭС ТОО «</w:t>
      </w:r>
      <w:proofErr w:type="spellStart"/>
      <w:r w:rsidRPr="00AA202C">
        <w:rPr>
          <w:rFonts w:ascii="Times New Roman" w:hAnsi="Times New Roman" w:cs="Times New Roman"/>
          <w:sz w:val="28"/>
        </w:rPr>
        <w:t>АлматыЭнергоПроджект</w:t>
      </w:r>
      <w:proofErr w:type="spellEnd"/>
      <w:r w:rsidRPr="00AA202C">
        <w:rPr>
          <w:rFonts w:ascii="Times New Roman" w:hAnsi="Times New Roman" w:cs="Times New Roman"/>
          <w:sz w:val="28"/>
        </w:rPr>
        <w:t>» 4,95МВт;</w:t>
      </w:r>
    </w:p>
    <w:p w14:paraId="61CC1510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>- СЭС «</w:t>
      </w:r>
      <w:proofErr w:type="spellStart"/>
      <w:r w:rsidRPr="00AA202C">
        <w:rPr>
          <w:rFonts w:ascii="Times New Roman" w:hAnsi="Times New Roman" w:cs="Times New Roman"/>
          <w:sz w:val="28"/>
        </w:rPr>
        <w:t>Айша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» ТОО «AEC </w:t>
      </w:r>
      <w:proofErr w:type="spellStart"/>
      <w:r w:rsidRPr="00AA202C">
        <w:rPr>
          <w:rFonts w:ascii="Times New Roman" w:hAnsi="Times New Roman" w:cs="Times New Roman"/>
          <w:sz w:val="28"/>
        </w:rPr>
        <w:t>Asa</w:t>
      </w:r>
      <w:proofErr w:type="spellEnd"/>
      <w:r w:rsidRPr="00AA202C">
        <w:rPr>
          <w:rFonts w:ascii="Times New Roman" w:hAnsi="Times New Roman" w:cs="Times New Roman"/>
          <w:sz w:val="28"/>
        </w:rPr>
        <w:t>» 50 МВт;</w:t>
      </w:r>
    </w:p>
    <w:p w14:paraId="6D50EFA2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>- СЭС «</w:t>
      </w:r>
      <w:proofErr w:type="spellStart"/>
      <w:r w:rsidRPr="00AA202C">
        <w:rPr>
          <w:rFonts w:ascii="Times New Roman" w:hAnsi="Times New Roman" w:cs="Times New Roman"/>
          <w:sz w:val="28"/>
        </w:rPr>
        <w:t>Макпал</w:t>
      </w:r>
      <w:proofErr w:type="spellEnd"/>
      <w:r w:rsidRPr="00AA202C">
        <w:rPr>
          <w:rFonts w:ascii="Times New Roman" w:hAnsi="Times New Roman" w:cs="Times New Roman"/>
          <w:sz w:val="28"/>
        </w:rPr>
        <w:t>» ТОО «Инженерная Арена» 4,95МВт;</w:t>
      </w:r>
    </w:p>
    <w:p w14:paraId="55061E79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AA202C">
        <w:rPr>
          <w:rFonts w:ascii="Times New Roman" w:hAnsi="Times New Roman" w:cs="Times New Roman"/>
          <w:sz w:val="28"/>
        </w:rPr>
        <w:t>Шелек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 ТОО «Жеруйык </w:t>
      </w:r>
      <w:proofErr w:type="spellStart"/>
      <w:r w:rsidRPr="00AA202C">
        <w:rPr>
          <w:rFonts w:ascii="Times New Roman" w:hAnsi="Times New Roman" w:cs="Times New Roman"/>
          <w:sz w:val="28"/>
        </w:rPr>
        <w:t>Энерго</w:t>
      </w:r>
      <w:proofErr w:type="spellEnd"/>
      <w:r w:rsidRPr="00AA202C">
        <w:rPr>
          <w:rFonts w:ascii="Times New Roman" w:hAnsi="Times New Roman" w:cs="Times New Roman"/>
          <w:sz w:val="28"/>
        </w:rPr>
        <w:t>» 50МВт;</w:t>
      </w:r>
    </w:p>
    <w:p w14:paraId="66CBF546" w14:textId="77777777" w:rsidR="00AA202C" w:rsidRP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AA202C">
        <w:rPr>
          <w:rFonts w:ascii="Times New Roman" w:hAnsi="Times New Roman" w:cs="Times New Roman"/>
          <w:sz w:val="28"/>
        </w:rPr>
        <w:t>Шелек</w:t>
      </w:r>
      <w:proofErr w:type="spellEnd"/>
      <w:r w:rsidRPr="00AA202C">
        <w:rPr>
          <w:rFonts w:ascii="Times New Roman" w:hAnsi="Times New Roman" w:cs="Times New Roman"/>
          <w:sz w:val="28"/>
        </w:rPr>
        <w:t xml:space="preserve"> ТОО «Энергия Семиречья» 60МВт;</w:t>
      </w:r>
    </w:p>
    <w:p w14:paraId="3608F23D" w14:textId="398D7F28" w:rsidR="00AA202C" w:rsidRDefault="00AA202C" w:rsidP="00AA20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>- ТОО ВЭС Абай-1, 100 МВт.</w:t>
      </w:r>
    </w:p>
    <w:p w14:paraId="0D0D4929" w14:textId="77777777" w:rsidR="00AA202C" w:rsidRPr="00AA202C" w:rsidRDefault="00AA202C" w:rsidP="00AA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02C">
        <w:rPr>
          <w:rFonts w:ascii="Times New Roman" w:hAnsi="Times New Roman" w:cs="Times New Roman"/>
          <w:sz w:val="28"/>
        </w:rPr>
        <w:t xml:space="preserve">По данным Системного оператора объем электроэнергии от объектов ВИЭ, поступающий в ЕЭС РК составил 2 383,0 </w:t>
      </w:r>
      <w:proofErr w:type="spellStart"/>
      <w:r w:rsidRPr="00AA202C">
        <w:rPr>
          <w:rFonts w:ascii="Times New Roman" w:hAnsi="Times New Roman" w:cs="Times New Roman"/>
          <w:sz w:val="28"/>
        </w:rPr>
        <w:t>млн.кВтч</w:t>
      </w:r>
      <w:proofErr w:type="spellEnd"/>
      <w:r w:rsidRPr="00AA202C">
        <w:rPr>
          <w:rFonts w:ascii="Times New Roman" w:hAnsi="Times New Roman" w:cs="Times New Roman"/>
          <w:sz w:val="28"/>
        </w:rPr>
        <w:t>.</w:t>
      </w:r>
    </w:p>
    <w:p w14:paraId="1BD3815D" w14:textId="77777777" w:rsidR="008364B1" w:rsidRPr="00B56A71" w:rsidRDefault="008364B1" w:rsidP="00B56A7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56A7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992"/>
        <w:gridCol w:w="1418"/>
        <w:gridCol w:w="992"/>
        <w:gridCol w:w="827"/>
        <w:gridCol w:w="895"/>
      </w:tblGrid>
      <w:tr w:rsidR="007D7642" w:rsidRPr="00AA202C" w14:paraId="1258F7FE" w14:textId="77777777" w:rsidTr="00AA202C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1C168C8D" w14:textId="4C5F14BE" w:rsidR="007D7642" w:rsidRPr="00AA202C" w:rsidRDefault="00BE237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</w:rPr>
              <w:t>№ п/п</w:t>
            </w: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  <w:hideMark/>
          </w:tcPr>
          <w:p w14:paraId="281AC6CE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  <w:hideMark/>
          </w:tcPr>
          <w:p w14:paraId="26498E8D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14:paraId="6EEE7629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827" w:type="dxa"/>
            <w:vMerge w:val="restart"/>
            <w:shd w:val="clear" w:color="auto" w:fill="FFFFFF" w:themeFill="background1"/>
            <w:vAlign w:val="center"/>
            <w:hideMark/>
          </w:tcPr>
          <w:p w14:paraId="4D37F2E9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14:paraId="766EC3C3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D0434" w:rsidRPr="00AA202C" w14:paraId="61229958" w14:textId="77777777" w:rsidTr="00AA202C">
        <w:trPr>
          <w:trHeight w:val="570"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7A2E9154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  <w:hideMark/>
          </w:tcPr>
          <w:p w14:paraId="678A3D59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D6066A9" w14:textId="046E7AED" w:rsidR="00DD45A7" w:rsidRPr="00AA202C" w:rsidRDefault="00DD45A7" w:rsidP="00A742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="00BA4728" w:rsidRPr="00AA202C">
              <w:rPr>
                <w:rFonts w:ascii="Times New Roman" w:hAnsi="Times New Roman" w:cs="Times New Roman"/>
                <w:b/>
                <w:bCs/>
              </w:rPr>
              <w:t>-</w:t>
            </w:r>
            <w:r w:rsidR="00A742E8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64F2761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5A680BE" w14:textId="34EE3A95" w:rsidR="00DD45A7" w:rsidRPr="00AA202C" w:rsidRDefault="00DD45A7" w:rsidP="00A742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="00BA4728" w:rsidRPr="00AA202C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AA20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742E8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FA5BDF5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27" w:type="dxa"/>
            <w:vMerge/>
            <w:shd w:val="clear" w:color="auto" w:fill="FFFFFF" w:themeFill="background1"/>
            <w:vAlign w:val="center"/>
            <w:hideMark/>
          </w:tcPr>
          <w:p w14:paraId="04753E0B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  <w:vAlign w:val="center"/>
            <w:hideMark/>
          </w:tcPr>
          <w:p w14:paraId="20D9DDE7" w14:textId="77777777" w:rsidR="00DD45A7" w:rsidRPr="00AA202C" w:rsidRDefault="00DD45A7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02C" w:rsidRPr="00AA202C" w14:paraId="1CC18157" w14:textId="77777777" w:rsidTr="00AA202C">
        <w:trPr>
          <w:trHeight w:val="16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761A82D" w14:textId="263D09F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7D8CB5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8BC4BD" w14:textId="5E3928E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57 325,4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0736FC" w14:textId="290B3E25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3D567D1" w14:textId="462385F3" w:rsidR="00AA202C" w:rsidRPr="00AA202C" w:rsidRDefault="00822DB8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56 383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FCA9F2" w14:textId="706A15A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44108DC5" w14:textId="6B88DCB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-942,4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A1B84C6" w14:textId="2E140B2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-1,6%</w:t>
            </w:r>
          </w:p>
        </w:tc>
      </w:tr>
      <w:tr w:rsidR="00AA202C" w:rsidRPr="00AA202C" w14:paraId="79D98828" w14:textId="77777777" w:rsidTr="00AA202C">
        <w:trPr>
          <w:trHeight w:val="15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68B9F2D" w14:textId="11DFD7D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666081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9128ED" w14:textId="5DE74A10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2 011,9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BF3E0" w14:textId="68D6EC3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3,5%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B27A1E1" w14:textId="1AB3BA9D" w:rsidR="00AA202C" w:rsidRPr="00AA202C" w:rsidRDefault="00822DB8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7A15D8" w14:textId="4077DCD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4,2%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68A4E8E4" w14:textId="05B346A8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371,1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876279" w14:textId="24EBEA6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18,4%</w:t>
            </w:r>
          </w:p>
        </w:tc>
      </w:tr>
      <w:tr w:rsidR="00CD0434" w:rsidRPr="00AA202C" w14:paraId="2F63913D" w14:textId="77777777" w:rsidTr="00AA202C">
        <w:trPr>
          <w:trHeight w:val="41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9495C52" w14:textId="0A477A20" w:rsidR="00CD0434" w:rsidRPr="00A742E8" w:rsidRDefault="00BE237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677DF1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shd w:val="clear" w:color="auto" w:fill="FFFFFF" w:themeFill="background1"/>
            <w:noWrap/>
            <w:vAlign w:val="center"/>
          </w:tcPr>
          <w:p w14:paraId="635783AE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E8">
              <w:rPr>
                <w:rFonts w:ascii="Times New Roman" w:hAnsi="Times New Roman" w:cs="Times New Roman"/>
                <w:b/>
              </w:rPr>
              <w:t> доля в соответствующей зоне</w:t>
            </w:r>
          </w:p>
        </w:tc>
      </w:tr>
      <w:tr w:rsidR="00AA202C" w:rsidRPr="00AA202C" w14:paraId="2A891AB3" w14:textId="77777777" w:rsidTr="00AA202C">
        <w:trPr>
          <w:trHeight w:val="20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9C7A1A3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90A0D7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9771B8B" w14:textId="6A6ED845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749,2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686942" w14:textId="774C03A0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1,7%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59AC093" w14:textId="77E6139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984,4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DA98B3" w14:textId="57E992B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2920E7F1" w14:textId="7E0F1889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235,2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6E6EC504" w14:textId="756C771A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31,4%</w:t>
            </w:r>
          </w:p>
        </w:tc>
      </w:tr>
      <w:tr w:rsidR="00AA202C" w:rsidRPr="00AA202C" w14:paraId="6C122D01" w14:textId="77777777" w:rsidTr="00AA202C">
        <w:trPr>
          <w:trHeight w:val="17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D1FC66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ACCB7CF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AB46978" w14:textId="00D5776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A745B">
              <w:rPr>
                <w:rFonts w:ascii="Times New Roman" w:hAnsi="Times New Roman" w:cs="Times New Roman"/>
                <w:i/>
              </w:rPr>
              <w:t>102,1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F28A9" w14:textId="577F8A4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17,7%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007D633" w14:textId="735C4A5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246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B157A3" w14:textId="6295C5B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17,5%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697C04D2" w14:textId="0B99FE2F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143,9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5D1C8D3" w14:textId="2D1E9056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13,1%</w:t>
            </w:r>
          </w:p>
        </w:tc>
      </w:tr>
      <w:tr w:rsidR="00AA202C" w:rsidRPr="00AA202C" w14:paraId="3E3FE9E3" w14:textId="77777777" w:rsidTr="00AA202C">
        <w:trPr>
          <w:trHeight w:val="16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0555DDA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FE299F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28F7FCA" w14:textId="31CC9B8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160,6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267015" w14:textId="50A9A35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2,3%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BA6874F" w14:textId="268CC09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152,6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A1A596" w14:textId="234AF6D2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6A5A34B2" w14:textId="2321BE13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-8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A47C43" w14:textId="7F8E11FF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-5%</w:t>
            </w:r>
          </w:p>
        </w:tc>
      </w:tr>
      <w:tr w:rsidR="00CD0434" w:rsidRPr="00AA202C" w14:paraId="6C233B41" w14:textId="77777777" w:rsidTr="00AA202C">
        <w:trPr>
          <w:trHeight w:val="35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4FC713F" w14:textId="6548D1B2" w:rsidR="00CD0434" w:rsidRPr="00A742E8" w:rsidRDefault="00BE237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91582D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shd w:val="clear" w:color="auto" w:fill="FFFFFF" w:themeFill="background1"/>
            <w:noWrap/>
            <w:vAlign w:val="center"/>
          </w:tcPr>
          <w:p w14:paraId="09F08B78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2E8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AA202C" w:rsidRPr="00AA202C" w14:paraId="146EDAE1" w14:textId="77777777" w:rsidTr="00AA202C">
        <w:trPr>
          <w:trHeight w:val="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EA52374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4DCFEA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2E1562" w14:textId="4245343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749,2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F70E1D" w14:textId="12BF753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37,2%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EE5739B" w14:textId="74AACBA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984,4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90F1ED" w14:textId="31DDDCF1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41,3%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2A9DEB3D" w14:textId="52EBD603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235,2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564A59" w14:textId="4E7E0FB4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31,4%</w:t>
            </w:r>
          </w:p>
        </w:tc>
      </w:tr>
      <w:tr w:rsidR="00AA202C" w:rsidRPr="00AA202C" w14:paraId="6B799D76" w14:textId="77777777" w:rsidTr="00AA202C">
        <w:trPr>
          <w:trHeight w:val="15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BCF9318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54B0A1C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CFC0E5" w14:textId="475BDB0B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A745B">
              <w:rPr>
                <w:rFonts w:ascii="Times New Roman" w:hAnsi="Times New Roman" w:cs="Times New Roman"/>
                <w:i/>
              </w:rPr>
              <w:t>102,1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27DA2C" w14:textId="513EAEC1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54,8%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6E9A0AE" w14:textId="0DA2045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246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C5ECC2" w14:textId="001F996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52,3%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13189523" w14:textId="63524ADA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143,9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11E1E35" w14:textId="303D02CD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13,1%</w:t>
            </w:r>
          </w:p>
        </w:tc>
      </w:tr>
      <w:tr w:rsidR="00AA202C" w:rsidRPr="00AA202C" w14:paraId="7CC4C8D5" w14:textId="77777777" w:rsidTr="00AA202C">
        <w:trPr>
          <w:trHeight w:val="14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39A9946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F6F15D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965BF2" w14:textId="5A7DA4C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160,6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52209D" w14:textId="0598A27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Pr="006A745B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8BA0EBD" w14:textId="1A7A60C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152,6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D42B1F" w14:textId="7D89326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6,4%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4A872285" w14:textId="7A1ED5AE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-8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D44357D" w14:textId="53665166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-5%</w:t>
            </w:r>
          </w:p>
        </w:tc>
      </w:tr>
      <w:tr w:rsidR="00CD0434" w:rsidRPr="00AA202C" w14:paraId="630ACBC9" w14:textId="77777777" w:rsidTr="00AA202C">
        <w:trPr>
          <w:trHeight w:val="48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4599E13" w14:textId="0F659BB1" w:rsidR="00CD0434" w:rsidRPr="00A742E8" w:rsidRDefault="00BE237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11FAC6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A742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258" w:type="dxa"/>
            <w:gridSpan w:val="6"/>
            <w:shd w:val="clear" w:color="auto" w:fill="FFFFFF" w:themeFill="background1"/>
            <w:noWrap/>
            <w:vAlign w:val="center"/>
          </w:tcPr>
          <w:p w14:paraId="55CE366D" w14:textId="77777777" w:rsidR="00CD0434" w:rsidRPr="00A742E8" w:rsidRDefault="00CD0434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2E8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AA202C" w:rsidRPr="00AA202C" w14:paraId="28B0DDFA" w14:textId="77777777" w:rsidTr="00AA202C">
        <w:trPr>
          <w:trHeight w:val="16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038D635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7E7038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0A3DA55" w14:textId="5781BF8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829,7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B9505" w14:textId="4E29AD4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41,2%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690A5C0" w14:textId="28D7F20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851,6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33A04A" w14:textId="3300D5F2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35,7%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0598F77A" w14:textId="58C79456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21,9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85AA676" w14:textId="42AD636A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2,6%</w:t>
            </w:r>
          </w:p>
        </w:tc>
      </w:tr>
      <w:tr w:rsidR="00AA202C" w:rsidRPr="00AA202C" w14:paraId="30C21D2C" w14:textId="77777777" w:rsidTr="00AA202C">
        <w:trPr>
          <w:trHeight w:val="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44082E2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9E9E161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7838CD" w14:textId="73DF95A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816,8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280643" w14:textId="530DAC28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40,6%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985007F" w14:textId="5DB5FDF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1052,7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0DEE7" w14:textId="031F9702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44,2%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0B242ACC" w14:textId="4C020C78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235,9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58A96A6" w14:textId="2F5A6A7F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28,9%</w:t>
            </w:r>
          </w:p>
        </w:tc>
      </w:tr>
      <w:tr w:rsidR="00AA202C" w:rsidRPr="00AA202C" w14:paraId="23892B99" w14:textId="77777777" w:rsidTr="00AA202C">
        <w:trPr>
          <w:trHeight w:val="6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1E5E3AC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B5C0A4A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037353" w14:textId="31616E0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363,8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6C2B11" w14:textId="658BB67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18,1%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0BD04F0" w14:textId="4DE61C22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478,7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735C41" w14:textId="0CFC570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20,1%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3AA70720" w14:textId="6A9850E1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114,9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C9247A" w14:textId="3ADB49B0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31,6%</w:t>
            </w:r>
          </w:p>
        </w:tc>
      </w:tr>
      <w:tr w:rsidR="00AA202C" w:rsidRPr="00B56A71" w14:paraId="4D3C9D50" w14:textId="77777777" w:rsidTr="00AA202C">
        <w:trPr>
          <w:trHeight w:val="6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05A46CD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5B057C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8EE25CF" w14:textId="599350C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2D6625" w14:textId="001170A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45B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FB4723B" w14:textId="1B404F4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8F24A4" w14:textId="67A9C042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Pr="006A745B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14:paraId="167D6DF0" w14:textId="4F4A0A20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-1,6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64EF592A" w14:textId="6E3C00E7" w:rsidR="00AA202C" w:rsidRPr="00A742E8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2E8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296BE5F9" w14:textId="77777777" w:rsidR="001E7984" w:rsidRPr="00B56A71" w:rsidRDefault="001E7984" w:rsidP="00B56A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309639D0" w14:textId="77777777" w:rsidR="00226A58" w:rsidRPr="00B56A71" w:rsidRDefault="00226A58" w:rsidP="00B56A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0E34A859" w14:textId="77777777" w:rsidR="00226A58" w:rsidRPr="00B56A71" w:rsidRDefault="00226A58" w:rsidP="00B56A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152B1243" w14:textId="77777777" w:rsidR="00226A58" w:rsidRPr="00B56A71" w:rsidRDefault="00226A58" w:rsidP="00B56A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14:paraId="5EFB5CB8" w14:textId="77777777" w:rsidR="00BF3092" w:rsidRPr="00B56A71" w:rsidRDefault="00BF3092" w:rsidP="00B56A71">
      <w:pPr>
        <w:pStyle w:val="1"/>
        <w:numPr>
          <w:ilvl w:val="1"/>
          <w:numId w:val="10"/>
        </w:numPr>
        <w:shd w:val="clear" w:color="auto" w:fill="FFFFFF" w:themeFill="background1"/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04388618"/>
      <w:r w:rsidRPr="00B56A71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Роль АО «</w:t>
      </w:r>
      <w:proofErr w:type="spellStart"/>
      <w:r w:rsidRPr="00B56A71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proofErr w:type="spellEnd"/>
      <w:r w:rsidRPr="00B56A71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20"/>
    </w:p>
    <w:p w14:paraId="6C20DB4E" w14:textId="77777777" w:rsidR="00BF3092" w:rsidRPr="00B56A71" w:rsidRDefault="00BF3092" w:rsidP="00B56A7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i/>
          <w:sz w:val="18"/>
        </w:rPr>
      </w:pPr>
    </w:p>
    <w:p w14:paraId="48629AEA" w14:textId="77777777" w:rsidR="00AA202C" w:rsidRPr="006A745B" w:rsidRDefault="00AA202C" w:rsidP="00AA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745B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proofErr w:type="spellStart"/>
      <w:r w:rsidRPr="006A745B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6A745B">
        <w:rPr>
          <w:rFonts w:ascii="Times New Roman" w:hAnsi="Times New Roman" w:cs="Times New Roman"/>
          <w:sz w:val="28"/>
          <w:szCs w:val="24"/>
        </w:rPr>
        <w:t xml:space="preserve">» (СЭС, ВЭС и малые ГЭС) за январь-июнь 2022 года составила 173,7 млн. </w:t>
      </w:r>
      <w:proofErr w:type="spellStart"/>
      <w:r w:rsidRPr="006A745B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6A745B">
        <w:rPr>
          <w:rFonts w:ascii="Times New Roman" w:hAnsi="Times New Roman" w:cs="Times New Roman"/>
          <w:sz w:val="28"/>
          <w:szCs w:val="24"/>
        </w:rPr>
        <w:t xml:space="preserve">, что на 10,7% выше по сравнению с аналогичным периодом 2021 года (156,9 млн. </w:t>
      </w:r>
      <w:proofErr w:type="spellStart"/>
      <w:r w:rsidRPr="006A745B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6A745B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09DDF13B" w14:textId="77777777" w:rsidR="00AA202C" w:rsidRPr="006A745B" w:rsidRDefault="00AA202C" w:rsidP="00AA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745B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proofErr w:type="spellStart"/>
      <w:r w:rsidRPr="006A745B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6A745B">
        <w:rPr>
          <w:rFonts w:ascii="Times New Roman" w:hAnsi="Times New Roman" w:cs="Times New Roman"/>
          <w:sz w:val="28"/>
          <w:szCs w:val="24"/>
        </w:rPr>
        <w:t xml:space="preserve">» в январе-июне 2022 года составила 7,3% от объема вырабатываемой объектами ВИЭ электроэнергии в РК, в то время как в январе-июне 2021 года данный показатель составил 7,8%. </w:t>
      </w:r>
      <w:r w:rsidRPr="006A745B">
        <w:rPr>
          <w:rFonts w:ascii="Times New Roman" w:hAnsi="Times New Roman" w:cs="Times New Roman"/>
          <w:sz w:val="28"/>
          <w:szCs w:val="28"/>
        </w:rPr>
        <w:t>Снижение доли ВИЭ АО «</w:t>
      </w:r>
      <w:proofErr w:type="spellStart"/>
      <w:r w:rsidRPr="006A745B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6A745B">
        <w:rPr>
          <w:rFonts w:ascii="Times New Roman" w:hAnsi="Times New Roman" w:cs="Times New Roman"/>
          <w:sz w:val="28"/>
          <w:szCs w:val="28"/>
        </w:rPr>
        <w:t>» в выработке ВИЭ РК в 2022 году связано с ростом выработки электроэнергии ВИЭ в РК.</w:t>
      </w:r>
    </w:p>
    <w:p w14:paraId="5BC905FC" w14:textId="77777777" w:rsidR="008364B1" w:rsidRPr="00B56A71" w:rsidRDefault="008364B1" w:rsidP="00B56A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6A71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B56A71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3974"/>
        <w:gridCol w:w="851"/>
        <w:gridCol w:w="992"/>
        <w:gridCol w:w="851"/>
        <w:gridCol w:w="1134"/>
        <w:gridCol w:w="850"/>
        <w:gridCol w:w="851"/>
      </w:tblGrid>
      <w:tr w:rsidR="007D7642" w:rsidRPr="00AA202C" w14:paraId="191458C7" w14:textId="77777777" w:rsidTr="00AA202C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49F77A60" w14:textId="72C6AD60" w:rsidR="007D7642" w:rsidRPr="00AA202C" w:rsidRDefault="00BE237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4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361E88F2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87E1C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ADBFA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DD8F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1ABAF" w14:textId="77777777" w:rsidR="007D7642" w:rsidRPr="00AA202C" w:rsidRDefault="007D7642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8D7F55" w:rsidRPr="00AA202C" w14:paraId="408075E3" w14:textId="77777777" w:rsidTr="00AA202C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3C9E9C0A" w14:textId="77777777" w:rsidR="008D7F55" w:rsidRPr="00AA202C" w:rsidRDefault="008D7F55" w:rsidP="00B56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2BD50BFE" w14:textId="77777777" w:rsidR="008D7F55" w:rsidRPr="00AA202C" w:rsidRDefault="008D7F55" w:rsidP="00B56A71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D961" w14:textId="328B1079" w:rsidR="008D7F55" w:rsidRPr="00AA202C" w:rsidRDefault="008D7F55" w:rsidP="00AA202C">
            <w:pPr>
              <w:shd w:val="clear" w:color="auto" w:fill="FFFFFF" w:themeFill="background1"/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="00AA202C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52A5D" w14:textId="77777777" w:rsidR="008D7F55" w:rsidRPr="00AA202C" w:rsidRDefault="008D7F55" w:rsidP="00B56A71">
            <w:pPr>
              <w:shd w:val="clear" w:color="auto" w:fill="FFFFFF" w:themeFill="background1"/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7209A" w14:textId="5985B915" w:rsidR="008D7F55" w:rsidRPr="00AA202C" w:rsidRDefault="008D7F55" w:rsidP="00AA202C">
            <w:pPr>
              <w:shd w:val="clear" w:color="auto" w:fill="FFFFFF" w:themeFill="background1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="00AA202C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AA6AA" w14:textId="77777777" w:rsidR="008D7F55" w:rsidRPr="00AA202C" w:rsidRDefault="008D7F55" w:rsidP="00B56A71">
            <w:pPr>
              <w:shd w:val="clear" w:color="auto" w:fill="FFFFFF" w:themeFill="background1"/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02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87ED4" w14:textId="77777777" w:rsidR="008D7F55" w:rsidRPr="00AA202C" w:rsidRDefault="008D7F5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67844" w14:textId="77777777" w:rsidR="008D7F55" w:rsidRPr="00AA202C" w:rsidRDefault="008D7F55" w:rsidP="00B56A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202C" w:rsidRPr="00AA202C" w14:paraId="68F12F33" w14:textId="77777777" w:rsidTr="00AA202C">
        <w:trPr>
          <w:trHeight w:val="261"/>
          <w:jc w:val="center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1B374D40" w14:textId="03DF46D1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1" w:name="_GoBack" w:colFirst="2" w:colLast="7"/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339B442D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ВИЭ С-Э, </w:t>
            </w:r>
            <w:r w:rsidRPr="00AA20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6934777" w14:textId="5CAEDD7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298742" w14:textId="3669A011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7,8%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336BF73" w14:textId="4D5F330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173,7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B7BC4" w14:textId="3117B33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7,3%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EA7D1A4" w14:textId="21573F50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224657" w14:textId="380006F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5B">
              <w:rPr>
                <w:rFonts w:ascii="Times New Roman" w:hAnsi="Times New Roman" w:cs="Times New Roman"/>
                <w:b/>
                <w:bCs/>
              </w:rPr>
              <w:t>10,7%</w:t>
            </w:r>
          </w:p>
        </w:tc>
      </w:tr>
      <w:tr w:rsidR="00AA202C" w:rsidRPr="00AA202C" w14:paraId="2193CAF5" w14:textId="77777777" w:rsidTr="00AA202C">
        <w:trPr>
          <w:trHeight w:val="264"/>
          <w:jc w:val="center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07ACAF31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06C9A15A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43,7МВт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03FB62B" w14:textId="042D302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3C3324" w14:textId="0DE5C9A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3,7%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B82A34D" w14:textId="460564D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85,5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FA42D" w14:textId="25604CDC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3,6%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C0A3F11" w14:textId="6BA0EE1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11,5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0225E98" w14:textId="656C07DB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15,5%</w:t>
            </w:r>
          </w:p>
        </w:tc>
      </w:tr>
      <w:tr w:rsidR="00AA202C" w:rsidRPr="00AA202C" w14:paraId="3CE43E01" w14:textId="77777777" w:rsidTr="00AA202C">
        <w:trPr>
          <w:trHeight w:val="397"/>
          <w:jc w:val="center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3DDDD566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02506CF8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271216F" w14:textId="13714EF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1C9A23" w14:textId="1FC2C75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951F007" w14:textId="664051E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722909" w14:textId="4E8F0F9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19D3F13" w14:textId="65A48FF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8897899" w14:textId="5D6E1E6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6A745B">
              <w:rPr>
                <w:rFonts w:ascii="Times New Roman" w:hAnsi="Times New Roman" w:cs="Times New Roman"/>
                <w:bCs/>
                <w:i/>
              </w:rPr>
              <w:t>%</w:t>
            </w:r>
          </w:p>
        </w:tc>
      </w:tr>
      <w:tr w:rsidR="00AA202C" w:rsidRPr="00AA202C" w14:paraId="5763F698" w14:textId="77777777" w:rsidTr="00AA202C">
        <w:trPr>
          <w:trHeight w:val="600"/>
          <w:jc w:val="center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1B2B7D97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6E7DB96F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AA202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83FBE46" w14:textId="3457971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737372" w14:textId="53AEAEE8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820CB76" w14:textId="080A0AF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2A28D6" w14:textId="19DD7ECE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0,3%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56D71B6" w14:textId="4D2151B6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2B01009" w14:textId="0403E84D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6A745B">
              <w:rPr>
                <w:rFonts w:ascii="Times New Roman" w:hAnsi="Times New Roman" w:cs="Times New Roman"/>
                <w:bCs/>
                <w:i/>
              </w:rPr>
              <w:t>%</w:t>
            </w:r>
          </w:p>
        </w:tc>
      </w:tr>
      <w:tr w:rsidR="00AA202C" w:rsidRPr="00B56A71" w14:paraId="0DEA663C" w14:textId="77777777" w:rsidTr="00AA202C">
        <w:trPr>
          <w:trHeight w:val="96"/>
          <w:jc w:val="center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30F81071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379B961E" w14:textId="7777777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0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6DAD948" w14:textId="4166DF35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72,7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CE9DEF" w14:textId="33A431D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3,6%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58DC08D" w14:textId="0C7EB6B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20BC43" w14:textId="7C6018D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745B">
              <w:rPr>
                <w:rFonts w:ascii="Times New Roman" w:hAnsi="Times New Roman" w:cs="Times New Roman"/>
                <w:i/>
              </w:rPr>
              <w:t>3,3%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4E3246A" w14:textId="40EA2CB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5,3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8F8DAB0" w14:textId="0D6C1C50" w:rsidR="00AA202C" w:rsidRPr="00B56A71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7,3%</w:t>
            </w:r>
          </w:p>
        </w:tc>
      </w:tr>
      <w:tr w:rsidR="00AA202C" w:rsidRPr="00B56A71" w14:paraId="2F11BC0E" w14:textId="77777777" w:rsidTr="00AA202C">
        <w:trPr>
          <w:trHeight w:val="9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6BF993E" w14:textId="6BC135A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14:paraId="5F66C13A" w14:textId="303E940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745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6A745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6A745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40FC8E2" w14:textId="5E54066F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A745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9A2E69" w14:textId="5887C4C3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1F367B4" w14:textId="6B945104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DE6472" w14:textId="33F50109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A745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6BC02D39" w14:textId="59359667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93CC4F" w14:textId="77D7C8FA" w:rsidR="00AA202C" w:rsidRPr="00AA202C" w:rsidRDefault="00AA202C" w:rsidP="00AA2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6A745B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  <w:bookmarkEnd w:id="21"/>
    </w:tbl>
    <w:p w14:paraId="7460CC88" w14:textId="77777777" w:rsidR="00155011" w:rsidRPr="00B56A71" w:rsidRDefault="00155011" w:rsidP="00B56A71">
      <w:pPr>
        <w:pStyle w:val="1"/>
        <w:shd w:val="clear" w:color="auto" w:fill="FFFFFF" w:themeFill="background1"/>
        <w:tabs>
          <w:tab w:val="left" w:pos="0"/>
        </w:tabs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4FABB45B" w14:textId="41AA17B9" w:rsidR="000F513C" w:rsidRPr="00B56A71" w:rsidRDefault="00B21A0A" w:rsidP="00B56A71">
      <w:pPr>
        <w:pStyle w:val="1"/>
        <w:numPr>
          <w:ilvl w:val="0"/>
          <w:numId w:val="10"/>
        </w:numPr>
        <w:shd w:val="clear" w:color="auto" w:fill="FFFFFF" w:themeFill="background1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104388620"/>
      <w:bookmarkStart w:id="23" w:name="_Toc65566458"/>
      <w:r w:rsidRPr="00B56A71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22"/>
    </w:p>
    <w:p w14:paraId="0932EFAA" w14:textId="77777777" w:rsidR="00BE07A4" w:rsidRPr="00B56A71" w:rsidRDefault="00BE07A4" w:rsidP="00B56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14:paraId="0220EFC1" w14:textId="47A9A51A" w:rsidR="00C82DFF" w:rsidRPr="00B56A71" w:rsidRDefault="008A1BD0" w:rsidP="00B56A71">
      <w:pPr>
        <w:pStyle w:val="1"/>
        <w:shd w:val="clear" w:color="auto" w:fill="FFFFFF" w:themeFill="background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56A71">
        <w:rPr>
          <w:rFonts w:ascii="Times New Roman" w:hAnsi="Times New Roman" w:cs="Times New Roman"/>
          <w:i/>
          <w:color w:val="auto"/>
          <w:sz w:val="28"/>
        </w:rPr>
        <w:t>5.1</w:t>
      </w:r>
      <w:r w:rsidR="00BE07A4" w:rsidRPr="00B56A71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24" w:name="_Toc104388621"/>
      <w:r w:rsidR="00387115" w:rsidRPr="00B56A71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B56A71">
        <w:rPr>
          <w:rFonts w:ascii="Times New Roman" w:hAnsi="Times New Roman" w:cs="Times New Roman"/>
          <w:i/>
          <w:color w:val="auto"/>
          <w:sz w:val="28"/>
        </w:rPr>
        <w:t>я</w:t>
      </w:r>
      <w:bookmarkStart w:id="25" w:name="_Toc65566459"/>
      <w:bookmarkEnd w:id="23"/>
      <w:r w:rsidR="00E04969" w:rsidRPr="00B56A71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387115" w:rsidRPr="00B56A71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4"/>
      <w:bookmarkEnd w:id="25"/>
    </w:p>
    <w:p w14:paraId="449A6BEC" w14:textId="77777777" w:rsidR="00FB5035" w:rsidRPr="00B56A71" w:rsidRDefault="00FB5035" w:rsidP="00B56A7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C69D44B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Общий электроэнергетический рынок Евразийского экономического союза планируется сформировать путем интеграции национальных рынков электроэнергии Армении, Белоруссии, Казахстана, Кыргызстана и России. 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14:paraId="43021DA2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14:paraId="4337A844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14:paraId="493F1F6E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этого в соответствии с пунктом 42 вышеуказанного международного договора 20 декабря 2019 года Высшим советом принято Решение № 31 «О плане </w:t>
      </w: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14:paraId="15A599ED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0D0EE035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B56A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Межправсовета</w:t>
      </w:r>
      <w:proofErr w:type="spellEnd"/>
      <w:r w:rsidRPr="00B56A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Совет Комиссии по утверждению актов, регулирующих ОЭР.</w:t>
      </w:r>
    </w:p>
    <w:p w14:paraId="0EBC1332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проведено одно заседание Консультативного комитета по электроэнергетике при Коллегии ЕЭК (17-е заседание 19 января), 10 заседаний Подкомитета по формированию ОЭР ЕАЭС Консультативного комитета по электроэнергетике при Коллегии ЕЭК (79-е заседание 13-14 января, 80-е заседание 26-27 января, 81-е заседание 11 февраля, 82-е заседание 25 февраля, 83-е заседание 17-18 марта, 84-е заседание 31 марта, 85-е заседание 8 апреля, 86-е заседание </w:t>
      </w:r>
    </w:p>
    <w:p w14:paraId="603912A5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апреля, 87-е заседание 26 апреля, 88-е заседание 17-18 мая), а также 4 марта </w:t>
      </w:r>
    </w:p>
    <w:p w14:paraId="088D279A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принято участие в рабочем совещании казахстанской и российской сторон о порядке регистрации свободных двусторонних договоров при взаимной торговле электрической энергией на общем электроэнергетическом рынке Евразийского экономического союза. </w:t>
      </w:r>
    </w:p>
    <w:p w14:paraId="2A34E263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В ходе заседаний обсуждены:</w:t>
      </w:r>
    </w:p>
    <w:p w14:paraId="49DDC695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тайминг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 на ОЭР союза;</w:t>
      </w:r>
    </w:p>
    <w:p w14:paraId="5C181B11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установления цен (тарифов) на услуги по торговой и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года;</w:t>
      </w:r>
    </w:p>
    <w:p w14:paraId="23D34C52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(обнуление) почасовых объемов поставок по срочным контрактам при выявлении технической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сальдо-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через межгосударственные сечения (внутренние сечения).</w:t>
      </w:r>
    </w:p>
    <w:p w14:paraId="7C23A3E7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17-ом заседании рассмотрены следующие вопросы: </w:t>
      </w:r>
    </w:p>
    <w:p w14:paraId="7E53C502" w14:textId="64FA537A" w:rsidR="004E4D2C" w:rsidRPr="00B56A71" w:rsidRDefault="004E4D2C" w:rsidP="00B56A71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14:paraId="6EB9D3BC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«коммерческий учет электрической энергии»;</w:t>
      </w:r>
    </w:p>
    <w:p w14:paraId="69FCD6CB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значений, определенных в том числе с учетом сделок на общем электроэнергетическом рынке Евразийского экономического союза (пункт 8 проекта правил взаимной торговли);</w:t>
      </w:r>
    </w:p>
    <w:p w14:paraId="23C9218F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14:paraId="76192F6E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 (сохранение) из проекта правил взаимной торговли положения о внешнем балансировании в качестве одной из составляющих величины почасовых отклонений сальдо-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в межгосударственном сечении для каждого часа расчетного периода (пункты 89, 90 проекта правил взаимной торговли);</w:t>
      </w:r>
    </w:p>
    <w:p w14:paraId="3F3D8FEA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пункта 93, содержащего принцип равенства цены как на покупку, так и на продажу электроэнергии в пределах допустимого диапазона, установленного в соглашениях о параллельной работе, при наличии пункта 94 проекта правил взаимной торговли (предложение российской стороны).</w:t>
      </w:r>
    </w:p>
    <w:p w14:paraId="37C6CEB6" w14:textId="4D6C54C9" w:rsidR="004E4D2C" w:rsidRPr="00B56A71" w:rsidRDefault="004E4D2C" w:rsidP="00B56A71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14:paraId="60F4F9A0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внеторговую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межгосударственную передачу, вправе отказаться от заключения договора </w:t>
      </w:r>
      <w:proofErr w:type="spellStart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передачи фразой «в отношении объемов, не вызывающих разногласие сторон, по ранее заключенным договорам» (пункт 17 проекта правил доступа);</w:t>
      </w:r>
    </w:p>
    <w:p w14:paraId="31196357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 (пункт 34 проекта правил доступа).</w:t>
      </w:r>
    </w:p>
    <w:p w14:paraId="3604CFE1" w14:textId="77777777" w:rsidR="004E4D2C" w:rsidRDefault="004E4D2C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14:paraId="411DEB6B" w14:textId="77777777" w:rsidR="00F35671" w:rsidRPr="00B56A71" w:rsidRDefault="00F35671" w:rsidP="00B56A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3059CE88" w:rsidR="004506A6" w:rsidRPr="00B56A71" w:rsidRDefault="008A1BD0" w:rsidP="00B56A71">
      <w:pPr>
        <w:pStyle w:val="1"/>
        <w:shd w:val="clear" w:color="auto" w:fill="FFFFFF" w:themeFill="background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26" w:name="_Toc525902070"/>
      <w:bookmarkStart w:id="27" w:name="_Toc2326695"/>
      <w:bookmarkStart w:id="28" w:name="_Toc65566462"/>
      <w:r w:rsidRPr="00B56A71">
        <w:rPr>
          <w:rFonts w:ascii="Times New Roman" w:hAnsi="Times New Roman" w:cs="Times New Roman"/>
          <w:i/>
          <w:color w:val="auto"/>
          <w:sz w:val="28"/>
        </w:rPr>
        <w:t>5.</w:t>
      </w:r>
      <w:r w:rsidR="009A3DA3" w:rsidRPr="00B56A71">
        <w:rPr>
          <w:rFonts w:ascii="Times New Roman" w:hAnsi="Times New Roman" w:cs="Times New Roman"/>
          <w:i/>
          <w:color w:val="auto"/>
          <w:sz w:val="28"/>
        </w:rPr>
        <w:t>2</w:t>
      </w:r>
      <w:r w:rsidR="002668FB" w:rsidRPr="00B56A71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29" w:name="_Toc104388622"/>
      <w:r w:rsidR="004506A6" w:rsidRPr="00B56A71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26"/>
      <w:bookmarkEnd w:id="27"/>
      <w:bookmarkEnd w:id="28"/>
      <w:bookmarkEnd w:id="29"/>
    </w:p>
    <w:p w14:paraId="11165E1D" w14:textId="77777777" w:rsidR="004506A6" w:rsidRPr="00B56A71" w:rsidRDefault="004506A6" w:rsidP="00B56A71">
      <w:pPr>
        <w:pStyle w:val="a3"/>
        <w:shd w:val="clear" w:color="auto" w:fill="FFFFFF" w:themeFill="background1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A71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B56A71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31BAD86E" w14:textId="77777777" w:rsidR="00936920" w:rsidRPr="00547DDE" w:rsidRDefault="00936920" w:rsidP="00F356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 60-е заседание Электроэнергетического Совета СНГ</w:t>
      </w:r>
    </w:p>
    <w:p w14:paraId="680DBB84" w14:textId="77777777" w:rsidR="00936920" w:rsidRPr="00547DDE" w:rsidRDefault="00936920" w:rsidP="0093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1C50C" wp14:editId="5E320CB2">
            <wp:extent cx="5838825" cy="2823667"/>
            <wp:effectExtent l="0" t="0" r="0" b="0"/>
            <wp:docPr id="6" name="Рисунок 6" descr="http://energo-cis.ru/wyswyg/image/news/2022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-cis.ru/wyswyg/image/news/202207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90" cy="28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A2B3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60-го заседания Электроэнергетического Совета Содружества Независимых Государств (ЭЭС СНГ) обсудили сотрудничество в сфере возобновляемой энергетики, а также технологический суверенитет и промышленную кооперацию стран с точки зрения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энергобезопасности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государств-участников СНГ.</w:t>
      </w:r>
    </w:p>
    <w:p w14:paraId="2B718E83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Президента ЭЭС СНГ поприветствовал участников заседания и отметил важность взаимодействия стран Содружества в сфере электроэнергетики.</w:t>
      </w:r>
    </w:p>
    <w:p w14:paraId="3E74F734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Вице-министр энергетики Республики Казахстан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Жандос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Нурмаганбетов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приветственной речи выразил уверенность, что результаты заседания придадут новый импульс сотрудничеству стран-участниц Совета в области электроэнергетики.</w:t>
      </w:r>
    </w:p>
    <w:p w14:paraId="283C67E6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рассказал о развитии отрасли в Республике Казахстан. В своем докладе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Жандос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Нурмаганбетов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общую характеристику актуального состояния энергосистемы страны, а также сообщил о предпринимаемых мерах в отрасли – планах по строительству новой генерации, в том числе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модернизации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энергомощностей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усилении надёжности электросетевого комплекса, реформе на рынке электроэнергетики.</w:t>
      </w:r>
    </w:p>
    <w:p w14:paraId="306AAC83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энергетики и водных ресурсов Таджикистана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Далер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Джумъа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доложил о вкладе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электроэнергетики в устойчивое развитие СНГ. По его словам, энергетическая система в Таджикистане развивается в основном за счёт гидроэнергетики, при этом страна продолжает работу по наращиванию «зелёных» мощностей.</w:t>
      </w:r>
    </w:p>
    <w:p w14:paraId="0768DBC9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Замминистра энергетики Республики Беларусь Денис Мороз в своём докладе затронул тему технологического суверенитета стран СНГ. «Уверен, что интеллектуальный и промышленный потенциал Содружества Независимых Государств способен обеспечить технологическую независимость и суверенитет наших стран и обеспечить в этом ключе энергетическую безопасность», – отметил он.</w:t>
      </w:r>
    </w:p>
    <w:p w14:paraId="5CC4585A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Сниккарс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комментируя доклады участников заседания, отметил, что все страны-участницы Совета сталкиваются с похожими вызовами – обеспечение рациональности энергобаланса, сохранение доступности электроэнергии с учётом привлечения необходимого объёма инвестиций, недопущение старения энергетических фондов, активное технологическое развитие.</w:t>
      </w:r>
    </w:p>
    <w:p w14:paraId="317AA901" w14:textId="77777777" w:rsidR="00A742E8" w:rsidRDefault="00A742E8" w:rsidP="00936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E6695" w14:textId="463325BB" w:rsidR="00936920" w:rsidRPr="00547DDE" w:rsidRDefault="00A742E8" w:rsidP="00936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533265ED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6 лет произошло снижение энергоемкости ВВП на 11% – Министерство индустрии и инфраструктурного развития Республики Казахстан.</w:t>
      </w:r>
    </w:p>
    <w:p w14:paraId="4F7D226B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вице-министр индустрии и инфраструктурного развития Республики Казахстан Марат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в ходе Пленарного заседания Форума, посвященного подведению итогов завершения проекта «Повышение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Казахстане», прошедшем 10 июня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-Султан.</w:t>
      </w:r>
    </w:p>
    <w:p w14:paraId="0E9E3D3D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проект Министерства индустрии и инфраструктурного развития Республики Казахстан и Всемирного банка направлен на повышение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социальных объектов, уличного </w:t>
      </w: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освещения. Главной целью проекта являлось способствование реализации политики страны в области энергосбережения.</w:t>
      </w:r>
    </w:p>
    <w:p w14:paraId="67A002E2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Марата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время реализации проекта общая экономия денежных затрат на топливно-энергетические ресурсы составила порядка 188 млн тенге.</w:t>
      </w:r>
    </w:p>
    <w:p w14:paraId="009B7B03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завершена модернизация 96 объектов. За весь период Проекта экономия топливно-энергетических ресурсов составила более 16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Общая экономия денежных затрат на топливно-энергетические ресурсы составляет примерно 188 млн тенге.</w:t>
      </w:r>
    </w:p>
    <w:p w14:paraId="67CACC92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модернизации по каждому объекту достигнута экономия энергоресурсов до 40%, создано более двух тысяч рабочих мест, причем доля местного содержания в товарах и работах составила 85%.</w:t>
      </w:r>
    </w:p>
    <w:p w14:paraId="6A16FCDE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Вице-министр также отметил, что Казахстан все еще имеет высокий потенциал энергосбережения и повышения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предстоит еще выполнить много задач в данном направлении.</w:t>
      </w:r>
    </w:p>
    <w:p w14:paraId="0EEFB14F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вице министра, в Парламенте страны рассматривается законопроект по вопросам повышения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проектом закона предлагается внедрение ответственных лиц по энергосбережению для выполнения роли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крупных предприятиях, на которых приходится одна треть потребления страны (потребляющих от 1500 тонн условного топлива в год, количество-927), а также установление целевых индикаторов по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ТОП-100 энергоемких предприятий, потребляющих порядка 90 % от всех субъектов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энергореестра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1E351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политики энергосбережения в Казахстане начался в 2012 году с принятием Закона «Об энергосбережении и повышении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2A5611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Предполагаемым местом строительства АЭС в Казахстане станет Алма-Атинская область.</w:t>
      </w:r>
    </w:p>
    <w:p w14:paraId="6B34BA7E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строительства первой в Казахстане АЭС определена площадка на побережье озера Балхаш в Алма-Атинской области республики, сообщил глава Минэнерго страны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Акчулаков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35853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президент республики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Касым-Жомарт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Токаев на заседании совета иностранных инвесторов сообщил, что Казахстан определился с местом расположения АЭС и изучает технологии от потенциальных поставщиков.</w:t>
      </w:r>
    </w:p>
    <w:p w14:paraId="0CC05F5E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пояснил, что речь идет о районе поселка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Улкен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Алма-Атинской области страны.</w:t>
      </w:r>
    </w:p>
    <w:p w14:paraId="4B174C40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Токаев, выступая 1 сентября 2021 года с посланием к народу, поручил правительству 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госфонду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благосостояния «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Самрук-Казына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изучить возможность развития в стране атомной энергетики. На совещании с представителями финансового сектора в ноябре Токаев высказал мнение, что республика придет к окончательному мнению о необходимости строительства АЭС на фоне намечающегося дефицита электроэнергии. Президент назвал решение о строительстве АЭС «непопулярным», добавив, что «роль лидера в том и состоит, чтобы принимать непопулярные решения».</w:t>
      </w:r>
    </w:p>
    <w:p w14:paraId="57D50871" w14:textId="77777777" w:rsidR="00936920" w:rsidRPr="00547DDE" w:rsidRDefault="00936920" w:rsidP="0093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атомной энергетики и промышленности министерства энергетики Казахстана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Жаслан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Касенов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сообщал, что казахстанская сторона изучает предложения шести мировых поставщиков ядерных технологий — </w:t>
      </w: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американских, американо-японских, корейских, китайских, российских и французских. Как ожидается, мощность первой АЭС Казахстана составит до 2400 МВт.</w:t>
      </w:r>
    </w:p>
    <w:p w14:paraId="77616AD2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CAB51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01B5245C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7DDE">
        <w:rPr>
          <w:rFonts w:eastAsiaTheme="minorHAnsi"/>
          <w:b/>
          <w:sz w:val="28"/>
          <w:szCs w:val="28"/>
          <w:lang w:eastAsia="en-US"/>
        </w:rPr>
        <w:t>Информация о ходе строительства CASA-1000 в Кыргызстане</w:t>
      </w:r>
    </w:p>
    <w:p w14:paraId="1D40A069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В рамках реализации проекта CASA-1000 в Кыргызстане идет строительство ЛЭП 500 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кВ.</w:t>
      </w:r>
      <w:proofErr w:type="spellEnd"/>
    </w:p>
    <w:p w14:paraId="53569E75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В общей сложности в Кыргызстане будет проложено 455,6 километров ЛЭП от ячейки 500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кВ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, которая будет построена специально для этой ЛЭП на подстанции 500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кВ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Датка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», от которой линия протянется через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Джалал-Абадскую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Ошскую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Баткенскую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области до границы с Таджикистаном.</w:t>
      </w:r>
    </w:p>
    <w:p w14:paraId="3D09D5D5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Строительство подъездных путей к местам строительства опор выполнено к 955 опорам (76%), рытье котлованов под опоры – 897 (72%), армирование и заливка бетона – 742 (59%), монтаж опор – 436 (35%). Всего по проекту будет построено 1241 опор.</w:t>
      </w:r>
    </w:p>
    <w:p w14:paraId="3D5D125D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В настоящее время активная работа ведется в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Баткенской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Ошской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Джалал-Абадской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областях. В работе задействованы 84 единицы спецтехники и спецмашин, 44 единицы автотранспортных средств и 230 работников, из которых около 70% — местные жители.</w:t>
      </w:r>
    </w:p>
    <w:p w14:paraId="3696464A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Для мобилизации специалистов для возведения инфраструктурных объектов в указанных трех областях созданы 6 строительных баз.</w:t>
      </w:r>
    </w:p>
    <w:p w14:paraId="3E1349D1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Справка</w:t>
      </w:r>
      <w:r w:rsidRPr="00547DD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547DDE">
        <w:rPr>
          <w:rFonts w:eastAsiaTheme="minorHAnsi"/>
          <w:sz w:val="28"/>
          <w:szCs w:val="28"/>
          <w:lang w:eastAsia="en-US"/>
        </w:rPr>
        <w:t> CASA-1000 призван связать энергетические системы Центральной Азии с Южной Азией — Кыргызстан, Таджикистан с Афганистаном и Пакистаном и выработать механизмы для торговли электроэнергией в соответствии с международными стандартами.</w:t>
      </w:r>
    </w:p>
    <w:p w14:paraId="0503B4F7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DE">
        <w:rPr>
          <w:rFonts w:ascii="Times New Roman" w:hAnsi="Times New Roman" w:cs="Times New Roman"/>
          <w:b/>
          <w:sz w:val="28"/>
          <w:szCs w:val="28"/>
        </w:rPr>
        <w:t>В Кыргызской Республике планируют возведение первой газовой электростанции</w:t>
      </w:r>
    </w:p>
    <w:p w14:paraId="7A4219A1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Правительство Кыргызстана в ближайшее время при поддержке российских компаний рассчитывает начать строительство в республике первой электростанции, работающей на природном газе. Об этом заявил глава кыргызского правительства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Акылбек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во время встречи с представителями международной многоотраслевой деловой миссии российских компаний в стране.</w:t>
      </w:r>
    </w:p>
    <w:p w14:paraId="54DE34A4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По его словам, проектная мощность ТЭС составит 600 МВт. Стоимость возведения электростанции пока не озвучивается. Реализация проекта планируется при поддержке российских компаний.</w:t>
      </w:r>
    </w:p>
    <w:p w14:paraId="6B965ADB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Обладающая большим гидроэнергетическим потенциалом Кыргызская Республика из-за отсутствия генерирующих мощностей вынуждена импортировать электроэнергию из соседних государств. В начале текущего месяца в стране началось строительство крупной ГЭС Камбар-Ата-1, однако на её возведение потребуется не менее 4-5 лет.</w:t>
      </w:r>
    </w:p>
    <w:p w14:paraId="02287741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В связи с дефицитом электричества власти Кыргызстана также намерены построить в республике две солнечные электростанции суммарной мощностью 1,5 тыс. МВт.</w:t>
      </w:r>
    </w:p>
    <w:p w14:paraId="6573971B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DDE">
        <w:rPr>
          <w:rFonts w:ascii="Times New Roman" w:hAnsi="Times New Roman" w:cs="Times New Roman"/>
          <w:b/>
          <w:sz w:val="28"/>
          <w:szCs w:val="28"/>
        </w:rPr>
        <w:t>Кыргызия</w:t>
      </w:r>
      <w:proofErr w:type="spellEnd"/>
      <w:r w:rsidRPr="00547DDE">
        <w:rPr>
          <w:rFonts w:ascii="Times New Roman" w:hAnsi="Times New Roman" w:cs="Times New Roman"/>
          <w:b/>
          <w:sz w:val="28"/>
          <w:szCs w:val="28"/>
        </w:rPr>
        <w:t xml:space="preserve"> ведет переговоры по экспорту электроэнергии в Китай и рассчитывает получать 6−8 центов за кВт</w:t>
      </w:r>
    </w:p>
    <w:p w14:paraId="1E78E43E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lastRenderedPageBreak/>
        <w:t xml:space="preserve">Власти Кыргызской Республики проводят переговоры с китайской стороной по вопросу экспорта кыргызской электроэнергии в КНР, заявил в понедельник в Бишкеке во время встречи с представителями международной многоотраслевой деловой миссии российских компаний глава кабинета министров республики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Акылбек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.</w:t>
      </w:r>
    </w:p>
    <w:p w14:paraId="1ED8EB8D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Жапарова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, соответствующее соглашение может быть подписано сторонами в рамках предстоящего государственного визита президента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Кыргызии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Садыра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Жапарова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в КНР, сроки которого в настоящее время уточняются.</w:t>
      </w:r>
    </w:p>
    <w:p w14:paraId="02D14F93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Между тем, на протяжении нескольких лет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Кыргызия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в осенне-зимний период вынуждена покупать электроэнергию в соседних странах Центральной Азии, поскольку имеющихся в ней генерирующих мощностей недостаточно для покрытия потребностей населения и промышленности. Пытаясь решить данную проблему, кыргызские власти объявили о начале строительства крупной ГЭС </w:t>
      </w:r>
    </w:p>
    <w:p w14:paraId="32E67B97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Камбар-Ата-1, а также о намерении возвести две солнечные электростанции общей мощностью 1,5 тыс. МВт и газовой электростанции проектной мощностью 600 МВт.</w:t>
      </w:r>
    </w:p>
    <w:p w14:paraId="4F202ABF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DDE">
        <w:rPr>
          <w:rFonts w:ascii="Times New Roman" w:hAnsi="Times New Roman" w:cs="Times New Roman"/>
          <w:b/>
          <w:sz w:val="28"/>
          <w:szCs w:val="28"/>
        </w:rPr>
        <w:t>Камбаратинская</w:t>
      </w:r>
      <w:proofErr w:type="spellEnd"/>
      <w:r w:rsidRPr="00547DDE">
        <w:rPr>
          <w:rFonts w:ascii="Times New Roman" w:hAnsi="Times New Roman" w:cs="Times New Roman"/>
          <w:b/>
          <w:sz w:val="28"/>
          <w:szCs w:val="28"/>
        </w:rPr>
        <w:t xml:space="preserve"> ГЭС-1 - еще один шаг к </w:t>
      </w:r>
      <w:proofErr w:type="spellStart"/>
      <w:r w:rsidRPr="00547DDE">
        <w:rPr>
          <w:rFonts w:ascii="Times New Roman" w:hAnsi="Times New Roman" w:cs="Times New Roman"/>
          <w:b/>
          <w:sz w:val="28"/>
          <w:szCs w:val="28"/>
        </w:rPr>
        <w:t>энергонезависимости</w:t>
      </w:r>
      <w:proofErr w:type="spellEnd"/>
      <w:r w:rsidRPr="00547DDE">
        <w:rPr>
          <w:rFonts w:ascii="Times New Roman" w:hAnsi="Times New Roman" w:cs="Times New Roman"/>
          <w:b/>
          <w:sz w:val="28"/>
          <w:szCs w:val="28"/>
        </w:rPr>
        <w:t xml:space="preserve"> Кыргызстана</w:t>
      </w:r>
    </w:p>
    <w:p w14:paraId="2014B888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8 июня 2022 года был дан старт началу строительства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Камбар-Атинской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 в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области Кыргызской Республики.</w:t>
      </w:r>
    </w:p>
    <w:p w14:paraId="55F7F666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Проект «Строительство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ГЭС-1» является крупнейшим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энергообъектом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из всего состава каскада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Камбаратинских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ГЭС, который предусматривает строительство каменно-набросной плотины высотой 256 м и ГЭС с установленной мощностью 1860 МВт, со среднемноголетней выработкой 5,6 млрд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и полным объемом водохранилища 5,4 млрд м³ воды. Сроки строительства составят от 8 до 10 лет. Сдать в эксплуатацию первый гидроагрегат ГЭС планируется через четыре года.</w:t>
      </w:r>
    </w:p>
    <w:p w14:paraId="24B47B5A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 станет крупнейшим объектом из всего состава каскада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Камбаратинских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ГЭС, располагающихся в среднем течении реки Нарын, мощность которой составит порядка 1900 МВт, а ежегодная выработка электрической энергии - 5,6 млрд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.</w:t>
      </w:r>
    </w:p>
    <w:p w14:paraId="3AECEC6F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Водохранилище объёмом 4,65 млрд кубометров будет осуществлять сезонное регулирование стока реки Нарын в интересах энергетики, компенсируя снижение зимней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энергоотдачи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Ниженарынского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каскада ГЭС (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Токтогульская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ГЭС,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Курпсайская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 и другие).</w:t>
      </w:r>
    </w:p>
    <w:p w14:paraId="2E3735C4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Поэтому важным преимуществом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 станет независимость работы от ограничений в зимнее время, поскольку вода, сбрасываемая со станции, будет накапливаться в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Токтогульском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водохранилище. Кроме того, при полном запуске ГЭС «Камбар-Ата-1» будут созданы условия для работы ГЭС «Камбар-Ата-2» на полную мощность, начав использовать второй и третий агрегаты, что впоследствии увеличит ее мощность.</w:t>
      </w:r>
    </w:p>
    <w:p w14:paraId="17167912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«В результате мы сможем полностью эксплуатировать эти две важные гидроэлектростанции и производить 1 тыс. МВт, что будет равноценно текущему объему электроэнергии, вырабатываемой на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Токтогульской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ГЭС», - сказал на мероприятии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.</w:t>
      </w:r>
    </w:p>
    <w:p w14:paraId="542F6B59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Годовая чистая прибыль страны в результате запуска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</w:t>
      </w:r>
    </w:p>
    <w:p w14:paraId="3A361DEF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lastRenderedPageBreak/>
        <w:t xml:space="preserve">(КАГЭС-1) составит более 234 млн долларов. Данная сумма складывается из возможности продавать каждый произведенный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, а 5,6 млрд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электроэнергии в год по 5,15 цента США, в рамках проекта CASA-1000. Это обстоятельство несомненно внесет значительный вклад в экономику Кыргызской Республики. Кроме того, запуск ГЭС «Камбар-Ата-1» принесет выгоду не только Кыргызстану, но и Центральной Азии путем решения проблем с орошением в соседних странах и внесения вклада в стабилизацию водно-энергетического баланса в регионе.</w:t>
      </w:r>
    </w:p>
    <w:p w14:paraId="4927232E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Стоит обратить внимание и на тот факт, что уже имеется подготовленная часть инфраструктуры (базы, дороги, карьеры), близкое расположение к ВЛ-500кВ «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Датка-Кемин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», что обеспечит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Камбаратинской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ГЭС-1 иметь самые низкие затраты по схеме выдачи мощности, решатся вопросы энергоснабжения населения республики в зимний период. В будущем же будет удовлетворен рост потребления электроэнергии в стране.</w:t>
      </w:r>
    </w:p>
    <w:p w14:paraId="7D7D6EE1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Финансирование проекта</w:t>
      </w:r>
    </w:p>
    <w:p w14:paraId="50139F67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На подготовительные работы по строительству ГЭС «Камбар-Ата-1» из республиканского бюджета выделят 1,5 млрд сомов. На сегодняшний день из собственных средств Кыргызской Республики на исследования, ТЭО и другие работы выделено 412,8 млн сомов.</w:t>
      </w:r>
    </w:p>
    <w:p w14:paraId="1BD72164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Средства пойдут на строительство транспортного тоннеля к месту строительства, моста, соединяющего два берега реки Нарын, высоковольтных линий электропередач, автодорог и рабочего городка. Остальная часть необходимых средств, как планируется, будет привлечена за счет партнеров. Об этом и было сказано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Жапаровым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на мероприятии: «Выполнение подготовительных работ повысит интерес инвесторов и партнеров к основной строительной площадке. Пользуясь случаем, хотел бы сообщить заинтересованным партнерам, что мы готовы сотрудничать в реализации этого проекта».</w:t>
      </w:r>
    </w:p>
    <w:p w14:paraId="2728AD2E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С 1991 года международными финансовыми организациями и странами-партнерами в гидроэнергетику республики было вложено более 1 млрд долл. США, однако эти средства не смогли поправить нынешнее положение государства.</w:t>
      </w:r>
    </w:p>
    <w:p w14:paraId="5E888BDC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Естественным образом, модернизировав и реконструировав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Токтогульскую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ГЭС и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Бишкекскую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ТЭЦ, достичь энергетической безопасности страны так и не удалось. Для этого, как говорилось ранее, необходимо реализовать проект строительства Верхне-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Нарынского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каскада ГЭС и «Камбар-Ата-1», что уже позволит получать дополнительную прибыль от экспорта электроэнергии в рамках проекта CASA-1000.</w:t>
      </w:r>
    </w:p>
    <w:p w14:paraId="376A6212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Сегодня Кыргызстан использует только 10-11% гидроэнергетического потенциала Кыргызстана. При этом вся электроэнергия вырабатывается на построенном еще в советское время Нижне-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Нарынском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каскаде ГЭС, который является единственным действующим в стране комплексом, включающим в себя 5 станций: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Токтогульская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– 1200 </w:t>
      </w:r>
      <w:proofErr w:type="gramStart"/>
      <w:r w:rsidRPr="00547DDE">
        <w:rPr>
          <w:rFonts w:ascii="Times New Roman" w:hAnsi="Times New Roman" w:cs="Times New Roman"/>
          <w:sz w:val="28"/>
          <w:szCs w:val="28"/>
        </w:rPr>
        <w:t xml:space="preserve">МВт, 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Курпсайская</w:t>
      </w:r>
      <w:proofErr w:type="spellEnd"/>
      <w:proofErr w:type="gramEnd"/>
      <w:r w:rsidRPr="00547DDE">
        <w:rPr>
          <w:rFonts w:ascii="Times New Roman" w:hAnsi="Times New Roman" w:cs="Times New Roman"/>
          <w:sz w:val="28"/>
          <w:szCs w:val="28"/>
        </w:rPr>
        <w:t xml:space="preserve"> – 800 МВт,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Ташкумырская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– 450 МВт,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Шамалдысайская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– 240 МВт и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Учкурганская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– 180 МВт.</w:t>
      </w:r>
    </w:p>
    <w:p w14:paraId="07411CA4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Энергетики указывают, что, из-за темпов роста населения и увеличения числа предприятий в Кыргызстане, этих мощностей уже не достаточно, а учитывая желание Кыргызстана экспортировать электроэнергию в Южную Азию, поиск </w:t>
      </w:r>
      <w:r w:rsidRPr="00547DDE">
        <w:rPr>
          <w:rFonts w:ascii="Times New Roman" w:hAnsi="Times New Roman" w:cs="Times New Roman"/>
          <w:sz w:val="28"/>
          <w:szCs w:val="28"/>
        </w:rPr>
        <w:lastRenderedPageBreak/>
        <w:t>новых компаний для реализации проекта строительства Верхне-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Нарынского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каскада ГЭА и Камбар-Ата-1 - является важным для страны.</w:t>
      </w:r>
    </w:p>
    <w:p w14:paraId="67F479B8" w14:textId="77777777" w:rsidR="00547DDE" w:rsidRPr="00547DDE" w:rsidRDefault="00547DDE" w:rsidP="00547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Поэтому в перспективе необходимо построить не только ГЭС «Камбар-Ата-1», но также такие гидроэлектростанции, как «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Суусамыр-Кокомерен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», «Сары-Джаз», «Казарман» и «Верхне-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Нарынский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каскад. Только после этого можно будет громко заявлять о достижении энергетической безопасности и независимости республики.</w:t>
      </w:r>
    </w:p>
    <w:p w14:paraId="54287B65" w14:textId="28EE8640" w:rsidR="004E4D2C" w:rsidRPr="00547DDE" w:rsidRDefault="00547DDE" w:rsidP="00547DDE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При этом не забывать про предыдущий опыт, из которого видно, что огромные средства, вкладываемые в реабилитацию существующих ГЭС в стране, не дадут никакого эффекта. А привлечение иностранных компаний для</w:t>
      </w:r>
    </w:p>
    <w:p w14:paraId="31EB45D4" w14:textId="77777777" w:rsid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14:paraId="4EEE34ED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47DDE">
        <w:rPr>
          <w:b/>
          <w:sz w:val="28"/>
          <w:szCs w:val="28"/>
        </w:rPr>
        <w:t>Узбекистан</w:t>
      </w:r>
    </w:p>
    <w:p w14:paraId="23714935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7DDE">
        <w:rPr>
          <w:rFonts w:eastAsiaTheme="minorHAnsi"/>
          <w:b/>
          <w:sz w:val="28"/>
          <w:szCs w:val="28"/>
          <w:lang w:eastAsia="en-US"/>
        </w:rPr>
        <w:t>В Ташкенте прошло Совещание министров энергетики стран ШОС</w:t>
      </w:r>
    </w:p>
    <w:p w14:paraId="4C123950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Под председательством узбекской стороны, в Ташкенте состоялось II Совещание министров энергетики государств-членов Шанхайской Организации Сотрудничества (ШОС), сообщила сегодня пресс-служба МИД Республики Узбекистан.</w:t>
      </w:r>
    </w:p>
    <w:p w14:paraId="722DA1B4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Форум приветственными словами открыли первый заместитель министра энергетики Республики Узбекистан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Азим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7DDE">
        <w:rPr>
          <w:rFonts w:eastAsiaTheme="minorHAnsi"/>
          <w:sz w:val="28"/>
          <w:szCs w:val="28"/>
          <w:lang w:eastAsia="en-US"/>
        </w:rPr>
        <w:t>Ахмедхаджаев</w:t>
      </w:r>
      <w:proofErr w:type="spellEnd"/>
      <w:proofErr w:type="gramEnd"/>
      <w:r w:rsidRPr="00547DDE">
        <w:rPr>
          <w:rFonts w:eastAsiaTheme="minorHAnsi"/>
          <w:sz w:val="28"/>
          <w:szCs w:val="28"/>
          <w:lang w:eastAsia="en-US"/>
        </w:rPr>
        <w:t xml:space="preserve"> и Генеральный секретарь Шанхайской организации сотрудничества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Чжан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Мин.</w:t>
      </w:r>
    </w:p>
    <w:p w14:paraId="5BA168F4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На заседании прозвучали выступления руководителей энергетической отрасли Индии, Казахстана, Китая, Кыргызстана, Пакистана, России, Таджикистана.</w:t>
      </w:r>
    </w:p>
    <w:p w14:paraId="5A444E80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В принятом по итогам министерского совещания протоколе утвержден План мероприятий по практической реализации Концепции сотрудничества государств-членов ШОС в сфере энергетики и одобрен проект Программы сотрудничества государств – членов ШОС в области использования возобновляемых источников энергии.</w:t>
      </w:r>
    </w:p>
    <w:p w14:paraId="098479FE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План реализации Концепции включает в себя сотрудничество в рамках ШОС в области энергетической безопасности, ВИЭ и гидроэнергетики, региональной торговле электроэнергией, а также развития человеческого капитала.</w:t>
      </w:r>
    </w:p>
    <w:p w14:paraId="3A48B18F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Программой сотрудничества государств-членов ШОС по возобновляемой энергетике предусмотрено развитие инновационных технологий и науки в области ВИЭ, содействие зеленому развитию энергетики, увеличение объемов ВИЭ и снижение выбросов парниковых газов, снижение антропогенной нагрузки на окружающую среду, а также повышение уровня энергетической безопасности и надежности энергоснабжения.</w:t>
      </w:r>
    </w:p>
    <w:p w14:paraId="11D07BD7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Добавим, что Второе Совещание министров энергетики государств-членов Шанхайской организации сотрудничества стало главным событием проходящего</w:t>
      </w:r>
    </w:p>
    <w:p w14:paraId="062BA620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23-24 июня Энергетического Форума Узбекистана – UEF 2022.</w:t>
      </w:r>
    </w:p>
    <w:p w14:paraId="5390C3E2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В рамках Форума в Ташкенте состоялись 24-я Международная Конференция «Нефть и Газ Узбекистана – OGU» и 2-я Международная Энергетическая Конференция.</w:t>
      </w:r>
    </w:p>
    <w:p w14:paraId="73B7A005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DE">
        <w:rPr>
          <w:rFonts w:ascii="Times New Roman" w:hAnsi="Times New Roman" w:cs="Times New Roman"/>
          <w:b/>
          <w:sz w:val="28"/>
          <w:szCs w:val="28"/>
        </w:rPr>
        <w:t xml:space="preserve">В Республике Узбекистан обсуждены вопросы создания новой системы управления </w:t>
      </w:r>
      <w:proofErr w:type="spellStart"/>
      <w:r w:rsidRPr="00547DDE">
        <w:rPr>
          <w:rFonts w:ascii="Times New Roman" w:hAnsi="Times New Roman" w:cs="Times New Roman"/>
          <w:b/>
          <w:sz w:val="28"/>
          <w:szCs w:val="28"/>
        </w:rPr>
        <w:t>энергорынком</w:t>
      </w:r>
      <w:proofErr w:type="spellEnd"/>
    </w:p>
    <w:p w14:paraId="6682E7BC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Президент Республики Узбекистан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Шавкат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Мирзиёев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23 июня провел совещание по вопросам трансформации электроэнергетических предприятий.</w:t>
      </w:r>
    </w:p>
    <w:p w14:paraId="47010451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lastRenderedPageBreak/>
        <w:t>В соответствии с ростом потребностей экономики и населения идет модернизация топливно-энергетического комплекса. Она осуществляется на основе Стратегии дальнейшего развития и реформирования электроэнергетической отрасли Республики Узбекистан, утвержденной постановлением главы государства от 27 марта 2019 года.</w:t>
      </w:r>
    </w:p>
    <w:p w14:paraId="0D0F7C48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В частности, на базе бывшего акционерного общества «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Узбекэнерго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» были созданы 3 отдельные структуры по производству, транспортировке и реализации электроэнергии. К автоматизированной системе контроля и учета электроэнергии подключено 7 миллионов потребителей, а собираемость платежей обеспечивается на 100 процентов. В 19 проектов по строительству солнечных, ветряных и тепловых электростанций на сумму 7 миллиардов долларов привлечены зарубежные инвесторы.</w:t>
      </w:r>
    </w:p>
    <w:p w14:paraId="261F9C5E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Вместе с тем предстоит еще много работы по формированию конкуренции в сфере, наращиванию объема и качества энергоснабжения. В частности, для модернизации системы энергетики, полного удовлетворения потребностей отраслей экономики и населения в ближайшие годы потребуется около 20 миллиардов долларов инвестиций. Это требует становления конкурентного рынка энергии и создания условий для частных инвесторов.</w:t>
      </w:r>
    </w:p>
    <w:p w14:paraId="25BE7D32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 xml:space="preserve">В связи с этим на совещании обсуждены вопросы создания новой системы управления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энергорынком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.</w:t>
      </w:r>
    </w:p>
    <w:p w14:paraId="17D59FBD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В целях формирования равных условий для подключения частных генерирующих предприятий предложено разделить полномочия акционерного общества «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тармоклари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» по закупке электроэнергии и управлению магистральными сетями. При этом компания - единый закупщик будет на договорной основе покупать электроэнергию у всех электростанций и продавать ее крупным предприятиям и предприятиям региональных электрических сетей. А оператор магистральных сетей будет отвечать за транспортировку электроэнергии, снижение потерь и техническое управление энергосистемой.</w:t>
      </w:r>
    </w:p>
    <w:p w14:paraId="795DCE74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В следующем году в 14 районах и городах в качестве альтернативы АО «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Худудий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DDE">
        <w:rPr>
          <w:rFonts w:ascii="Times New Roman" w:hAnsi="Times New Roman" w:cs="Times New Roman"/>
          <w:sz w:val="28"/>
          <w:szCs w:val="28"/>
        </w:rPr>
        <w:t>тармоклари</w:t>
      </w:r>
      <w:proofErr w:type="spellEnd"/>
      <w:r w:rsidRPr="00547DDE">
        <w:rPr>
          <w:rFonts w:ascii="Times New Roman" w:hAnsi="Times New Roman" w:cs="Times New Roman"/>
          <w:sz w:val="28"/>
          <w:szCs w:val="28"/>
        </w:rPr>
        <w:t>» будут организованы частные компании розничной торговли электроэнергией.</w:t>
      </w:r>
    </w:p>
    <w:p w14:paraId="1EC62C35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На совещании указано на необходимость ускорения процессов трансформации, финансового оздоровления предприятий и преобразования их в компании, способные привлекать прямые инвестиции. Поручено принять меры по оптимизации операционных расходов предприятий отрасли, модернизации линий электропередачи.</w:t>
      </w:r>
    </w:p>
    <w:p w14:paraId="339AAEAB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Перед Правительством и руководителями отрасли поставлена задача разработать программу подготовки высококвалифицированных кадров, необходимых для реализации данной реформы.</w:t>
      </w:r>
    </w:p>
    <w:p w14:paraId="502B9F8D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Узбекистан и Азербайджан будут наращивать сотрудничество в энергетике</w:t>
      </w:r>
    </w:p>
    <w:p w14:paraId="3494BE5D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состоялось подписание межправительственного Меморандума о взаимопонимании по сотрудничеству в области энергетики.</w:t>
      </w:r>
    </w:p>
    <w:p w14:paraId="4957BCF7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подписан первым заместителем министра энергетики Узбекистана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Азимом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Ахмедхаджаевым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министром энергетики Азербайджана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Парвизом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Шахбазовым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F93F00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Меморандумом предусмотрено расширение двустороннего сотрудничества в энергетической сфере, охватывающего: партнёрство в нефтегазовой и нефтехимической областях, в области альтернативной и возобновляемой энергии, эффективного использования энергетических ресурсов, в том числе путём реализации совместных проектов; проведение совместных семинаров, конференций, форумов с целью обеспечения программ по обучению и развитию в энергетическом секторе; возможность участия в энергетических проектах соответствующих хозяйствующих субъектов двух стран. Также, по итогам встречи стороны договорились наладить обмен опытом по вопросам ВИЭ и ГЧП (государственно-частного партнёрства) с проведением первой экспертной встречи в рамках предстоящего Энергетического форума 23-24 июня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2B2BA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что сотрудничество Узбекистана и Азербайджана в области энергетики имеет крепкую основу, в частности, партнёрство с азербайджанской нефтегазовой компанией «SOCAR». Также стороны имеют примеры успешного взаимодействия в сфере повышение квалификации специалистов нефтегазовой отрасли.</w:t>
      </w:r>
    </w:p>
    <w:p w14:paraId="4ABF473C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Узбекистане выделяются зеленые кредиты для приобретения установок на основе ВИЭ</w:t>
      </w:r>
    </w:p>
    <w:p w14:paraId="271CB572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Межотраслевой фонд энергосбережения при Министерстве энергетики Республики Узбекистан и АКИБ «Ипотека Банк», сотрудничающие по направлению выделения зеленых потребительских кредитов, подписали генеральное соглашение, согласно которому со стороны банка будут выдаваться льготные кредиты по базовой ставке Центробанка.</w:t>
      </w:r>
    </w:p>
    <w:p w14:paraId="1369986E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выделение зеленых потребительских кредитов устанавливается на срок в 5 лет.</w:t>
      </w:r>
    </w:p>
    <w:p w14:paraId="55096869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Фонда и «Ипотека Банка» планируется выделение в общей сложности 54 млрд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потребительских кредитов на приобретение энергосберегающих технологий и оборудования, в том числе по возобновляемым источникам энергии.</w:t>
      </w:r>
    </w:p>
    <w:p w14:paraId="64F763AD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подписали исполнительный директор межотраслевого фонда энергосбережения при Министерстве энергетики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Элзод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Рахманов и заместитель председателя правления АКИБ «Ипотека-банк»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Зулфукаров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7D465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данных кредитов является практической реализацией решений и поручений президента страны по внедрению энергосберегающих технологий.</w:t>
      </w:r>
    </w:p>
    <w:p w14:paraId="045BD36D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потребительские кредиты помогут удовлетворить растущие потребности населения в энергоресурсах и сократить выбросы парниковых газов в окружающую среду.</w:t>
      </w:r>
    </w:p>
    <w:p w14:paraId="51CAC0EF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Узбекистан в ближайшие годы намерен построить генерацию ВИЭ на 8 ГВт</w:t>
      </w:r>
    </w:p>
    <w:p w14:paraId="6A587478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Узбекистан в ближайшие годы намерен построить генерацию возобновляемых источников энергии (ВИЭ) общей мощностью более 8 ГВт, заявил премьер-министр Абдулла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региональном саммите по Целям устойчивого развития (ЦУР) ООН в Алматы.</w:t>
      </w:r>
    </w:p>
    <w:p w14:paraId="5E790079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правительства напомнил, что страна намерена увеличить к 2030 году долю ВИЭ до 25% в общем объеме производства электроэнергии в стране.</w:t>
      </w:r>
    </w:p>
    <w:p w14:paraId="63141CD6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Абдулла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сообщил, что правительство страны поставило задачу по переходу до конца 2022 года всех государственных учреждений и компаний на возобновляемые источники энергии, также вводятся нормы по обязательному внедрению альтернативных источников энергии, и энергосберегающих технологий в строительстве социальных, инфраструктурных и жилищных объектов в рамках реализуемых госпрограмм.</w:t>
      </w:r>
    </w:p>
    <w:p w14:paraId="15A339C0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обновленным обязательствам Узбекистана по борьбе с глобальным потеплением к 2030 году страна намерена снизить удельные выбросы парниковых газов на единицу ВВП на 35% от уровня 2010 года.</w:t>
      </w:r>
    </w:p>
    <w:p w14:paraId="352C5B3B" w14:textId="77777777" w:rsidR="00547DDE" w:rsidRDefault="00547DDE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F6C4B" w14:textId="6D9CBFE5" w:rsidR="004E4D2C" w:rsidRPr="00B56A71" w:rsidRDefault="00A742E8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Молдова</w:t>
      </w:r>
    </w:p>
    <w:p w14:paraId="0C2A3BA3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Молдавия будет закупать в мае 30% электроэнергии у «</w:t>
      </w:r>
      <w:proofErr w:type="spellStart"/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Укргидроэнерго</w:t>
      </w:r>
      <w:proofErr w:type="spellEnd"/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остальные объемы — у Молдавской ГРЭС «</w:t>
      </w:r>
      <w:proofErr w:type="spellStart"/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</w:t>
      </w:r>
      <w:proofErr w:type="spellEnd"/>
      <w:r w:rsidRPr="00B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РАО»</w:t>
      </w:r>
    </w:p>
    <w:p w14:paraId="4B3E8D25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Молдавия намерена закупать в мае 30% необходимой электроэнергии у компании «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Укргидроэнерго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остальные объемы продолжит поставлять принадлежащая российской ПАО «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РАО» тепловая электростанция ЗАО «Молдавская ГРЭС» (Приднестровье).</w:t>
      </w:r>
    </w:p>
    <w:p w14:paraId="39B98F5F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Энергоком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подписала контракт с компанией «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Укргидроэнерго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закупке 30% от необходимой электроэнергии в мае».</w:t>
      </w:r>
    </w:p>
    <w:p w14:paraId="1D382272" w14:textId="77777777" w:rsidR="00547DDE" w:rsidRDefault="00547DDE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DFB91" w14:textId="68570F4F" w:rsidR="004E4D2C" w:rsidRPr="00547DDE" w:rsidRDefault="00A742E8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5004D07E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Минэнерго РФ намерено пересмотреть </w:t>
      </w:r>
      <w:proofErr w:type="spellStart"/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низкоуглеродную</w:t>
      </w:r>
      <w:proofErr w:type="spellEnd"/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стратегию в части ВИЭ, — Н.Г. </w:t>
      </w:r>
      <w:proofErr w:type="spellStart"/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Шульгинов</w:t>
      </w:r>
      <w:proofErr w:type="spellEnd"/>
    </w:p>
    <w:p w14:paraId="63BF4757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Минэнерго РФ намерено пересмотреть планы по достижению реализации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в части ВИЭ, сообщил глава министерства Николай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Шульгинов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ПМЭФ.</w:t>
      </w:r>
    </w:p>
    <w:p w14:paraId="3C20BF14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«Мы, скорее всего, пересмотрим планы достижения реализации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в части ВИЭ, потому что сегодня ДПМ ВИЭ поставлен на паузу, но мы не отказываемся от этой зеленой повестки», — сказал он в ходе выступления на сессии «Электроэнергетика в период перемен».</w:t>
      </w:r>
    </w:p>
    <w:p w14:paraId="4F4F4060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 до 2035 года действует госпрограмма поддержки зеленой энергетики, в том числе через ДПМ строительства электростанций на основе ВИЭ — солнечных, ветряных и гидроэлектростанций. В начале июня правительство РФ сообщило о решении отказаться от проведения конкурсного отбора проектов в этом году и перенести его 2023 год. При этом пока Минэнерго не планирует менять условия проведения конкурсных отборов.</w:t>
      </w:r>
    </w:p>
    <w:p w14:paraId="2E65821C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ДПМ ВИЭ – программа стимулирования развития ВИЭ-генерации в ЕЭС России за счет гарантированной в течение определенного времени оплаты мощности по договору о предоставлении мощности (ДПМ) на оптовый рынок, заключенному с владельцем электростанции. Программа предусматривает конкурсный конкурентный отбор инвестиционных проектов по строительству генерирующих объектов, функционирующих на основе использования возобновляемых источников энергии.</w:t>
      </w:r>
    </w:p>
    <w:p w14:paraId="073D40D8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ВИЭ-генерация в ЕЭС России в мае 2022 года нарастила выработку на 38%, увеличив свою долю в энергосистеме до 0,9%</w:t>
      </w:r>
    </w:p>
    <w:p w14:paraId="53ED5BAF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Суммарная выработка ВИЭ (ВЭС и СЭС) в ЕЭС России годовом выражении в мае 2022 года выросла на 38% и составила 758,8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за 5 месяцев текущего года показатель увеличился на 56% и достиг 3533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сообщает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«Системного оператора» (СО).</w:t>
      </w:r>
    </w:p>
    <w:p w14:paraId="53E331C6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выработки электроэнергии в ЕЭС России в мае на ВИЭ пришлось 0,9%, январе-мае - 0,7% от всего производства электроэнергии в ЕЭС России.</w:t>
      </w:r>
    </w:p>
    <w:p w14:paraId="4DF953AB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выработка ВЭС в мае составила 451,6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(+77,3%), в январе мае 2550,7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(+86,2%).</w:t>
      </w:r>
    </w:p>
    <w:p w14:paraId="710B9FAF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СЭС в мае достигла 307,2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(+4,2%), в январе-мае - 982,3 млн </w:t>
      </w:r>
      <w:proofErr w:type="spellStart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54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(+9,8%).</w:t>
      </w:r>
    </w:p>
    <w:p w14:paraId="65F9F13C" w14:textId="77777777" w:rsidR="00547DDE" w:rsidRPr="00547DDE" w:rsidRDefault="00547DDE" w:rsidP="00547DD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7DD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Потребление электроэнергии в России за 5 месяцев 2022 года выросло на 2,5%, наиболее сильно показатель увеличился в ОЭС Юга – на 4,4%</w:t>
      </w:r>
    </w:p>
    <w:p w14:paraId="40A883F5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03 июня 2022</w:t>
      </w:r>
    </w:p>
    <w:p w14:paraId="1BDB1CD5" w14:textId="77777777" w:rsidR="00547DDE" w:rsidRPr="00547DDE" w:rsidRDefault="00547DDE" w:rsidP="00547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E">
        <w:rPr>
          <w:rFonts w:ascii="Times New Roman" w:hAnsi="Times New Roman" w:cs="Times New Roman"/>
          <w:sz w:val="28"/>
          <w:szCs w:val="28"/>
        </w:rPr>
        <w:t>Просмотров: 213</w:t>
      </w:r>
    </w:p>
    <w:p w14:paraId="3FEDCE27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Потребление электроэнергии в целом по России за пять месяцев 2022 года составило 485,0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>, что на 2,5% больше, чем годом ранее, сообщает «Системный оператор» (СО ЕЭС).</w:t>
      </w:r>
    </w:p>
    <w:p w14:paraId="210A7F8B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В ЕЭС России показатель прибавил 2,4%, составив 477,4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>.</w:t>
      </w:r>
    </w:p>
    <w:p w14:paraId="2ACBB504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Одновременно с этим, выработка электроэнергии в России в целом и в ЕЭС России возросла на 2,3% и составила 494,3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и 486,8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соответственно.</w:t>
      </w:r>
    </w:p>
    <w:p w14:paraId="63EC12CC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При этом выработка ТЭС составила 275,6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(+3,2%), ГЭС — 82,3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(-3,1%), АЭС – 96 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(+3,6%), выработка электростанций промышленных предприятий – 29,4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(+1,8%).</w:t>
      </w:r>
    </w:p>
    <w:p w14:paraId="729A0CB9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>Данные за пять месяцев 2022 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84"/>
        <w:gridCol w:w="1560"/>
        <w:gridCol w:w="1701"/>
        <w:gridCol w:w="1693"/>
      </w:tblGrid>
      <w:tr w:rsidR="00547DDE" w:rsidRPr="00644942" w14:paraId="7D3A51F7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15A3" w14:textId="77777777" w:rsidR="00547DDE" w:rsidRPr="00644942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644942">
              <w:t>ОЭС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CE94" w14:textId="77777777" w:rsidR="00547DDE" w:rsidRPr="00644942" w:rsidRDefault="00547DDE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>Выработка,</w:t>
            </w:r>
          </w:p>
          <w:p w14:paraId="6142DEBA" w14:textId="77777777" w:rsidR="00547DDE" w:rsidRPr="00644942" w:rsidRDefault="00547DDE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 xml:space="preserve">млрд </w:t>
            </w:r>
            <w:proofErr w:type="spellStart"/>
            <w:r w:rsidRPr="00644942">
              <w:t>кВт·ч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2EEE" w14:textId="6A7303BD" w:rsidR="00547DDE" w:rsidRPr="00644942" w:rsidRDefault="00644942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 xml:space="preserve">Относительно </w:t>
            </w:r>
            <w:r w:rsidR="00547DDE" w:rsidRPr="00644942">
              <w:t>января–мая 2021 года,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35C6" w14:textId="0DA5BF95" w:rsidR="00547DDE" w:rsidRPr="00644942" w:rsidRDefault="00644942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 xml:space="preserve">Потребление, </w:t>
            </w:r>
            <w:r w:rsidR="00547DDE" w:rsidRPr="00644942">
              <w:t xml:space="preserve">млрд </w:t>
            </w:r>
            <w:proofErr w:type="spellStart"/>
            <w:r w:rsidR="00547DDE" w:rsidRPr="00644942">
              <w:t>кВт·ч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DD19" w14:textId="77777777" w:rsidR="00547DDE" w:rsidRPr="00644942" w:rsidRDefault="00547DDE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>Относительно</w:t>
            </w:r>
          </w:p>
          <w:p w14:paraId="5B26DEB3" w14:textId="77777777" w:rsidR="00547DDE" w:rsidRPr="00644942" w:rsidRDefault="00547DDE" w:rsidP="00644942">
            <w:pPr>
              <w:pStyle w:val="ad"/>
              <w:spacing w:before="0" w:beforeAutospacing="0" w:after="0" w:afterAutospacing="0"/>
              <w:jc w:val="center"/>
            </w:pPr>
            <w:r w:rsidRPr="00644942">
              <w:t>января–мая 2021 года, %</w:t>
            </w:r>
          </w:p>
        </w:tc>
      </w:tr>
      <w:tr w:rsidR="00547DDE" w:rsidRPr="00644942" w14:paraId="07782CD0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61DF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Востока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8CA4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473E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7,9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034A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20,0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320E" w14:textId="7C886AEB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4,3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16C4CF0B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E66E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Сибири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CCA5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94,3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C91B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F19D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96,7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07F3" w14:textId="187AB2C2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2,7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54D4E205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A3B4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Урала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E78A" w14:textId="4C7EDA26" w:rsidR="00547DDE" w:rsidRPr="00F35671" w:rsidRDefault="00F35671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>
              <w:rPr>
                <w:i/>
              </w:rPr>
              <w:t>112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66F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A0D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111,5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78E0" w14:textId="362879D8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2,4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09E78432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BFF3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Средней Волги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707E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49,8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79D9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-0,2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5F2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47,5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8B5F" w14:textId="49D7243E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0,9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02FBDAAB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2CFC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Центра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8994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108,5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B7E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CBAD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111,5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77C0" w14:textId="5D963105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2,2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6C11FF65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8467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Северо-Запада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1254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50,8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DFC1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D4A4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43,0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7624" w14:textId="65E36621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1,3</w:t>
            </w:r>
            <w:r w:rsidR="00A742E8" w:rsidRPr="00F35671">
              <w:rPr>
                <w:i/>
              </w:rPr>
              <w:t>%</w:t>
            </w:r>
          </w:p>
        </w:tc>
      </w:tr>
      <w:tr w:rsidR="00547DDE" w:rsidRPr="00644942" w14:paraId="4EF5DA8D" w14:textId="77777777" w:rsidTr="0064494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A800" w14:textId="77777777" w:rsidR="00547DDE" w:rsidRPr="00F35671" w:rsidRDefault="00547DDE" w:rsidP="0064494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F35671">
              <w:rPr>
                <w:i/>
              </w:rPr>
              <w:t>Юга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C778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49,7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F44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7,3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002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47,2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60E4" w14:textId="5FD1ED9B" w:rsidR="00547DDE" w:rsidRPr="00F35671" w:rsidRDefault="00547DDE" w:rsidP="00FF7CF4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35671">
              <w:rPr>
                <w:i/>
              </w:rPr>
              <w:t>4,4</w:t>
            </w:r>
            <w:r w:rsidR="00A742E8" w:rsidRPr="00F35671">
              <w:rPr>
                <w:i/>
              </w:rPr>
              <w:t>%</w:t>
            </w:r>
          </w:p>
        </w:tc>
      </w:tr>
    </w:tbl>
    <w:p w14:paraId="48CE3740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В мае электропотребление в годовом выражении в целом по России возросло на 3,8% — до 86,3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, в ЕЭС России — на 3,7%, — до 84,9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>.</w:t>
      </w:r>
    </w:p>
    <w:p w14:paraId="2A2A7EE6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Выработка электроэнергии в России в целом и в ЕЭС России за прошедший месяц увеличилась на 2,8% и достигла 87,2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и 85,8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соответственно.</w:t>
      </w:r>
    </w:p>
    <w:p w14:paraId="3B52FF91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 xml:space="preserve">В том числе, в ЕЭС России выработка ТЭС составила 41,7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(+6,4%), ГЭС — 19,4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(7,8%), АЭС – 18,5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(+6%), выработка электростанций промышленных предприятий – 5,5 млрд </w:t>
      </w:r>
      <w:proofErr w:type="spellStart"/>
      <w:r w:rsidRPr="00547DDE">
        <w:rPr>
          <w:sz w:val="28"/>
          <w:szCs w:val="28"/>
        </w:rPr>
        <w:t>кВт·ч</w:t>
      </w:r>
      <w:proofErr w:type="spellEnd"/>
      <w:r w:rsidRPr="00547DDE">
        <w:rPr>
          <w:sz w:val="28"/>
          <w:szCs w:val="28"/>
        </w:rPr>
        <w:t xml:space="preserve"> (+3,7%).</w:t>
      </w:r>
    </w:p>
    <w:p w14:paraId="7A23387C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>Максимум потребления мощности ЕЭС России в мае 2022 года зафиксирован 6 мая в 10:00 по московскому времени и составил 125 652 МВт, что выше максимума потребления мощности в мае 2021 года на 4 798 МВт (4,0 %).</w:t>
      </w:r>
    </w:p>
    <w:p w14:paraId="343AF2F2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lastRenderedPageBreak/>
        <w:t>По данным СО ЕЭС, среднемесячная температура воздуха в мае текущего года составила 11,3°C что на 2,6°C ниже ее значения в том же месяце 2021 года.</w:t>
      </w:r>
    </w:p>
    <w:p w14:paraId="5486F82B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>Данные за май 2022 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84"/>
        <w:gridCol w:w="1560"/>
        <w:gridCol w:w="1701"/>
        <w:gridCol w:w="1693"/>
      </w:tblGrid>
      <w:tr w:rsidR="00547DDE" w:rsidRPr="00A742E8" w14:paraId="4B1FC6DB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63AF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rPr>
                <w:szCs w:val="28"/>
              </w:rPr>
            </w:pPr>
            <w:r w:rsidRPr="00A742E8">
              <w:rPr>
                <w:szCs w:val="28"/>
              </w:rPr>
              <w:t>ОЭС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1726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>Выработка,</w:t>
            </w:r>
          </w:p>
          <w:p w14:paraId="3CF10032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 xml:space="preserve">млрд </w:t>
            </w:r>
            <w:proofErr w:type="spellStart"/>
            <w:r w:rsidRPr="00A742E8">
              <w:rPr>
                <w:szCs w:val="28"/>
              </w:rPr>
              <w:t>кВт·ч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4D84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>Относительно</w:t>
            </w:r>
          </w:p>
          <w:p w14:paraId="3B278224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>мая 2021 года,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79F7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 xml:space="preserve">Потребление, млрд </w:t>
            </w:r>
            <w:proofErr w:type="spellStart"/>
            <w:r w:rsidRPr="00A742E8">
              <w:rPr>
                <w:szCs w:val="28"/>
              </w:rPr>
              <w:t>кВт·ч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DF3C" w14:textId="77777777" w:rsidR="00547DDE" w:rsidRPr="00A742E8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szCs w:val="28"/>
              </w:rPr>
            </w:pPr>
            <w:r w:rsidRPr="00A742E8">
              <w:rPr>
                <w:szCs w:val="28"/>
              </w:rPr>
              <w:t>Относительно мая 2021 года, %</w:t>
            </w:r>
          </w:p>
        </w:tc>
      </w:tr>
      <w:tr w:rsidR="00547DDE" w:rsidRPr="00A742E8" w14:paraId="70DCA962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9308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Востока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5AB8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2341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9,6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495B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3,2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129C" w14:textId="6495C2FF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4,7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01C6D100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1614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Сибири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D250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16,9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00C1" w14:textId="7F714938" w:rsidR="00547DDE" w:rsidRPr="00F35671" w:rsidRDefault="00F35671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E712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17,4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7A39" w14:textId="60668BF9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1,9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5F69C0B0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9CE1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Урала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03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20,8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DAEA" w14:textId="0D403DEE" w:rsidR="00547DDE" w:rsidRPr="00F35671" w:rsidRDefault="00F35671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1C8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20,3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0306" w14:textId="5914B968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4,7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6A9AC55F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1306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Средней Волги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CD6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8,9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FA5A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-6,7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08B1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8,6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3867" w14:textId="0B199E7B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2,1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0AFADEF1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B46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Центра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22DD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17,8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5D83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53B7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19,7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6740" w14:textId="70E18409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4,1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022CC7D4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6B1D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Северо-Запада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0DC7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67C2" w14:textId="49FAE192" w:rsidR="00547DDE" w:rsidRPr="00F35671" w:rsidRDefault="00F35671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367F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7,6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88BE" w14:textId="169345AF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2,1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  <w:tr w:rsidR="00547DDE" w:rsidRPr="00A742E8" w14:paraId="129ECEF0" w14:textId="77777777" w:rsidTr="00A742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CB96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Юга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FC7B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D3FC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8,4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6F3E" w14:textId="77777777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8,2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91BC" w14:textId="2AE4FA28" w:rsidR="00547DDE" w:rsidRPr="00F35671" w:rsidRDefault="00547DDE" w:rsidP="00FF7CF4">
            <w:pPr>
              <w:pStyle w:val="ad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F35671">
              <w:rPr>
                <w:i/>
                <w:szCs w:val="28"/>
              </w:rPr>
              <w:t>7,5</w:t>
            </w:r>
            <w:r w:rsidR="00A742E8" w:rsidRPr="00F35671">
              <w:rPr>
                <w:i/>
                <w:szCs w:val="28"/>
              </w:rPr>
              <w:t>%</w:t>
            </w:r>
          </w:p>
        </w:tc>
      </w:tr>
    </w:tbl>
    <w:p w14:paraId="7175878E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DE">
        <w:rPr>
          <w:sz w:val="28"/>
          <w:szCs w:val="28"/>
        </w:rPr>
        <w:t>Суммарные объемы потребления и выработки электроэнергии в целом по России складываются из показателей электропотребления и выработки объектов, расположенных в Единой энергетической системе России, и объектов, работающих в технологически изолированных территориальных энергосистемах (Таймырского автономного округа, Камчатского края, Сахалинской области, Магаданской области, Чукотского автономного округа). Фактические показатели работы энергосистем технологически изолированных территорий представлены субъектами оперативно-диспетчерского управления указанных энергосистем.</w:t>
      </w:r>
    </w:p>
    <w:p w14:paraId="27A766F5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591BB" w14:textId="20BBA3A2" w:rsidR="004E4D2C" w:rsidRPr="00B56A71" w:rsidRDefault="00644942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</w:t>
      </w:r>
    </w:p>
    <w:p w14:paraId="28548CC6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Таджикистан и Россия обсудили вопросы энергетического сотрудничества</w:t>
      </w:r>
    </w:p>
    <w:p w14:paraId="4EA9599A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Двустороннее сотрудничество в области энергетики стало темой беседы, которую провели вице-премьер Правительства Таджикистана 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Усмонали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Усмонзода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министр энергетики России Николай 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Шульгинов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находящийся в Душанбе с рабочим визитом.</w:t>
      </w:r>
    </w:p>
    <w:p w14:paraId="51DF4256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обсудили вопрос участия России в Координационном Электроэнергетическом Совете стран Центральной Азии в качестве полноправного члена.</w:t>
      </w:r>
    </w:p>
    <w:p w14:paraId="7D00AB77" w14:textId="77777777" w:rsidR="004E4D2C" w:rsidRPr="00B56A71" w:rsidRDefault="004E4D2C" w:rsidP="00B56A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Министр энергетики и водных ресурсов Таджикистана 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Далер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Джума обсудил 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Шульгиновым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совместного предприятия ОАО «</w:t>
      </w:r>
      <w:proofErr w:type="spellStart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Сангтудинская</w:t>
      </w:r>
      <w:proofErr w:type="spellEnd"/>
      <w:r w:rsidRPr="00B56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ГЭС-1» и вопросы, касающиеся безаварийного функционирования энергосистем в Центральной Азии.</w:t>
      </w:r>
    </w:p>
    <w:p w14:paraId="1DBEE659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  <w:r w:rsidRPr="00B56A71">
        <w:rPr>
          <w:rFonts w:eastAsiaTheme="minorHAnsi"/>
          <w:b/>
          <w:sz w:val="28"/>
          <w:lang w:eastAsia="en-US"/>
        </w:rPr>
        <w:t>Таджикистан и Всемирный банк подписали Соглашение по второй фазе реабилитации Нурекской ГЭС</w:t>
      </w:r>
    </w:p>
    <w:p w14:paraId="3F97B062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 xml:space="preserve">Таджикистан и Всемирный банк подписали Соглашение о финансировании Проекта реабилитации Нурекской ГЭС, Фаза II, стоимостью $65 млн (на </w:t>
      </w:r>
      <w:proofErr w:type="spellStart"/>
      <w:r w:rsidRPr="00B56A71">
        <w:rPr>
          <w:rFonts w:eastAsiaTheme="minorHAnsi"/>
          <w:sz w:val="28"/>
          <w:lang w:eastAsia="en-US"/>
        </w:rPr>
        <w:t>грантовой</w:t>
      </w:r>
      <w:proofErr w:type="spellEnd"/>
      <w:r w:rsidRPr="00B56A71">
        <w:rPr>
          <w:rFonts w:eastAsiaTheme="minorHAnsi"/>
          <w:sz w:val="28"/>
          <w:lang w:eastAsia="en-US"/>
        </w:rPr>
        <w:t xml:space="preserve"> основе).</w:t>
      </w:r>
    </w:p>
    <w:p w14:paraId="39568774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 xml:space="preserve">Документ 18 мая был подписан министром финансов </w:t>
      </w:r>
      <w:proofErr w:type="spellStart"/>
      <w:r w:rsidRPr="00B56A71">
        <w:rPr>
          <w:rFonts w:eastAsiaTheme="minorHAnsi"/>
          <w:sz w:val="28"/>
          <w:lang w:eastAsia="en-US"/>
        </w:rPr>
        <w:t>Файзиддином</w:t>
      </w:r>
      <w:proofErr w:type="spellEnd"/>
      <w:r w:rsidRPr="00B56A71">
        <w:rPr>
          <w:rFonts w:eastAsiaTheme="minorHAnsi"/>
          <w:sz w:val="28"/>
          <w:lang w:eastAsia="en-US"/>
        </w:rPr>
        <w:t xml:space="preserve"> </w:t>
      </w:r>
      <w:proofErr w:type="spellStart"/>
      <w:r w:rsidRPr="00B56A71">
        <w:rPr>
          <w:rFonts w:eastAsiaTheme="minorHAnsi"/>
          <w:sz w:val="28"/>
          <w:lang w:eastAsia="en-US"/>
        </w:rPr>
        <w:t>Каххорзода</w:t>
      </w:r>
      <w:proofErr w:type="spellEnd"/>
      <w:r w:rsidRPr="00B56A71">
        <w:rPr>
          <w:rFonts w:eastAsiaTheme="minorHAnsi"/>
          <w:sz w:val="28"/>
          <w:lang w:eastAsia="en-US"/>
        </w:rPr>
        <w:t xml:space="preserve">, председателем ОАХК «Барки </w:t>
      </w:r>
      <w:proofErr w:type="spellStart"/>
      <w:r w:rsidRPr="00B56A71">
        <w:rPr>
          <w:rFonts w:eastAsiaTheme="minorHAnsi"/>
          <w:sz w:val="28"/>
          <w:lang w:eastAsia="en-US"/>
        </w:rPr>
        <w:t>Точик</w:t>
      </w:r>
      <w:proofErr w:type="spellEnd"/>
      <w:r w:rsidRPr="00B56A71">
        <w:rPr>
          <w:rFonts w:eastAsiaTheme="minorHAnsi"/>
          <w:sz w:val="28"/>
          <w:lang w:eastAsia="en-US"/>
        </w:rPr>
        <w:t xml:space="preserve">» </w:t>
      </w:r>
      <w:proofErr w:type="spellStart"/>
      <w:r w:rsidRPr="00B56A71">
        <w:rPr>
          <w:rFonts w:eastAsiaTheme="minorHAnsi"/>
          <w:sz w:val="28"/>
          <w:lang w:eastAsia="en-US"/>
        </w:rPr>
        <w:t>Махмадумаром</w:t>
      </w:r>
      <w:proofErr w:type="spellEnd"/>
      <w:r w:rsidRPr="00B56A71">
        <w:rPr>
          <w:rFonts w:eastAsiaTheme="minorHAnsi"/>
          <w:sz w:val="28"/>
          <w:lang w:eastAsia="en-US"/>
        </w:rPr>
        <w:t xml:space="preserve"> </w:t>
      </w:r>
      <w:proofErr w:type="spellStart"/>
      <w:r w:rsidRPr="00B56A71">
        <w:rPr>
          <w:rFonts w:eastAsiaTheme="minorHAnsi"/>
          <w:sz w:val="28"/>
          <w:lang w:eastAsia="en-US"/>
        </w:rPr>
        <w:t>Асозода</w:t>
      </w:r>
      <w:proofErr w:type="spellEnd"/>
      <w:r w:rsidRPr="00B56A71">
        <w:rPr>
          <w:rFonts w:eastAsiaTheme="minorHAnsi"/>
          <w:sz w:val="28"/>
          <w:lang w:eastAsia="en-US"/>
        </w:rPr>
        <w:t xml:space="preserve"> и постоянным представителем Всемирного банка в Таджикистане </w:t>
      </w:r>
      <w:proofErr w:type="spellStart"/>
      <w:r w:rsidRPr="00B56A71">
        <w:rPr>
          <w:rFonts w:eastAsiaTheme="minorHAnsi"/>
          <w:sz w:val="28"/>
          <w:lang w:eastAsia="en-US"/>
        </w:rPr>
        <w:t>Озаном</w:t>
      </w:r>
      <w:proofErr w:type="spellEnd"/>
      <w:r w:rsidRPr="00B56A71">
        <w:rPr>
          <w:rFonts w:eastAsiaTheme="minorHAnsi"/>
          <w:sz w:val="28"/>
          <w:lang w:eastAsia="en-US"/>
        </w:rPr>
        <w:t xml:space="preserve"> </w:t>
      </w:r>
      <w:proofErr w:type="spellStart"/>
      <w:r w:rsidRPr="00B56A71">
        <w:rPr>
          <w:rFonts w:eastAsiaTheme="minorHAnsi"/>
          <w:sz w:val="28"/>
          <w:lang w:eastAsia="en-US"/>
        </w:rPr>
        <w:t>Севимли</w:t>
      </w:r>
      <w:proofErr w:type="spellEnd"/>
      <w:r w:rsidRPr="00B56A71">
        <w:rPr>
          <w:rFonts w:eastAsiaTheme="minorHAnsi"/>
          <w:sz w:val="28"/>
          <w:lang w:eastAsia="en-US"/>
        </w:rPr>
        <w:t>.</w:t>
      </w:r>
    </w:p>
    <w:p w14:paraId="47973D8A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Напомним, что выделение этих средств в конце декабря прошлого года одобрил Совет директоров Всемирного банка.</w:t>
      </w:r>
    </w:p>
    <w:p w14:paraId="1020AD27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lastRenderedPageBreak/>
        <w:t>Первая фаза проекта реабилитации Нурекской ГЭС, финансируемая Всемирным банком ($225,7 млн), Азиатским банком инфраструктурных инвестиций (АБИИ) ($60 млн) и Евразийским банком развития (ЕАБР) ($40 млн), была запущена в марте 2019 года.</w:t>
      </w:r>
    </w:p>
    <w:p w14:paraId="509F78B9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 xml:space="preserve">В рамках ее реализации (2019-2023 гг.) предусмотрена замена трех из девяти гидроагрегатов и ключевых инфраструктурных компонентов электростанции, замена шести автотрансформаторов, которые используются для передачи выработанной электроэнергии. Также в первой фазе предусмотрено повышение безопасности плотины с целью защиты объекта от сейсмической опасности и наводнений, а также техническая помощь для укрепления операционного, технического и финансового потенциала по управлению энергетической компании ОАХК «Барки </w:t>
      </w:r>
      <w:proofErr w:type="spellStart"/>
      <w:r w:rsidRPr="00B56A71">
        <w:rPr>
          <w:rFonts w:eastAsiaTheme="minorHAnsi"/>
          <w:sz w:val="28"/>
          <w:lang w:eastAsia="en-US"/>
        </w:rPr>
        <w:t>точик</w:t>
      </w:r>
      <w:proofErr w:type="spellEnd"/>
      <w:r w:rsidRPr="00B56A71">
        <w:rPr>
          <w:rFonts w:eastAsiaTheme="minorHAnsi"/>
          <w:sz w:val="28"/>
          <w:lang w:eastAsia="en-US"/>
        </w:rPr>
        <w:t>».</w:t>
      </w:r>
    </w:p>
    <w:p w14:paraId="10E73CF5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В рамках второй фазы проекта (до 2028 года) будут реабилитированы остальные шесть гидроагрегатов, Нурекский мост, электростанция и другие ключевые строения ГЭС.</w:t>
      </w:r>
    </w:p>
    <w:p w14:paraId="121A3E20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В целом на сегодняшний день для финансирования первой фазы проекта привлечено $326,9 млн, в том числе $169,1 млн в виде кредитов и $57,8 млн в виде грантов Всемирного банка.</w:t>
      </w:r>
    </w:p>
    <w:p w14:paraId="13CE112B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Ожидается, что этот проект будет способствовать повышению надежности электроснабжения и расширению масштабов экспорта «зеленой» электроэнергии из Таджикистана.</w:t>
      </w:r>
    </w:p>
    <w:p w14:paraId="6375534B" w14:textId="77777777" w:rsidR="004E4D2C" w:rsidRPr="00B56A71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Нурекская ГЭС обеспечивает около 50% общего годового спроса на энергию в Таджикистане и поставляет большую часть энергии на экспорт. Из-за технических проблем первоначальная установленная мощность электростанции с 3,000 МВт снизилась до 2,320 МВт за последние четыре десятилетия. В настоящее время объект проходит первую капитальную реконструкцию с момента его ввода в эксплуатацию в 1972–1979 годах.</w:t>
      </w:r>
    </w:p>
    <w:p w14:paraId="270958B0" w14:textId="77777777" w:rsidR="004E4D2C" w:rsidRPr="001303BB" w:rsidRDefault="004E4D2C" w:rsidP="00B56A71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56A71">
        <w:rPr>
          <w:rFonts w:eastAsiaTheme="minorHAnsi"/>
          <w:sz w:val="28"/>
          <w:lang w:eastAsia="en-US"/>
        </w:rPr>
        <w:t>После завершения реабилитации мощность ГЭС увеличится до 3,214 МВт, что обеспечит улучшение электроснабжения в холодные зимние месяцы и принесет столь необходимые доходы от расширения экспорта электроэнергии в летние месяцы.</w:t>
      </w:r>
    </w:p>
    <w:p w14:paraId="04E3AC0E" w14:textId="77777777" w:rsidR="00547DDE" w:rsidRPr="00E25E77" w:rsidRDefault="00547DDE" w:rsidP="00547DDE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2D4C408C" w14:textId="72ADDC71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E25E7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Беларусь</w:t>
      </w:r>
    </w:p>
    <w:p w14:paraId="144D93A3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7DDE">
        <w:rPr>
          <w:rFonts w:eastAsiaTheme="minorHAnsi"/>
          <w:b/>
          <w:sz w:val="28"/>
          <w:szCs w:val="28"/>
          <w:lang w:eastAsia="en-US"/>
        </w:rPr>
        <w:t>Тарифы на теплоснабжение, газ и электричество скорректированы в Беларуси с 1 июня</w:t>
      </w:r>
    </w:p>
    <w:p w14:paraId="7F25A0B7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>Субсидируемые тарифы на теплоснабжение выросли с Br21,9245 до Br23,859 за 1 Гкал.</w:t>
      </w:r>
    </w:p>
    <w:p w14:paraId="619377C7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Кроме того, для упрощения администрирования расчетов с населением с 1 июня установлена единая цена на природный газ (без ее дифференциации в отопительный и летний периоды), используемый в помещениях с установленными приборами индивидуального учета расхода газа. Так, для потребителей, в чьих домах используются газовые котлы для отопления, установлен один тариф на весь год - Br0,1977 за кубометр. Для тех, кто потребляет больше газа (от 3000 до 5500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в год), тариф составляет Br0,2570, для самых неэкономных (свыше 5500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куб.м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>) тариф еще выше - Br0,5688. Если газовые отопительные приборы отсутствуют, применяется тариф Br0,5417.</w:t>
      </w:r>
    </w:p>
    <w:p w14:paraId="145ECDC9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lastRenderedPageBreak/>
        <w:t xml:space="preserve">Электричество по-прежнему будет считаться по разным тарифам, и они немного повышаются. В частности, с начала лета изменился тариф на электроэнергию, используемую, помимо прочего, еще и на обогрев жилья. Так, электрическая энергия при условии ее использования для нужд отопления, горячего водоснабжения в жилых домах с электрическими плитами, не оборудованных системами централизованного тепло- и газоснабжения, при отсутствии отдельного (дополнительного) прибора индивидуального учета считается следующим образом.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Одноставочный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тариф - Br0,1003. Дифференцированный тариф - по двум временным периодам: минимальных нагрузок (с 23.00 до 6.00) - Br0,0702, в остальное время суток - Brr0,1304 за 1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кВт·ч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>.</w:t>
      </w:r>
    </w:p>
    <w:p w14:paraId="14094A99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Электрическая энергия для нужд отопления и горячего водоснабжения в жилых домах (квартирах), не оборудованных системами централизованного тепло- и газоснабжения, при наличии отдельного прибора индивидуального учета - Br0,0433 за 1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кВтч</w:t>
      </w:r>
      <w:proofErr w:type="spellEnd"/>
    </w:p>
    <w:p w14:paraId="437F9A5C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1519FE7" w14:textId="2DC06E0E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Азербайджан</w:t>
      </w:r>
    </w:p>
    <w:p w14:paraId="03702AA7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7DDE">
        <w:rPr>
          <w:rFonts w:eastAsiaTheme="minorHAnsi"/>
          <w:b/>
          <w:sz w:val="28"/>
          <w:szCs w:val="28"/>
          <w:lang w:eastAsia="en-US"/>
        </w:rPr>
        <w:t xml:space="preserve">Министерство энергетики Азербайджанской Республики и </w:t>
      </w:r>
      <w:proofErr w:type="spellStart"/>
      <w:r w:rsidRPr="00547DDE">
        <w:rPr>
          <w:rFonts w:eastAsiaTheme="minorHAnsi"/>
          <w:b/>
          <w:sz w:val="28"/>
          <w:szCs w:val="28"/>
          <w:lang w:eastAsia="en-US"/>
        </w:rPr>
        <w:t>Masdar</w:t>
      </w:r>
      <w:proofErr w:type="spellEnd"/>
      <w:r w:rsidRPr="00547DDE">
        <w:rPr>
          <w:rFonts w:eastAsiaTheme="minorHAnsi"/>
          <w:b/>
          <w:sz w:val="28"/>
          <w:szCs w:val="28"/>
          <w:lang w:eastAsia="en-US"/>
        </w:rPr>
        <w:t xml:space="preserve"> подписали соглашения о реализации проектов по наземным и морским ветровым и солнечным электростанциям мощностью 4 ГВт</w:t>
      </w:r>
    </w:p>
    <w:p w14:paraId="67EEFAB3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В рамках специальной сессии Бакинской энергетической недели Министерство энергетики Азербайджанской Республики и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Masdar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 xml:space="preserve"> ОАЭ подписали Соглашение о реализации по оценке, разработке и реализации проектов по наземной солнечной и ветровой энергетике мощностью 1 ГВт в Азербайджане и Соглашение о реализации Соглашение об оценке, разработке и реализации оффшорной интегрированной ветроэнергетики и зеленого водорода мощностью 2 ГВт.</w:t>
      </w:r>
    </w:p>
    <w:p w14:paraId="561495CB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В рамках Соглашения о реализации проектов наземной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ветро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>-солнечной энергетики общей установленной мощностью 2 ГВт планируется детально изучить возможности сети по передаче определенной части энергии в энергосистему страны, принять необходимые меры по усилению сети, а также реализовать соответствующие процессы по экспорту электроэнергии.</w:t>
      </w:r>
    </w:p>
    <w:p w14:paraId="6EC38035" w14:textId="77777777" w:rsidR="00547DDE" w:rsidRPr="00547DDE" w:rsidRDefault="00547DDE" w:rsidP="00547D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7DDE">
        <w:rPr>
          <w:rFonts w:eastAsiaTheme="minorHAnsi"/>
          <w:sz w:val="28"/>
          <w:szCs w:val="28"/>
          <w:lang w:eastAsia="en-US"/>
        </w:rPr>
        <w:t xml:space="preserve">Соглашение о реализации проектов наземной </w:t>
      </w:r>
      <w:proofErr w:type="spellStart"/>
      <w:r w:rsidRPr="00547DDE">
        <w:rPr>
          <w:rFonts w:eastAsiaTheme="minorHAnsi"/>
          <w:sz w:val="28"/>
          <w:szCs w:val="28"/>
          <w:lang w:eastAsia="en-US"/>
        </w:rPr>
        <w:t>ветро</w:t>
      </w:r>
      <w:proofErr w:type="spellEnd"/>
      <w:r w:rsidRPr="00547DDE">
        <w:rPr>
          <w:rFonts w:eastAsiaTheme="minorHAnsi"/>
          <w:sz w:val="28"/>
          <w:szCs w:val="28"/>
          <w:lang w:eastAsia="en-US"/>
        </w:rPr>
        <w:t>- и водородной энергетики мощностью 2 ГВт включало комплексные меры по созданию ветроэнергетики для производства и экспорта, декарбонизации, производства и экспорта водорода.</w:t>
      </w:r>
    </w:p>
    <w:p w14:paraId="1F0135A2" w14:textId="77777777" w:rsidR="00011E6E" w:rsidRPr="00547DDE" w:rsidRDefault="00011E6E" w:rsidP="00B56A7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E8459" w14:textId="77777777" w:rsidR="00011E6E" w:rsidRPr="00AE2893" w:rsidRDefault="00011E6E" w:rsidP="00B56A71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011E6E" w:rsidRPr="00AE2893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FF7CF4" w:rsidRDefault="00FF7CF4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FF7CF4" w:rsidRDefault="00FF7CF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FF7CF4" w:rsidRPr="00075A0B" w:rsidRDefault="00FF7CF4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822DB8">
          <w:rPr>
            <w:rFonts w:ascii="Times New Roman" w:hAnsi="Times New Roman" w:cs="Times New Roman"/>
            <w:noProof/>
          </w:rPr>
          <w:t>3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FF7CF4" w:rsidRDefault="00FF7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FF7CF4" w:rsidRDefault="00FF7CF4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FF7CF4" w:rsidRDefault="00FF7CF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FF7CF4" w14:paraId="70CAED75" w14:textId="77777777" w:rsidTr="009437D6">
      <w:tc>
        <w:tcPr>
          <w:tcW w:w="2235" w:type="dxa"/>
        </w:tcPr>
        <w:p w14:paraId="1560C859" w14:textId="77777777" w:rsidR="00FF7CF4" w:rsidRDefault="00FF7CF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FF7CF4" w:rsidRDefault="00FF7CF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FF7CF4" w:rsidRDefault="00FF7CF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FF7CF4" w:rsidRPr="009437D6" w:rsidRDefault="00FF7CF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>
    <w:nsid w:val="1D63280E"/>
    <w:multiLevelType w:val="hybridMultilevel"/>
    <w:tmpl w:val="29B0B630"/>
    <w:lvl w:ilvl="0" w:tplc="71EE584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370F0"/>
    <w:multiLevelType w:val="hybridMultilevel"/>
    <w:tmpl w:val="3B5A45CE"/>
    <w:lvl w:ilvl="0" w:tplc="746AAB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7208E"/>
    <w:multiLevelType w:val="hybridMultilevel"/>
    <w:tmpl w:val="38A44FCA"/>
    <w:lvl w:ilvl="0" w:tplc="F88E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38A2"/>
    <w:multiLevelType w:val="hybridMultilevel"/>
    <w:tmpl w:val="54B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>
    <w:nsid w:val="444B36C7"/>
    <w:multiLevelType w:val="hybridMultilevel"/>
    <w:tmpl w:val="55F64072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01CAA"/>
    <w:multiLevelType w:val="hybridMultilevel"/>
    <w:tmpl w:val="8DEC34D0"/>
    <w:lvl w:ilvl="0" w:tplc="E6B8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B1EBF"/>
    <w:multiLevelType w:val="hybridMultilevel"/>
    <w:tmpl w:val="F8EC2686"/>
    <w:lvl w:ilvl="0" w:tplc="FA0ADA7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4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8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5"/>
  </w:num>
  <w:num w:numId="25">
    <w:abstractNumId w:val="33"/>
  </w:num>
  <w:num w:numId="26">
    <w:abstractNumId w:val="49"/>
  </w:num>
  <w:num w:numId="27">
    <w:abstractNumId w:val="12"/>
  </w:num>
  <w:num w:numId="28">
    <w:abstractNumId w:val="43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6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7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E5D"/>
    <w:rsid w:val="00103EBF"/>
    <w:rsid w:val="00104FF6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92E"/>
    <w:rsid w:val="002E43E4"/>
    <w:rsid w:val="002E4CF9"/>
    <w:rsid w:val="002E4D7C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3BCD"/>
    <w:rsid w:val="0032434F"/>
    <w:rsid w:val="00325437"/>
    <w:rsid w:val="00325CA9"/>
    <w:rsid w:val="00325D3D"/>
    <w:rsid w:val="00325E31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DF4"/>
    <w:rsid w:val="00643405"/>
    <w:rsid w:val="0064481F"/>
    <w:rsid w:val="00644942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60E4"/>
    <w:rsid w:val="006D732A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F87"/>
    <w:rsid w:val="00722FBC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1E02"/>
    <w:rsid w:val="00822DB8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1E30"/>
    <w:rsid w:val="0085220C"/>
    <w:rsid w:val="008541DE"/>
    <w:rsid w:val="00854D8B"/>
    <w:rsid w:val="00856F20"/>
    <w:rsid w:val="00857B8F"/>
    <w:rsid w:val="0086113D"/>
    <w:rsid w:val="00861CD9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2893"/>
    <w:rsid w:val="00AE458B"/>
    <w:rsid w:val="00AE55E0"/>
    <w:rsid w:val="00AE7375"/>
    <w:rsid w:val="00AF1FF2"/>
    <w:rsid w:val="00AF4346"/>
    <w:rsid w:val="00AF6284"/>
    <w:rsid w:val="00AF75D3"/>
    <w:rsid w:val="00B005A3"/>
    <w:rsid w:val="00B01F44"/>
    <w:rsid w:val="00B025A4"/>
    <w:rsid w:val="00B0282E"/>
    <w:rsid w:val="00B03A64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659"/>
    <w:rsid w:val="00C36773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6062"/>
    <w:rsid w:val="00CB6A6A"/>
    <w:rsid w:val="00CB6D3A"/>
    <w:rsid w:val="00CB71FC"/>
    <w:rsid w:val="00CC0087"/>
    <w:rsid w:val="00CC092F"/>
    <w:rsid w:val="00CC16F1"/>
    <w:rsid w:val="00CC2780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3C45"/>
    <w:rsid w:val="00CD430E"/>
    <w:rsid w:val="00CD4BBB"/>
    <w:rsid w:val="00CD5BA5"/>
    <w:rsid w:val="00CD6033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0595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4203"/>
    <w:rsid w:val="00E6780F"/>
    <w:rsid w:val="00E712C1"/>
    <w:rsid w:val="00E713D3"/>
    <w:rsid w:val="00E71C24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90A"/>
    <w:rsid w:val="00FC4ADB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2&#1075;\&#1072;&#1087;&#1088;&#1077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&#1076;&#1080;&#1089;&#1082;%20&#1076;\&#1052;&#1054;&#1049;%20&#1044;&#1054;&#1050;&#1059;&#1052;&#1045;&#1053;&#1058;&#1067;_&#1048;&#1056;&#1048;&#1053;&#1040;\&#1086;&#1090;&#1095;&#1077;&#1090;2022\&#1080;&#1102;&#1085;&#1100;%202022\&#1101;&#1082;&#1089;&#1087;&#1077;&#1088;&#1089;&#1089;&#1082;&#1072;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'Свод 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  <a:r>
                      <a:rPr lang="en-US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'Свод '!$T$8:$T$13</c:f>
              <c:numCache>
                <c:formatCode>0.0%</c:formatCode>
                <c:ptCount val="6"/>
                <c:pt idx="0">
                  <c:v>0.17374125741459776</c:v>
                </c:pt>
                <c:pt idx="1">
                  <c:v>5.0061340382207498E-2</c:v>
                </c:pt>
                <c:pt idx="2">
                  <c:v>6.0247638079097478E-2</c:v>
                </c:pt>
                <c:pt idx="3">
                  <c:v>4.9396081804039614E-2</c:v>
                </c:pt>
                <c:pt idx="4">
                  <c:v>0.30981572590334783</c:v>
                </c:pt>
                <c:pt idx="5">
                  <c:v>0.35673795641670991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500082759925286E-2"/>
          <c:y val="2.8479242911537493E-2"/>
          <c:w val="0.96988727128533392"/>
          <c:h val="0.92717430039554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1992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23E-3"/>
                  <c:y val="-1.4786884033861992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83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78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440545635115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808E-3"/>
                  <c:y val="-3.75586854460094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80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1924E-3"/>
                  <c:y val="-1.4786884033861992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404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80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1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8759310491593953E-3"/>
                  <c:y val="-3.7709511663154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7.1328651486131864E-3"/>
                  <c:y val="-1.4786884033896419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5891411114419E-3"/>
                  <c:y val="4.2959864614135165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рус!$A$3:$A$22</c:f>
              <c:strCache>
                <c:ptCount val="20"/>
                <c:pt idx="3">
                  <c:v>Костанайская</c:v>
                </c:pt>
                <c:pt idx="4">
                  <c:v>Мангистауская</c:v>
                </c:pt>
                <c:pt idx="5">
                  <c:v>Северо-Казахстанская</c:v>
                </c:pt>
                <c:pt idx="6">
                  <c:v>Туркестанская</c:v>
                </c:pt>
                <c:pt idx="7">
                  <c:v>Западно-Казахстанская</c:v>
                </c:pt>
                <c:pt idx="8">
                  <c:v>Актюбинская</c:v>
                </c:pt>
                <c:pt idx="9">
                  <c:v>г. Нур-Султан</c:v>
                </c:pt>
                <c:pt idx="10">
                  <c:v>Карагандинская</c:v>
                </c:pt>
                <c:pt idx="11">
                  <c:v>Ұлытау</c:v>
                </c:pt>
                <c:pt idx="12">
                  <c:v>Атырауская</c:v>
                </c:pt>
                <c:pt idx="13">
                  <c:v>Алматинская</c:v>
                </c:pt>
                <c:pt idx="14">
                  <c:v>Акмолинская</c:v>
                </c:pt>
                <c:pt idx="15">
                  <c:v>Жамбылская</c:v>
                </c:pt>
                <c:pt idx="16">
                  <c:v>Восточно-Казахстанская</c:v>
                </c:pt>
                <c:pt idx="17">
                  <c:v>Абай</c:v>
                </c:pt>
                <c:pt idx="18">
                  <c:v>г. Шымкент</c:v>
                </c:pt>
                <c:pt idx="19">
                  <c:v>г. Алматы</c:v>
                </c:pt>
              </c:strCache>
            </c:strRef>
          </c:cat>
          <c:val>
            <c:numRef>
              <c:f>рус!$B$3:$B$22</c:f>
              <c:numCache>
                <c:formatCode>0.0</c:formatCode>
                <c:ptCount val="20"/>
                <c:pt idx="0">
                  <c:v>-6</c:v>
                </c:pt>
                <c:pt idx="1">
                  <c:v>-3.5999999999999943</c:v>
                </c:pt>
                <c:pt idx="2">
                  <c:v>-1.4000000000000057</c:v>
                </c:pt>
                <c:pt idx="3">
                  <c:v>1.4000000000000057</c:v>
                </c:pt>
                <c:pt idx="4">
                  <c:v>1.5</c:v>
                </c:pt>
                <c:pt idx="5">
                  <c:v>1.5</c:v>
                </c:pt>
                <c:pt idx="6">
                  <c:v>1.9000000000000061</c:v>
                </c:pt>
                <c:pt idx="7">
                  <c:v>2.2000000000000042</c:v>
                </c:pt>
                <c:pt idx="8">
                  <c:v>2.7000000000000042</c:v>
                </c:pt>
                <c:pt idx="9">
                  <c:v>2.7999999999999972</c:v>
                </c:pt>
                <c:pt idx="10">
                  <c:v>5</c:v>
                </c:pt>
                <c:pt idx="11">
                  <c:v>5.5</c:v>
                </c:pt>
                <c:pt idx="12">
                  <c:v>5.5999999999999943</c:v>
                </c:pt>
                <c:pt idx="13">
                  <c:v>6.2000000000000028</c:v>
                </c:pt>
                <c:pt idx="14">
                  <c:v>8</c:v>
                </c:pt>
                <c:pt idx="15">
                  <c:v>8.1000000000000014</c:v>
                </c:pt>
                <c:pt idx="16">
                  <c:v>8.2000000000000011</c:v>
                </c:pt>
                <c:pt idx="17">
                  <c:v>8.9000000000000057</c:v>
                </c:pt>
                <c:pt idx="18">
                  <c:v>10.100000000000001</c:v>
                </c:pt>
                <c:pt idx="19">
                  <c:v>10.600000000000001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4478400"/>
        <c:axId val="-2064477856"/>
      </c:barChart>
      <c:catAx>
        <c:axId val="-2064478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064477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64477856"/>
        <c:scaling>
          <c:orientation val="minMax"/>
          <c:max val="15"/>
          <c:min val="-8"/>
        </c:scaling>
        <c:delete val="0"/>
        <c:axPos val="b"/>
        <c:numFmt formatCode="0.0" sourceLinked="1"/>
        <c:majorTickMark val="out"/>
        <c:minorTickMark val="none"/>
        <c:tickLblPos val="none"/>
        <c:crossAx val="-2064478400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0.73211</cdr:x>
      <cdr:y>0.45779</cdr:y>
    </cdr:from>
    <cdr:to>
      <cdr:x>0.85733</cdr:x>
      <cdr:y>0.53719</cdr:y>
    </cdr:to>
    <cdr:pic>
      <cdr:nvPicPr>
        <cdr:cNvPr id="2" name="Picture 12" descr="KUS - Kazakhstan Utility Systems Astana city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92D201B6-1363-C543-BEB7-3DB33C658EE7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r="34655"/>
        <a:stretch xmlns:a="http://schemas.openxmlformats.org/drawingml/2006/main"/>
      </cdr:blipFill>
      <cdr:spPr bwMode="auto">
        <a:xfrm xmlns:a="http://schemas.openxmlformats.org/drawingml/2006/main">
          <a:off x="3378369" y="1255816"/>
          <a:ext cx="577808" cy="217809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0.59978</cdr:x>
      <cdr:y>0.80797</cdr:y>
    </cdr:from>
    <cdr:to>
      <cdr:x>0.74221</cdr:x>
      <cdr:y>0.992</cdr:y>
    </cdr:to>
    <cdr:pic>
      <cdr:nvPicPr>
        <cdr:cNvPr id="3" name="Picture 4" descr="Алматинский университет энергетики и связи имени Гумарбека Даукеева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B43B8F4F-160D-9340-80CD-EA31CFDD604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0297" t="1" r="23222" b="-8459"/>
        <a:stretch xmlns:a="http://schemas.openxmlformats.org/drawingml/2006/main"/>
      </cdr:blipFill>
      <cdr:spPr bwMode="auto">
        <a:xfrm xmlns:a="http://schemas.openxmlformats.org/drawingml/2006/main">
          <a:off x="2767729" y="2216426"/>
          <a:ext cx="657221" cy="504829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0.73045</cdr:x>
      <cdr:y>0.30887</cdr:y>
    </cdr:from>
    <cdr:to>
      <cdr:x>0.89696</cdr:x>
      <cdr:y>0.41989</cdr:y>
    </cdr:to>
    <cdr:pic>
      <cdr:nvPicPr>
        <cdr:cNvPr id="4" name="Picture 8" descr="ТОО «KAZAKHMYS ENERGY» (КАЗАХМЫС ЭНЕРДЖИ)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816320A2-6D9C-4540-9F63-D90AF8582A2D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370713" y="847285"/>
          <a:ext cx="768344" cy="304554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0.65531</cdr:x>
      <cdr:y>0.05148</cdr:y>
    </cdr:from>
    <cdr:to>
      <cdr:x>0.806</cdr:x>
      <cdr:y>0.25634</cdr:y>
    </cdr:to>
    <cdr:pic>
      <cdr:nvPicPr>
        <cdr:cNvPr id="5" name="Picture 6" descr="Eurasian Resources Group - Crunchbase Company Profile &amp;amp; Funding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E5847ABE-ADAF-F545-8315-9D3A51947DB5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4182" t="28450" r="23898" b="29587"/>
        <a:stretch xmlns:a="http://schemas.openxmlformats.org/drawingml/2006/main"/>
      </cdr:blipFill>
      <cdr:spPr bwMode="auto">
        <a:xfrm xmlns:a="http://schemas.openxmlformats.org/drawingml/2006/main">
          <a:off x="3023972" y="141210"/>
          <a:ext cx="695350" cy="5619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0.68924</cdr:x>
      <cdr:y>0.55258</cdr:y>
    </cdr:from>
    <cdr:to>
      <cdr:x>0.82087</cdr:x>
      <cdr:y>0.77402</cdr:y>
    </cdr:to>
    <cdr:pic>
      <cdr:nvPicPr>
        <cdr:cNvPr id="6" name="Picture 10" descr="Завод Инвольт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924B812B-6FA0-1140-8270-38295DF1977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80513" y="1515847"/>
          <a:ext cx="607414" cy="607451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0.35912</cdr:x>
      <cdr:y>0.86092</cdr:y>
    </cdr:from>
    <cdr:to>
      <cdr:x>0.57911</cdr:x>
      <cdr:y>0.91374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8465" y="2911083"/>
          <a:ext cx="1162950" cy="178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0.35924</cdr:x>
      <cdr:y>0.81514</cdr:y>
    </cdr:from>
    <cdr:to>
      <cdr:x>0.57923</cdr:x>
      <cdr:y>0.86796</cdr:y>
    </cdr:to>
    <cdr:sp macro="" textlink="">
      <cdr:nvSpPr>
        <cdr:cNvPr id="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9058" y="2756292"/>
          <a:ext cx="1162949" cy="178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Павлодарская</a:t>
          </a:r>
        </a:p>
      </cdr:txBody>
    </cdr:sp>
  </cdr:relSizeAnchor>
  <cdr:relSizeAnchor xmlns:cdr="http://schemas.openxmlformats.org/drawingml/2006/chartDrawing">
    <cdr:from>
      <cdr:x>0.36261</cdr:x>
      <cdr:y>0.90845</cdr:y>
    </cdr:from>
    <cdr:to>
      <cdr:x>0.5826</cdr:x>
      <cdr:y>0.96127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6907" y="3071812"/>
          <a:ext cx="1162950" cy="178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Жетісу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47AA-5D7C-4B8F-ACF6-E10EA9F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27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Анашев Аслан</cp:lastModifiedBy>
  <cp:revision>86</cp:revision>
  <cp:lastPrinted>2021-02-16T04:18:00Z</cp:lastPrinted>
  <dcterms:created xsi:type="dcterms:W3CDTF">2022-03-29T10:55:00Z</dcterms:created>
  <dcterms:modified xsi:type="dcterms:W3CDTF">2022-07-27T14:25:00Z</dcterms:modified>
</cp:coreProperties>
</file>